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3011" w14:textId="7648201A" w:rsidR="00406B73" w:rsidRPr="00A41EE4" w:rsidRDefault="00815AF5" w:rsidP="00815AF5">
      <w:pPr>
        <w:pStyle w:val="Heading1"/>
        <w:spacing w:before="79"/>
        <w:ind w:left="284"/>
        <w:rPr>
          <w:rFonts w:ascii="Times New Roman" w:hAnsi="Times New Roman" w:cs="Times New Roman"/>
          <w:sz w:val="24"/>
          <w:szCs w:val="24"/>
        </w:rPr>
      </w:pPr>
      <w:r w:rsidRPr="00A41EE4">
        <w:rPr>
          <w:rFonts w:ascii="Times New Roman" w:hAnsi="Times New Roman" w:cs="Times New Roman"/>
          <w:sz w:val="24"/>
          <w:szCs w:val="24"/>
        </w:rPr>
        <w:t>Public Health Implications of Pyrethroid Susceptibility in Aedes spp. Mosquitoes: Evidence from Dengue-Endemic Areas in Indonesia</w:t>
      </w:r>
    </w:p>
    <w:p w14:paraId="3C9B97A7" w14:textId="77777777" w:rsidR="00815AF5" w:rsidRPr="00A41EE4" w:rsidRDefault="00815AF5" w:rsidP="00406B73">
      <w:pPr>
        <w:pStyle w:val="Heading1"/>
        <w:spacing w:before="79"/>
        <w:ind w:left="0"/>
        <w:rPr>
          <w:rFonts w:ascii="Times New Roman" w:hAnsi="Times New Roman" w:cs="Times New Roman"/>
          <w:spacing w:val="-2"/>
          <w:sz w:val="24"/>
          <w:szCs w:val="24"/>
        </w:rPr>
      </w:pPr>
    </w:p>
    <w:p w14:paraId="2BD7D397" w14:textId="77777777" w:rsidR="00815AF5" w:rsidRPr="00A41EE4" w:rsidRDefault="00815AF5" w:rsidP="00815AF5">
      <w:pPr>
        <w:pStyle w:val="Heading1"/>
        <w:spacing w:before="79"/>
        <w:jc w:val="both"/>
        <w:rPr>
          <w:rFonts w:ascii="Times New Roman" w:hAnsi="Times New Roman" w:cs="Times New Roman"/>
          <w:b w:val="0"/>
          <w:bCs w:val="0"/>
          <w:spacing w:val="-2"/>
          <w:sz w:val="24"/>
          <w:szCs w:val="24"/>
          <w:lang w:val="en-ID"/>
        </w:rPr>
      </w:pPr>
      <w:r w:rsidRPr="00A41EE4">
        <w:rPr>
          <w:rFonts w:ascii="Times New Roman" w:hAnsi="Times New Roman" w:cs="Times New Roman"/>
          <w:spacing w:val="-2"/>
          <w:sz w:val="24"/>
          <w:szCs w:val="24"/>
          <w:lang w:val="en-ID"/>
        </w:rPr>
        <w:t>Background:</w:t>
      </w:r>
      <w:r w:rsidRPr="00A41EE4">
        <w:rPr>
          <w:rFonts w:ascii="Times New Roman" w:hAnsi="Times New Roman" w:cs="Times New Roman"/>
          <w:b w:val="0"/>
          <w:bCs w:val="0"/>
          <w:spacing w:val="-2"/>
          <w:sz w:val="24"/>
          <w:szCs w:val="24"/>
          <w:lang w:val="en-ID"/>
        </w:rPr>
        <w:t xml:space="preserve"> Dengue fever remains a major public health problem in tropical countries, including Indonesia. Effective vector control strategies rely on the susceptibility of mosquito populations to insecticides used in routine interventions such as fogging. This study aimed to assess the susceptibility status of </w:t>
      </w:r>
      <w:r w:rsidRPr="00A41EE4">
        <w:rPr>
          <w:rFonts w:ascii="Times New Roman" w:hAnsi="Times New Roman" w:cs="Times New Roman"/>
          <w:b w:val="0"/>
          <w:bCs w:val="0"/>
          <w:i/>
          <w:iCs/>
          <w:spacing w:val="-2"/>
          <w:sz w:val="24"/>
          <w:szCs w:val="24"/>
          <w:lang w:val="en-ID"/>
        </w:rPr>
        <w:t>Aedes</w:t>
      </w:r>
      <w:r w:rsidRPr="00A41EE4">
        <w:rPr>
          <w:rFonts w:ascii="Times New Roman" w:hAnsi="Times New Roman" w:cs="Times New Roman"/>
          <w:b w:val="0"/>
          <w:bCs w:val="0"/>
          <w:spacing w:val="-2"/>
          <w:sz w:val="24"/>
          <w:szCs w:val="24"/>
          <w:lang w:val="en-ID"/>
        </w:rPr>
        <w:t xml:space="preserve"> spp. mosquitoes to pyrethroid insecticides and its implications for dengue control programs.</w:t>
      </w:r>
    </w:p>
    <w:p w14:paraId="11DD1629" w14:textId="77777777" w:rsidR="00815AF5" w:rsidRPr="00A41EE4" w:rsidRDefault="00815AF5" w:rsidP="00815AF5">
      <w:pPr>
        <w:pStyle w:val="Heading1"/>
        <w:spacing w:before="79"/>
        <w:jc w:val="both"/>
        <w:rPr>
          <w:rFonts w:ascii="Times New Roman" w:hAnsi="Times New Roman" w:cs="Times New Roman"/>
          <w:b w:val="0"/>
          <w:bCs w:val="0"/>
          <w:spacing w:val="-2"/>
          <w:sz w:val="24"/>
          <w:szCs w:val="24"/>
          <w:lang w:val="en-ID"/>
        </w:rPr>
      </w:pPr>
      <w:r w:rsidRPr="00A41EE4">
        <w:rPr>
          <w:rFonts w:ascii="Times New Roman" w:hAnsi="Times New Roman" w:cs="Times New Roman"/>
          <w:spacing w:val="-2"/>
          <w:sz w:val="24"/>
          <w:szCs w:val="24"/>
          <w:lang w:val="en-ID"/>
        </w:rPr>
        <w:t>Methods:</w:t>
      </w:r>
      <w:r w:rsidRPr="00A41EE4">
        <w:rPr>
          <w:rFonts w:ascii="Times New Roman" w:hAnsi="Times New Roman" w:cs="Times New Roman"/>
          <w:b w:val="0"/>
          <w:bCs w:val="0"/>
          <w:spacing w:val="-2"/>
          <w:sz w:val="24"/>
          <w:szCs w:val="24"/>
          <w:lang w:val="en-ID"/>
        </w:rPr>
        <w:t xml:space="preserve"> This analytical observational study with a cross-sectional design was conducted in two dengue-endemic subdistricts in Kendari City, Indonesia. The susceptibility status of </w:t>
      </w:r>
      <w:r w:rsidRPr="00A41EE4">
        <w:rPr>
          <w:rFonts w:ascii="Times New Roman" w:hAnsi="Times New Roman" w:cs="Times New Roman"/>
          <w:b w:val="0"/>
          <w:bCs w:val="0"/>
          <w:i/>
          <w:iCs/>
          <w:spacing w:val="-2"/>
          <w:sz w:val="24"/>
          <w:szCs w:val="24"/>
          <w:lang w:val="en-ID"/>
        </w:rPr>
        <w:t>Aedes</w:t>
      </w:r>
      <w:r w:rsidRPr="00A41EE4">
        <w:rPr>
          <w:rFonts w:ascii="Times New Roman" w:hAnsi="Times New Roman" w:cs="Times New Roman"/>
          <w:b w:val="0"/>
          <w:bCs w:val="0"/>
          <w:spacing w:val="-2"/>
          <w:sz w:val="24"/>
          <w:szCs w:val="24"/>
          <w:lang w:val="en-ID"/>
        </w:rPr>
        <w:t xml:space="preserve"> spp. was determined using biochemical assays measuring non-specific esterase enzyme activity with an ELISA reader. Statistical analysis included Mann–Whitney and Kruskal–Wallis tests.</w:t>
      </w:r>
    </w:p>
    <w:p w14:paraId="69A7CF40" w14:textId="77777777" w:rsidR="00815AF5" w:rsidRPr="00A41EE4" w:rsidRDefault="00815AF5" w:rsidP="00815AF5">
      <w:pPr>
        <w:pStyle w:val="Heading1"/>
        <w:spacing w:before="79"/>
        <w:jc w:val="both"/>
        <w:rPr>
          <w:rFonts w:ascii="Times New Roman" w:hAnsi="Times New Roman" w:cs="Times New Roman"/>
          <w:b w:val="0"/>
          <w:bCs w:val="0"/>
          <w:spacing w:val="-2"/>
          <w:sz w:val="24"/>
          <w:szCs w:val="24"/>
          <w:lang w:val="en-ID"/>
        </w:rPr>
      </w:pPr>
      <w:r w:rsidRPr="00A41EE4">
        <w:rPr>
          <w:rFonts w:ascii="Times New Roman" w:hAnsi="Times New Roman" w:cs="Times New Roman"/>
          <w:spacing w:val="-2"/>
          <w:sz w:val="24"/>
          <w:szCs w:val="24"/>
          <w:lang w:val="en-ID"/>
        </w:rPr>
        <w:t>Results:</w:t>
      </w:r>
      <w:r w:rsidRPr="00A41EE4">
        <w:rPr>
          <w:rFonts w:ascii="Times New Roman" w:hAnsi="Times New Roman" w:cs="Times New Roman"/>
          <w:b w:val="0"/>
          <w:bCs w:val="0"/>
          <w:spacing w:val="-2"/>
          <w:sz w:val="24"/>
          <w:szCs w:val="24"/>
          <w:lang w:val="en-ID"/>
        </w:rPr>
        <w:t xml:space="preserve"> Mosquito populations from both study areas were classified as sensitive to pyrethroid insecticides (AV &lt; 0.700). However, significant differences in enzyme activity were observed between subdistricts (p &lt; 0.001) and among villages (p &lt; 0.001), indicating variability in exposure and potential early adaptation processes.</w:t>
      </w:r>
    </w:p>
    <w:p w14:paraId="65C6B878" w14:textId="77777777" w:rsidR="00815AF5" w:rsidRPr="00A41EE4" w:rsidRDefault="00815AF5" w:rsidP="00815AF5">
      <w:pPr>
        <w:pStyle w:val="Heading1"/>
        <w:spacing w:before="79"/>
        <w:jc w:val="both"/>
        <w:rPr>
          <w:rFonts w:ascii="Times New Roman" w:hAnsi="Times New Roman" w:cs="Times New Roman"/>
          <w:b w:val="0"/>
          <w:bCs w:val="0"/>
          <w:spacing w:val="-2"/>
          <w:sz w:val="24"/>
          <w:szCs w:val="24"/>
          <w:lang w:val="en-ID"/>
        </w:rPr>
      </w:pPr>
      <w:r w:rsidRPr="00A41EE4">
        <w:rPr>
          <w:rFonts w:ascii="Times New Roman" w:hAnsi="Times New Roman" w:cs="Times New Roman"/>
          <w:spacing w:val="-2"/>
          <w:sz w:val="24"/>
          <w:szCs w:val="24"/>
          <w:lang w:val="en-ID"/>
        </w:rPr>
        <w:t>Conclusion:</w:t>
      </w:r>
      <w:r w:rsidRPr="00A41EE4">
        <w:rPr>
          <w:rFonts w:ascii="Times New Roman" w:hAnsi="Times New Roman" w:cs="Times New Roman"/>
          <w:b w:val="0"/>
          <w:bCs w:val="0"/>
          <w:spacing w:val="-2"/>
          <w:sz w:val="24"/>
          <w:szCs w:val="24"/>
          <w:lang w:val="en-ID"/>
        </w:rPr>
        <w:t xml:space="preserve"> Although </w:t>
      </w:r>
      <w:r w:rsidRPr="00A41EE4">
        <w:rPr>
          <w:rFonts w:ascii="Times New Roman" w:hAnsi="Times New Roman" w:cs="Times New Roman"/>
          <w:b w:val="0"/>
          <w:bCs w:val="0"/>
          <w:i/>
          <w:iCs/>
          <w:spacing w:val="-2"/>
          <w:sz w:val="24"/>
          <w:szCs w:val="24"/>
          <w:lang w:val="en-ID"/>
        </w:rPr>
        <w:t>Aedes</w:t>
      </w:r>
      <w:r w:rsidRPr="00A41EE4">
        <w:rPr>
          <w:rFonts w:ascii="Times New Roman" w:hAnsi="Times New Roman" w:cs="Times New Roman"/>
          <w:b w:val="0"/>
          <w:bCs w:val="0"/>
          <w:spacing w:val="-2"/>
          <w:sz w:val="24"/>
          <w:szCs w:val="24"/>
          <w:lang w:val="en-ID"/>
        </w:rPr>
        <w:t xml:space="preserve"> spp. mosquitoes remain susceptible to pyrethroids, variations in enzyme activity suggest the need for continuous resistance monitoring. These findings highlight the importance of evidence-based vector control strategies to sustain the effectiveness of dengue prevention programs.</w:t>
      </w:r>
    </w:p>
    <w:p w14:paraId="139FB4DB" w14:textId="77777777" w:rsidR="00815AF5" w:rsidRPr="00A41EE4" w:rsidRDefault="00815AF5" w:rsidP="00815AF5">
      <w:pPr>
        <w:pStyle w:val="Heading1"/>
        <w:spacing w:before="79"/>
        <w:jc w:val="both"/>
        <w:rPr>
          <w:rFonts w:ascii="Times New Roman" w:hAnsi="Times New Roman" w:cs="Times New Roman"/>
          <w:b w:val="0"/>
          <w:bCs w:val="0"/>
          <w:spacing w:val="-2"/>
          <w:sz w:val="24"/>
          <w:szCs w:val="24"/>
          <w:lang w:val="en-ID"/>
        </w:rPr>
      </w:pPr>
      <w:r w:rsidRPr="00A41EE4">
        <w:rPr>
          <w:rFonts w:ascii="Times New Roman" w:hAnsi="Times New Roman" w:cs="Times New Roman"/>
          <w:b w:val="0"/>
          <w:bCs w:val="0"/>
          <w:spacing w:val="-2"/>
          <w:sz w:val="24"/>
          <w:szCs w:val="24"/>
          <w:lang w:val="en-ID"/>
        </w:rPr>
        <w:t xml:space="preserve">Keywords: Aedes </w:t>
      </w:r>
      <w:proofErr w:type="spellStart"/>
      <w:r w:rsidRPr="00A41EE4">
        <w:rPr>
          <w:rFonts w:ascii="Times New Roman" w:hAnsi="Times New Roman" w:cs="Times New Roman"/>
          <w:b w:val="0"/>
          <w:bCs w:val="0"/>
          <w:spacing w:val="-2"/>
          <w:sz w:val="24"/>
          <w:szCs w:val="24"/>
          <w:lang w:val="en-ID"/>
        </w:rPr>
        <w:t>spp</w:t>
      </w:r>
      <w:proofErr w:type="spellEnd"/>
      <w:r w:rsidRPr="00A41EE4">
        <w:rPr>
          <w:rFonts w:ascii="Times New Roman" w:hAnsi="Times New Roman" w:cs="Times New Roman"/>
          <w:b w:val="0"/>
          <w:bCs w:val="0"/>
          <w:spacing w:val="-2"/>
          <w:sz w:val="24"/>
          <w:szCs w:val="24"/>
          <w:lang w:val="en-ID"/>
        </w:rPr>
        <w:t>; Dengue; Insecticide susceptibility; Public health; Vector control</w:t>
      </w:r>
    </w:p>
    <w:p w14:paraId="65D15F5B" w14:textId="77777777" w:rsidR="00FD483C" w:rsidRPr="00A41EE4" w:rsidRDefault="00FD483C" w:rsidP="00011EB3">
      <w:pPr>
        <w:pStyle w:val="Heading1"/>
        <w:spacing w:before="79"/>
        <w:ind w:left="0"/>
        <w:rPr>
          <w:rFonts w:ascii="Times New Roman" w:hAnsi="Times New Roman" w:cs="Times New Roman"/>
          <w:b w:val="0"/>
          <w:bCs w:val="0"/>
          <w:sz w:val="24"/>
          <w:szCs w:val="24"/>
        </w:rPr>
      </w:pPr>
    </w:p>
    <w:p w14:paraId="48C56054" w14:textId="77777777" w:rsidR="00FD483C" w:rsidRPr="00A41EE4" w:rsidRDefault="00FD483C" w:rsidP="00FD483C">
      <w:pPr>
        <w:pStyle w:val="Heading1"/>
        <w:spacing w:before="79"/>
        <w:rPr>
          <w:rFonts w:ascii="Times New Roman" w:hAnsi="Times New Roman" w:cs="Times New Roman"/>
          <w:spacing w:val="-2"/>
          <w:sz w:val="24"/>
          <w:szCs w:val="24"/>
        </w:rPr>
      </w:pPr>
      <w:r w:rsidRPr="00A41EE4">
        <w:rPr>
          <w:rFonts w:ascii="Times New Roman" w:hAnsi="Times New Roman" w:cs="Times New Roman"/>
          <w:spacing w:val="-2"/>
          <w:sz w:val="24"/>
          <w:szCs w:val="24"/>
        </w:rPr>
        <w:t>Introduction</w:t>
      </w:r>
    </w:p>
    <w:p w14:paraId="0F9BDBC0" w14:textId="17BE325A" w:rsidR="007D38EB" w:rsidRPr="00A41EE4" w:rsidRDefault="007D38EB"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The global incidence of dengue has increased significantly. </w:t>
      </w:r>
      <w:r w:rsidR="00AB7E73" w:rsidRPr="00A41EE4">
        <w:rPr>
          <w:rFonts w:ascii="Times New Roman" w:hAnsi="Times New Roman" w:cs="Times New Roman"/>
          <w:b w:val="0"/>
          <w:bCs w:val="0"/>
          <w:sz w:val="24"/>
          <w:szCs w:val="24"/>
        </w:rPr>
        <w:t>As of 2024, WHO has reported more than 7.6 million dengue cases, including 3.4 million confirmed cases, more than 16,000 severe cases, and more than 3,000 deaths (1).</w:t>
      </w:r>
    </w:p>
    <w:p w14:paraId="6949FF3B" w14:textId="0E33A63F" w:rsidR="007D38EB" w:rsidRPr="00A41EE4" w:rsidRDefault="00C202E0" w:rsidP="007D38EB">
      <w:pPr>
        <w:pStyle w:val="Heading1"/>
        <w:ind w:left="289" w:firstLine="704"/>
        <w:jc w:val="both"/>
        <w:rPr>
          <w:rFonts w:ascii="Times New Roman" w:hAnsi="Times New Roman" w:cs="Times New Roman"/>
          <w:b w:val="0"/>
          <w:bCs w:val="0"/>
          <w:sz w:val="24"/>
          <w:szCs w:val="24"/>
        </w:rPr>
      </w:pPr>
      <w:r w:rsidRPr="00C202E0">
        <w:rPr>
          <w:rFonts w:ascii="Times New Roman" w:hAnsi="Times New Roman" w:cs="Times New Roman"/>
          <w:b w:val="0"/>
          <w:bCs w:val="0"/>
          <w:sz w:val="24"/>
          <w:szCs w:val="24"/>
        </w:rPr>
        <w:t>Over the past four years</w:t>
      </w:r>
      <w:r w:rsidR="00DB5F9D" w:rsidRPr="00A41EE4">
        <w:rPr>
          <w:rFonts w:ascii="Times New Roman" w:hAnsi="Times New Roman" w:cs="Times New Roman"/>
          <w:b w:val="0"/>
          <w:bCs w:val="0"/>
          <w:sz w:val="24"/>
          <w:szCs w:val="24"/>
        </w:rPr>
        <w:t xml:space="preserve">, </w:t>
      </w:r>
      <w:r w:rsidR="0044476B" w:rsidRPr="00A41EE4">
        <w:rPr>
          <w:rFonts w:ascii="Times New Roman" w:hAnsi="Times New Roman" w:cs="Times New Roman"/>
          <w:b w:val="0"/>
          <w:bCs w:val="0"/>
          <w:sz w:val="24"/>
          <w:szCs w:val="24"/>
        </w:rPr>
        <w:t>Indonesia reported 75,518 cases in 2021 with 705 deaths; 143,176 cases in 2022 with 1,236 deaths; 114,720 cases in 2023 with 894 deaths; and 186,324 cases with 1,120 deaths as of September 2024 (2).</w:t>
      </w:r>
      <w:r w:rsidR="007D38EB" w:rsidRPr="00A41EE4">
        <w:rPr>
          <w:rFonts w:ascii="Times New Roman" w:hAnsi="Times New Roman" w:cs="Times New Roman"/>
          <w:b w:val="0"/>
          <w:bCs w:val="0"/>
          <w:sz w:val="24"/>
          <w:szCs w:val="24"/>
        </w:rPr>
        <w:t xml:space="preserve"> </w:t>
      </w:r>
    </w:p>
    <w:p w14:paraId="56D17A43" w14:textId="0AA884BE" w:rsidR="007D38EB" w:rsidRPr="00A41EE4" w:rsidRDefault="007D38EB"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According to data from the Kendari City Health Office during 2019 - 2023, the incidence of DHF began to decline from 450 patients to 253 patients. However, according to data until July 2024 there was a spike from 253 patients to 1663 patients. In 2024, the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 xml:space="preserve">ubdistrict was the sub-district with the highest number of DHF cases with 378 patients and 2 of them died, followed by the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 xml:space="preserve">ubdistrict with 341 patients and 5 of them died (3). </w:t>
      </w:r>
      <w:r w:rsidR="00AA11F5" w:rsidRPr="00AA11F5">
        <w:rPr>
          <w:rFonts w:ascii="Times New Roman" w:hAnsi="Times New Roman" w:cs="Times New Roman"/>
          <w:b w:val="0"/>
          <w:bCs w:val="0"/>
          <w:sz w:val="24"/>
          <w:szCs w:val="24"/>
        </w:rPr>
        <w:t>Vector-borne diseases can be effectively prevented</w:t>
      </w:r>
      <w:r w:rsidR="00AA11F5">
        <w:rPr>
          <w:rFonts w:ascii="Times New Roman" w:hAnsi="Times New Roman" w:cs="Times New Roman"/>
          <w:b w:val="0"/>
          <w:bCs w:val="0"/>
          <w:sz w:val="24"/>
          <w:szCs w:val="24"/>
        </w:rPr>
        <w:t xml:space="preserve">                  </w:t>
      </w:r>
      <w:r w:rsidRPr="00A41EE4">
        <w:rPr>
          <w:rFonts w:ascii="Times New Roman" w:hAnsi="Times New Roman" w:cs="Times New Roman"/>
          <w:b w:val="0"/>
          <w:bCs w:val="0"/>
          <w:sz w:val="24"/>
          <w:szCs w:val="24"/>
        </w:rPr>
        <w:t xml:space="preserve"> if the vector that transmits the disease is well controlled. One of the efforts to control vectors is by fogging. </w:t>
      </w:r>
      <w:r w:rsidR="00161656" w:rsidRPr="00161656">
        <w:rPr>
          <w:rFonts w:ascii="Times New Roman" w:hAnsi="Times New Roman" w:cs="Times New Roman"/>
          <w:b w:val="0"/>
          <w:bCs w:val="0"/>
          <w:sz w:val="24"/>
          <w:szCs w:val="24"/>
        </w:rPr>
        <w:t>Fogging is commonly used to control Aedes mosquitoes</w:t>
      </w:r>
      <w:r w:rsidR="00F82F6C" w:rsidRPr="00A41EE4">
        <w:rPr>
          <w:rFonts w:ascii="Times New Roman" w:hAnsi="Times New Roman" w:cs="Times New Roman"/>
          <w:b w:val="0"/>
          <w:bCs w:val="0"/>
          <w:sz w:val="24"/>
          <w:szCs w:val="24"/>
        </w:rPr>
        <w:t xml:space="preserve"> (vectors of dengue, chikungunya, and Zika), </w:t>
      </w:r>
      <w:r w:rsidR="00F82F6C" w:rsidRPr="00A41EE4">
        <w:rPr>
          <w:rFonts w:ascii="Times New Roman" w:hAnsi="Times New Roman" w:cs="Times New Roman"/>
          <w:b w:val="0"/>
          <w:bCs w:val="0"/>
          <w:i/>
          <w:iCs/>
          <w:sz w:val="24"/>
          <w:szCs w:val="24"/>
        </w:rPr>
        <w:t>Culex</w:t>
      </w:r>
      <w:r w:rsidR="00F82F6C" w:rsidRPr="00A41EE4">
        <w:rPr>
          <w:rFonts w:ascii="Times New Roman" w:hAnsi="Times New Roman" w:cs="Times New Roman"/>
          <w:b w:val="0"/>
          <w:bCs w:val="0"/>
          <w:sz w:val="24"/>
          <w:szCs w:val="24"/>
        </w:rPr>
        <w:t xml:space="preserve"> mosquitoes (vectors of Japanese encephalitis), and </w:t>
      </w:r>
      <w:r w:rsidR="00F82F6C" w:rsidRPr="00A41EE4">
        <w:rPr>
          <w:rFonts w:ascii="Times New Roman" w:hAnsi="Times New Roman" w:cs="Times New Roman"/>
          <w:b w:val="0"/>
          <w:bCs w:val="0"/>
          <w:i/>
          <w:iCs/>
          <w:sz w:val="24"/>
          <w:szCs w:val="24"/>
        </w:rPr>
        <w:t>Anopheles</w:t>
      </w:r>
      <w:r w:rsidR="00F82F6C" w:rsidRPr="00A41EE4">
        <w:rPr>
          <w:rFonts w:ascii="Times New Roman" w:hAnsi="Times New Roman" w:cs="Times New Roman"/>
          <w:b w:val="0"/>
          <w:bCs w:val="0"/>
          <w:sz w:val="24"/>
          <w:szCs w:val="24"/>
        </w:rPr>
        <w:t xml:space="preserve"> mosquitoes (vectors of malaria), provided that implementation criteria and appropriate insecticide use are followed </w:t>
      </w:r>
      <w:r w:rsidRPr="00A41EE4">
        <w:rPr>
          <w:rFonts w:ascii="Times New Roman" w:hAnsi="Times New Roman" w:cs="Times New Roman"/>
          <w:b w:val="0"/>
          <w:bCs w:val="0"/>
          <w:sz w:val="24"/>
          <w:szCs w:val="24"/>
        </w:rPr>
        <w:t xml:space="preserve">(2). </w:t>
      </w:r>
    </w:p>
    <w:p w14:paraId="3D4C3189" w14:textId="2FB69497" w:rsidR="007D38EB" w:rsidRPr="00A41EE4" w:rsidRDefault="007D38EB"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Repeated application of insecticides over a long period in an ecosystem unit will lead to resistance. </w:t>
      </w:r>
      <w:r w:rsidR="005C5BEF" w:rsidRPr="00A41EE4">
        <w:rPr>
          <w:rFonts w:ascii="Times New Roman" w:hAnsi="Times New Roman" w:cs="Times New Roman"/>
          <w:b w:val="0"/>
          <w:bCs w:val="0"/>
          <w:sz w:val="24"/>
          <w:szCs w:val="24"/>
        </w:rPr>
        <w:t>Insecticides become ineffective when mosquito populations develop resistance.</w:t>
      </w:r>
      <w:r w:rsidRPr="00A41EE4">
        <w:rPr>
          <w:rFonts w:ascii="Times New Roman" w:hAnsi="Times New Roman" w:cs="Times New Roman"/>
          <w:b w:val="0"/>
          <w:bCs w:val="0"/>
          <w:sz w:val="24"/>
          <w:szCs w:val="24"/>
        </w:rPr>
        <w:t xml:space="preserve"> In chemical mosquito vector control efforts, the use of insecticides must be carried out rationally, effectively, efficiently, and acceptable to the community, under the supervision of </w:t>
      </w:r>
      <w:r w:rsidRPr="00A41EE4">
        <w:rPr>
          <w:rFonts w:ascii="Times New Roman" w:hAnsi="Times New Roman" w:cs="Times New Roman"/>
          <w:b w:val="0"/>
          <w:bCs w:val="0"/>
          <w:sz w:val="24"/>
          <w:szCs w:val="24"/>
        </w:rPr>
        <w:lastRenderedPageBreak/>
        <w:t>personnel who have competence in the field of entomology, and is the last resort in vector control (2).</w:t>
      </w:r>
    </w:p>
    <w:p w14:paraId="2F151C67" w14:textId="4B783E3B" w:rsidR="007D38EB" w:rsidRPr="00A41EE4" w:rsidRDefault="00DA426F"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Insecticides should be selected from classes to which mosquito populations remain susceptible.</w:t>
      </w:r>
      <w:r w:rsidR="007D38EB" w:rsidRPr="00A41EE4">
        <w:rPr>
          <w:rFonts w:ascii="Times New Roman" w:hAnsi="Times New Roman" w:cs="Times New Roman"/>
          <w:b w:val="0"/>
          <w:bCs w:val="0"/>
          <w:sz w:val="24"/>
          <w:szCs w:val="24"/>
        </w:rPr>
        <w:t xml:space="preserve"> If there are no resistance test results, then the use of insecticides should be restored every 2-3 years, based on the class of insecticide that has been used (4). However, the continuous use of insecticides can accelerate the occurrence of resistance and can cause environmental residues that are harmful to humans and the environment. Operational resistance can occur due to errors in insecticide dosage during fogging. Dosage errors can be in the form of doses that are too low or doses that are too high. In addition, the occurrence of resistance or tolerance is also influenced by the use of insecticides for a long time (2).</w:t>
      </w:r>
    </w:p>
    <w:p w14:paraId="57EF67C5" w14:textId="6EFA0019" w:rsidR="007D38EB" w:rsidRPr="00A41EE4" w:rsidRDefault="007D38EB"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In Kendari City, the use of malathion insecticides has been stopped since 2019 because it is classified as resistant. </w:t>
      </w:r>
      <w:proofErr w:type="gramStart"/>
      <w:r w:rsidRPr="00A41EE4">
        <w:rPr>
          <w:rFonts w:ascii="Times New Roman" w:hAnsi="Times New Roman" w:cs="Times New Roman"/>
          <w:b w:val="0"/>
          <w:bCs w:val="0"/>
          <w:sz w:val="24"/>
          <w:szCs w:val="24"/>
        </w:rPr>
        <w:t>So</w:t>
      </w:r>
      <w:proofErr w:type="gramEnd"/>
      <w:r w:rsidR="00637B47" w:rsidRPr="00A41EE4">
        <w:rPr>
          <w:rFonts w:ascii="Times New Roman" w:hAnsi="Times New Roman" w:cs="Times New Roman"/>
          <w:b w:val="0"/>
          <w:bCs w:val="0"/>
          <w:sz w:val="24"/>
          <w:szCs w:val="24"/>
        </w:rPr>
        <w:t xml:space="preserve"> </w:t>
      </w:r>
      <w:r w:rsidRPr="00A41EE4">
        <w:rPr>
          <w:rFonts w:ascii="Times New Roman" w:hAnsi="Times New Roman" w:cs="Times New Roman"/>
          <w:b w:val="0"/>
          <w:bCs w:val="0"/>
          <w:sz w:val="24"/>
          <w:szCs w:val="24"/>
        </w:rPr>
        <w:t xml:space="preserve">the pyrethroid group has been the choice for fogging in the last six years. Fogging is carried out routinely every year. However, the incidence of DHF has increased every year, especially in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and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ubdistricts (3).</w:t>
      </w:r>
    </w:p>
    <w:p w14:paraId="524FAD9F" w14:textId="0649856C" w:rsidR="00815AF5" w:rsidRPr="00A41EE4" w:rsidRDefault="00815AF5" w:rsidP="007D38EB">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From a public health perspective, the effectiveness of dengue control programs largely depends on the continued susceptibility of mosquito vectors to insecticides used in fogging interventions. Failure to monitor susceptibility status may lead to reduced effectiveness of vector control strategies and increased disease transmission risk. Therefore, understanding the current susceptibility profile of </w:t>
      </w:r>
      <w:r w:rsidRPr="00A41EE4">
        <w:rPr>
          <w:rFonts w:ascii="Times New Roman" w:hAnsi="Times New Roman" w:cs="Times New Roman"/>
          <w:b w:val="0"/>
          <w:bCs w:val="0"/>
          <w:i/>
          <w:iCs/>
          <w:sz w:val="24"/>
          <w:szCs w:val="24"/>
        </w:rPr>
        <w:t>Aedes</w:t>
      </w:r>
      <w:r w:rsidRPr="00A41EE4">
        <w:rPr>
          <w:rFonts w:ascii="Times New Roman" w:hAnsi="Times New Roman" w:cs="Times New Roman"/>
          <w:b w:val="0"/>
          <w:bCs w:val="0"/>
          <w:sz w:val="24"/>
          <w:szCs w:val="24"/>
        </w:rPr>
        <w:t xml:space="preserve"> spp. mosquitoes is essential to support evidence-based policy decisions and optimize dengue prevention programs at the community level.</w:t>
      </w:r>
    </w:p>
    <w:p w14:paraId="132BE70C" w14:textId="77777777" w:rsidR="00393CDA" w:rsidRPr="00A41EE4" w:rsidRDefault="00393CDA" w:rsidP="00FD483C">
      <w:pPr>
        <w:pStyle w:val="Heading1"/>
        <w:spacing w:before="228"/>
        <w:rPr>
          <w:rFonts w:ascii="Times New Roman" w:hAnsi="Times New Roman" w:cs="Times New Roman"/>
          <w:spacing w:val="-2"/>
          <w:sz w:val="24"/>
          <w:szCs w:val="24"/>
        </w:rPr>
      </w:pPr>
    </w:p>
    <w:p w14:paraId="6733ADBB" w14:textId="26EDFDBC" w:rsidR="00FD483C" w:rsidRPr="00A41EE4" w:rsidRDefault="00FD483C" w:rsidP="00FD483C">
      <w:pPr>
        <w:pStyle w:val="Heading1"/>
        <w:spacing w:before="228"/>
        <w:rPr>
          <w:rFonts w:ascii="Times New Roman" w:hAnsi="Times New Roman" w:cs="Times New Roman"/>
          <w:sz w:val="24"/>
          <w:szCs w:val="24"/>
        </w:rPr>
      </w:pPr>
      <w:r w:rsidRPr="00A41EE4">
        <w:rPr>
          <w:rFonts w:ascii="Times New Roman" w:hAnsi="Times New Roman" w:cs="Times New Roman"/>
          <w:spacing w:val="-2"/>
          <w:sz w:val="24"/>
          <w:szCs w:val="24"/>
        </w:rPr>
        <w:t>Methods</w:t>
      </w:r>
    </w:p>
    <w:p w14:paraId="0DE69E6C" w14:textId="77777777" w:rsidR="007D38EB" w:rsidRPr="00A41EE4" w:rsidRDefault="007D38EB" w:rsidP="007D38EB">
      <w:pPr>
        <w:pStyle w:val="BodyText"/>
        <w:ind w:left="289" w:right="221" w:hanging="5"/>
        <w:rPr>
          <w:rFonts w:ascii="Times New Roman" w:hAnsi="Times New Roman" w:cs="Times New Roman"/>
          <w:b/>
          <w:bCs/>
          <w:sz w:val="24"/>
          <w:szCs w:val="24"/>
        </w:rPr>
      </w:pPr>
      <w:r w:rsidRPr="00A41EE4">
        <w:rPr>
          <w:rFonts w:ascii="Times New Roman" w:hAnsi="Times New Roman" w:cs="Times New Roman"/>
          <w:b/>
          <w:bCs/>
          <w:sz w:val="24"/>
          <w:szCs w:val="24"/>
        </w:rPr>
        <w:t>Research Design</w:t>
      </w:r>
    </w:p>
    <w:p w14:paraId="63584782" w14:textId="769639AF" w:rsidR="007D38EB" w:rsidRPr="00A41EE4" w:rsidRDefault="007D38EB" w:rsidP="003D6BA3">
      <w:pPr>
        <w:pStyle w:val="BodyText"/>
        <w:ind w:left="289" w:right="221" w:firstLine="709"/>
        <w:jc w:val="both"/>
        <w:rPr>
          <w:rFonts w:ascii="Times New Roman" w:hAnsi="Times New Roman" w:cs="Times New Roman"/>
          <w:bCs/>
          <w:sz w:val="24"/>
          <w:szCs w:val="24"/>
        </w:rPr>
      </w:pPr>
      <w:r w:rsidRPr="00A41EE4">
        <w:rPr>
          <w:rFonts w:ascii="Times New Roman" w:hAnsi="Times New Roman" w:cs="Times New Roman"/>
          <w:bCs/>
          <w:sz w:val="24"/>
          <w:szCs w:val="24"/>
        </w:rPr>
        <w:t xml:space="preserve">This type of research is an analytical observational study with a cross-sectional research design. </w:t>
      </w:r>
      <w:r w:rsidR="00126787" w:rsidRPr="00126787">
        <w:rPr>
          <w:rFonts w:ascii="Times New Roman" w:hAnsi="Times New Roman" w:cs="Times New Roman"/>
          <w:bCs/>
          <w:sz w:val="24"/>
          <w:szCs w:val="24"/>
        </w:rPr>
        <w:t>This study analyzed</w:t>
      </w:r>
      <w:r w:rsidRPr="00A41EE4">
        <w:rPr>
          <w:rFonts w:ascii="Times New Roman" w:hAnsi="Times New Roman" w:cs="Times New Roman"/>
          <w:bCs/>
          <w:sz w:val="24"/>
          <w:szCs w:val="24"/>
        </w:rPr>
        <w:t xml:space="preserve"> the comparison of susceptibility status of </w:t>
      </w:r>
      <w:r w:rsidRPr="00A41EE4">
        <w:rPr>
          <w:rFonts w:ascii="Times New Roman" w:hAnsi="Times New Roman" w:cs="Times New Roman"/>
          <w:bCs/>
          <w:i/>
          <w:iCs/>
          <w:sz w:val="24"/>
          <w:szCs w:val="24"/>
        </w:rPr>
        <w:t xml:space="preserve">Aedes </w:t>
      </w:r>
      <w:r w:rsidRPr="00A41EE4">
        <w:rPr>
          <w:rFonts w:ascii="Times New Roman" w:hAnsi="Times New Roman" w:cs="Times New Roman"/>
          <w:bCs/>
          <w:sz w:val="24"/>
          <w:szCs w:val="24"/>
        </w:rPr>
        <w:t>spp</w:t>
      </w:r>
      <w:r w:rsidRPr="00A41EE4">
        <w:rPr>
          <w:rFonts w:ascii="Times New Roman" w:hAnsi="Times New Roman" w:cs="Times New Roman"/>
          <w:bCs/>
          <w:i/>
          <w:iCs/>
          <w:sz w:val="24"/>
          <w:szCs w:val="24"/>
        </w:rPr>
        <w:t>.</w:t>
      </w:r>
      <w:r w:rsidRPr="00A41EE4">
        <w:rPr>
          <w:rFonts w:ascii="Times New Roman" w:hAnsi="Times New Roman" w:cs="Times New Roman"/>
          <w:bCs/>
          <w:sz w:val="24"/>
          <w:szCs w:val="24"/>
        </w:rPr>
        <w:t xml:space="preserve"> mosquitoes located in the </w:t>
      </w:r>
      <w:proofErr w:type="spellStart"/>
      <w:r w:rsidRPr="00A41EE4">
        <w:rPr>
          <w:rFonts w:ascii="Times New Roman" w:hAnsi="Times New Roman" w:cs="Times New Roman"/>
          <w:bCs/>
          <w:sz w:val="24"/>
          <w:szCs w:val="24"/>
        </w:rPr>
        <w:t>Poasia</w:t>
      </w:r>
      <w:proofErr w:type="spellEnd"/>
      <w:r w:rsidRPr="00A41EE4">
        <w:rPr>
          <w:rFonts w:ascii="Times New Roman" w:hAnsi="Times New Roman" w:cs="Times New Roman"/>
          <w:bCs/>
          <w:sz w:val="24"/>
          <w:szCs w:val="24"/>
        </w:rPr>
        <w:t xml:space="preserve"> Subdistrict and </w:t>
      </w:r>
      <w:proofErr w:type="spellStart"/>
      <w:r w:rsidRPr="00A41EE4">
        <w:rPr>
          <w:rFonts w:ascii="Times New Roman" w:hAnsi="Times New Roman" w:cs="Times New Roman"/>
          <w:bCs/>
          <w:sz w:val="24"/>
          <w:szCs w:val="24"/>
        </w:rPr>
        <w:t>Baruga</w:t>
      </w:r>
      <w:proofErr w:type="spellEnd"/>
      <w:r w:rsidRPr="00A41EE4">
        <w:rPr>
          <w:rFonts w:ascii="Times New Roman" w:hAnsi="Times New Roman" w:cs="Times New Roman"/>
          <w:bCs/>
          <w:sz w:val="24"/>
          <w:szCs w:val="24"/>
        </w:rPr>
        <w:t xml:space="preserve"> Subdistrict by looking at non-specific esterase enzyme activity through biochemical tests.</w:t>
      </w:r>
    </w:p>
    <w:p w14:paraId="4CBC41DC" w14:textId="77777777" w:rsidR="007D38EB" w:rsidRPr="00A41EE4" w:rsidRDefault="007D38EB" w:rsidP="003D6BA3">
      <w:pPr>
        <w:pStyle w:val="BodyText"/>
        <w:ind w:left="289" w:right="221" w:hanging="5"/>
        <w:jc w:val="both"/>
        <w:rPr>
          <w:rFonts w:ascii="Times New Roman" w:hAnsi="Times New Roman" w:cs="Times New Roman"/>
          <w:b/>
          <w:bCs/>
          <w:sz w:val="24"/>
          <w:szCs w:val="24"/>
        </w:rPr>
      </w:pPr>
      <w:r w:rsidRPr="00A41EE4">
        <w:rPr>
          <w:rFonts w:ascii="Times New Roman" w:hAnsi="Times New Roman" w:cs="Times New Roman"/>
          <w:b/>
          <w:bCs/>
          <w:sz w:val="24"/>
          <w:szCs w:val="24"/>
        </w:rPr>
        <w:t>Research Instrument</w:t>
      </w:r>
    </w:p>
    <w:p w14:paraId="6D376385" w14:textId="5E578C37" w:rsidR="007D38EB" w:rsidRPr="00A41EE4" w:rsidRDefault="007D38EB" w:rsidP="003D6BA3">
      <w:pPr>
        <w:pStyle w:val="BodyText"/>
        <w:ind w:left="289" w:right="221" w:firstLine="709"/>
        <w:jc w:val="both"/>
        <w:rPr>
          <w:rFonts w:ascii="Times New Roman" w:hAnsi="Times New Roman" w:cs="Times New Roman"/>
          <w:bCs/>
          <w:sz w:val="24"/>
          <w:szCs w:val="24"/>
        </w:rPr>
      </w:pPr>
      <w:r w:rsidRPr="00A41EE4">
        <w:rPr>
          <w:rFonts w:ascii="Times New Roman" w:hAnsi="Times New Roman" w:cs="Times New Roman"/>
          <w:bCs/>
          <w:sz w:val="24"/>
          <w:szCs w:val="24"/>
        </w:rPr>
        <w:t xml:space="preserve">The instruments used in this research included a test tube for grinding mosquitoes in a porcelain cup, a 50 µl micropipette and measuring pipette, used to take the stock solution of various concentrations of the solution, flat-bottomed microplates (96 wells), an </w:t>
      </w:r>
      <w:r w:rsidR="00DB1927" w:rsidRPr="00A41EE4">
        <w:rPr>
          <w:rFonts w:ascii="Times New Roman" w:hAnsi="Times New Roman" w:cs="Times New Roman"/>
          <w:bCs/>
          <w:sz w:val="24"/>
          <w:szCs w:val="24"/>
        </w:rPr>
        <w:t>ELISA reader</w:t>
      </w:r>
      <w:r w:rsidRPr="00A41EE4">
        <w:rPr>
          <w:rFonts w:ascii="Times New Roman" w:hAnsi="Times New Roman" w:cs="Times New Roman"/>
          <w:bCs/>
          <w:sz w:val="24"/>
          <w:szCs w:val="24"/>
        </w:rPr>
        <w:t>, α-naphthyl acetate substrate (30 mg/5ml acetone) was taken as much as 0.5 ml, then mixed with PBS 0.02 M pH 7 so that the volume became 50 ml, coupling reagent and methylene blue was mixed with 35 ml of 5% SDS (VG) (1.75 g SDS + 35 ml distilled water) then diluted coupling reagent 25 µl and added distilled water until the volume was 10 ml.</w:t>
      </w:r>
    </w:p>
    <w:p w14:paraId="243DB51B" w14:textId="77777777" w:rsidR="00F82F6C" w:rsidRPr="00A41EE4" w:rsidRDefault="00F82F6C" w:rsidP="00F82F6C">
      <w:pPr>
        <w:pStyle w:val="BodyText"/>
        <w:ind w:left="284" w:right="221"/>
        <w:jc w:val="both"/>
        <w:rPr>
          <w:rFonts w:ascii="Times New Roman" w:hAnsi="Times New Roman" w:cs="Times New Roman"/>
          <w:b/>
          <w:bCs/>
          <w:sz w:val="24"/>
          <w:szCs w:val="24"/>
        </w:rPr>
      </w:pPr>
      <w:r w:rsidRPr="00A41EE4">
        <w:rPr>
          <w:rFonts w:ascii="Times New Roman" w:hAnsi="Times New Roman" w:cs="Times New Roman"/>
          <w:b/>
          <w:bCs/>
          <w:sz w:val="24"/>
          <w:szCs w:val="24"/>
        </w:rPr>
        <w:t>Biochemical Test</w:t>
      </w:r>
    </w:p>
    <w:p w14:paraId="585B6F61" w14:textId="6C19FB4A" w:rsidR="007D38EB" w:rsidRPr="00E51BFC" w:rsidRDefault="00E51BFC" w:rsidP="00E51BFC">
      <w:pPr>
        <w:pStyle w:val="BodyText"/>
        <w:ind w:left="289" w:right="221" w:firstLine="709"/>
        <w:jc w:val="both"/>
        <w:rPr>
          <w:rFonts w:ascii="Times New Roman" w:hAnsi="Times New Roman" w:cs="Times New Roman"/>
          <w:bCs/>
          <w:sz w:val="24"/>
          <w:szCs w:val="24"/>
          <w:lang w:val="en-ID"/>
        </w:rPr>
      </w:pPr>
      <w:r w:rsidRPr="00E51BFC">
        <w:rPr>
          <w:rFonts w:ascii="Times New Roman" w:hAnsi="Times New Roman" w:cs="Times New Roman"/>
          <w:bCs/>
          <w:sz w:val="24"/>
          <w:szCs w:val="24"/>
          <w:lang w:val="en-ID"/>
        </w:rPr>
        <w:t>Mosquitoes were collected from each village (</w:t>
      </w:r>
      <w:proofErr w:type="spellStart"/>
      <w:r w:rsidRPr="00E51BFC">
        <w:rPr>
          <w:rFonts w:ascii="Times New Roman" w:hAnsi="Times New Roman" w:cs="Times New Roman"/>
          <w:bCs/>
          <w:sz w:val="24"/>
          <w:szCs w:val="24"/>
          <w:lang w:val="en-ID"/>
        </w:rPr>
        <w:t>Andonuohu</w:t>
      </w:r>
      <w:proofErr w:type="spellEnd"/>
      <w:r w:rsidRPr="00E51BFC">
        <w:rPr>
          <w:rFonts w:ascii="Times New Roman" w:hAnsi="Times New Roman" w:cs="Times New Roman"/>
          <w:bCs/>
          <w:sz w:val="24"/>
          <w:szCs w:val="24"/>
          <w:lang w:val="en-ID"/>
        </w:rPr>
        <w:t xml:space="preserve">, Anggoeya, </w:t>
      </w:r>
      <w:proofErr w:type="spellStart"/>
      <w:r w:rsidRPr="00E51BFC">
        <w:rPr>
          <w:rFonts w:ascii="Times New Roman" w:hAnsi="Times New Roman" w:cs="Times New Roman"/>
          <w:bCs/>
          <w:sz w:val="24"/>
          <w:szCs w:val="24"/>
          <w:lang w:val="en-ID"/>
        </w:rPr>
        <w:t>Rahandouna</w:t>
      </w:r>
      <w:proofErr w:type="spellEnd"/>
      <w:r w:rsidRPr="00E51BFC">
        <w:rPr>
          <w:rFonts w:ascii="Times New Roman" w:hAnsi="Times New Roman" w:cs="Times New Roman"/>
          <w:bCs/>
          <w:sz w:val="24"/>
          <w:szCs w:val="24"/>
          <w:lang w:val="en-ID"/>
        </w:rPr>
        <w:t xml:space="preserve">, </w:t>
      </w:r>
      <w:proofErr w:type="spellStart"/>
      <w:r w:rsidRPr="00E51BFC">
        <w:rPr>
          <w:rFonts w:ascii="Times New Roman" w:hAnsi="Times New Roman" w:cs="Times New Roman"/>
          <w:bCs/>
          <w:sz w:val="24"/>
          <w:szCs w:val="24"/>
          <w:lang w:val="en-ID"/>
        </w:rPr>
        <w:t>Wundumbatu</w:t>
      </w:r>
      <w:proofErr w:type="spellEnd"/>
      <w:r w:rsidRPr="00E51BFC">
        <w:rPr>
          <w:rFonts w:ascii="Times New Roman" w:hAnsi="Times New Roman" w:cs="Times New Roman"/>
          <w:bCs/>
          <w:sz w:val="24"/>
          <w:szCs w:val="24"/>
          <w:lang w:val="en-ID"/>
        </w:rPr>
        <w:t xml:space="preserve">, </w:t>
      </w:r>
      <w:proofErr w:type="spellStart"/>
      <w:r w:rsidRPr="00E51BFC">
        <w:rPr>
          <w:rFonts w:ascii="Times New Roman" w:hAnsi="Times New Roman" w:cs="Times New Roman"/>
          <w:bCs/>
          <w:sz w:val="24"/>
          <w:szCs w:val="24"/>
          <w:lang w:val="en-ID"/>
        </w:rPr>
        <w:t>Matabubu</w:t>
      </w:r>
      <w:proofErr w:type="spellEnd"/>
      <w:r w:rsidRPr="00E51BFC">
        <w:rPr>
          <w:rFonts w:ascii="Times New Roman" w:hAnsi="Times New Roman" w:cs="Times New Roman"/>
          <w:bCs/>
          <w:sz w:val="24"/>
          <w:szCs w:val="24"/>
          <w:lang w:val="en-ID"/>
        </w:rPr>
        <w:t xml:space="preserve">, </w:t>
      </w:r>
      <w:proofErr w:type="spellStart"/>
      <w:r w:rsidRPr="00E51BFC">
        <w:rPr>
          <w:rFonts w:ascii="Times New Roman" w:hAnsi="Times New Roman" w:cs="Times New Roman"/>
          <w:bCs/>
          <w:sz w:val="24"/>
          <w:szCs w:val="24"/>
          <w:lang w:val="en-ID"/>
        </w:rPr>
        <w:t>Baruga</w:t>
      </w:r>
      <w:proofErr w:type="spellEnd"/>
      <w:r w:rsidRPr="00E51BFC">
        <w:rPr>
          <w:rFonts w:ascii="Times New Roman" w:hAnsi="Times New Roman" w:cs="Times New Roman"/>
          <w:bCs/>
          <w:sz w:val="24"/>
          <w:szCs w:val="24"/>
          <w:lang w:val="en-ID"/>
        </w:rPr>
        <w:t xml:space="preserve">, Lepo-Lepo, </w:t>
      </w:r>
      <w:proofErr w:type="spellStart"/>
      <w:r w:rsidRPr="00E51BFC">
        <w:rPr>
          <w:rFonts w:ascii="Times New Roman" w:hAnsi="Times New Roman" w:cs="Times New Roman"/>
          <w:bCs/>
          <w:sz w:val="24"/>
          <w:szCs w:val="24"/>
          <w:lang w:val="en-ID"/>
        </w:rPr>
        <w:t>Watubangga</w:t>
      </w:r>
      <w:proofErr w:type="spellEnd"/>
      <w:r w:rsidRPr="00E51BFC">
        <w:rPr>
          <w:rFonts w:ascii="Times New Roman" w:hAnsi="Times New Roman" w:cs="Times New Roman"/>
          <w:bCs/>
          <w:sz w:val="24"/>
          <w:szCs w:val="24"/>
          <w:lang w:val="en-ID"/>
        </w:rPr>
        <w:t xml:space="preserve">, and </w:t>
      </w:r>
      <w:proofErr w:type="spellStart"/>
      <w:r w:rsidRPr="00E51BFC">
        <w:rPr>
          <w:rFonts w:ascii="Times New Roman" w:hAnsi="Times New Roman" w:cs="Times New Roman"/>
          <w:bCs/>
          <w:sz w:val="24"/>
          <w:szCs w:val="24"/>
          <w:lang w:val="en-ID"/>
        </w:rPr>
        <w:t>Wundudopi</w:t>
      </w:r>
      <w:proofErr w:type="spellEnd"/>
      <w:r w:rsidRPr="00E51BFC">
        <w:rPr>
          <w:rFonts w:ascii="Times New Roman" w:hAnsi="Times New Roman" w:cs="Times New Roman"/>
          <w:bCs/>
          <w:sz w:val="24"/>
          <w:szCs w:val="24"/>
          <w:lang w:val="en-ID"/>
        </w:rPr>
        <w:t>). A total of 30 mosquitoes from each location were collected and processed for homogenate preparation.</w:t>
      </w:r>
      <w:r>
        <w:rPr>
          <w:rFonts w:ascii="Times New Roman" w:hAnsi="Times New Roman" w:cs="Times New Roman"/>
          <w:bCs/>
          <w:sz w:val="24"/>
          <w:szCs w:val="24"/>
          <w:lang w:val="en-ID"/>
        </w:rPr>
        <w:t xml:space="preserve"> </w:t>
      </w:r>
      <w:r w:rsidR="007D38EB" w:rsidRPr="00A41EE4">
        <w:rPr>
          <w:rFonts w:ascii="Times New Roman" w:hAnsi="Times New Roman" w:cs="Times New Roman"/>
          <w:bCs/>
          <w:sz w:val="24"/>
          <w:szCs w:val="24"/>
        </w:rPr>
        <w:t xml:space="preserve">Mosquitoes were crushed individually and 0.5 ml of PBS solution, 50 µl homogenate was inserted in each of 3 microplate wells, plus 50 µl substrate (α naphthyl acetate), left for 60 seconds. Added 50 µl coupling reagent, the reaction was left for 10 minutes. Then, the absorbance value (AV) was read using </w:t>
      </w:r>
      <w:r w:rsidR="00DB1927" w:rsidRPr="00A41EE4">
        <w:rPr>
          <w:rFonts w:ascii="Times New Roman" w:hAnsi="Times New Roman" w:cs="Times New Roman"/>
          <w:bCs/>
          <w:sz w:val="24"/>
          <w:szCs w:val="24"/>
        </w:rPr>
        <w:t>ELISA reader</w:t>
      </w:r>
      <w:r w:rsidR="007D38EB" w:rsidRPr="00A41EE4">
        <w:rPr>
          <w:rFonts w:ascii="Times New Roman" w:hAnsi="Times New Roman" w:cs="Times New Roman"/>
          <w:bCs/>
          <w:sz w:val="24"/>
          <w:szCs w:val="24"/>
        </w:rPr>
        <w:t xml:space="preserve"> at λ 450 nm to determine the non-specific esterase enzyme activity</w:t>
      </w:r>
      <w:r w:rsidR="00C1022B" w:rsidRPr="00A41EE4">
        <w:rPr>
          <w:rFonts w:ascii="Times New Roman" w:hAnsi="Times New Roman" w:cs="Times New Roman"/>
          <w:bCs/>
          <w:sz w:val="24"/>
          <w:szCs w:val="24"/>
        </w:rPr>
        <w:t>.</w:t>
      </w:r>
      <w:r w:rsidR="007D38EB" w:rsidRPr="00A41EE4">
        <w:rPr>
          <w:rFonts w:ascii="Times New Roman" w:hAnsi="Times New Roman" w:cs="Times New Roman"/>
          <w:bCs/>
          <w:sz w:val="24"/>
          <w:szCs w:val="24"/>
        </w:rPr>
        <w:t xml:space="preserve"> </w:t>
      </w:r>
      <w:r w:rsidR="000D610E" w:rsidRPr="00A41EE4">
        <w:rPr>
          <w:rFonts w:ascii="Times New Roman" w:hAnsi="Times New Roman" w:cs="Times New Roman"/>
          <w:bCs/>
          <w:sz w:val="24"/>
          <w:szCs w:val="24"/>
        </w:rPr>
        <w:t xml:space="preserve">Susceptibility status was classified as follows: AV &lt; </w:t>
      </w:r>
      <w:r w:rsidR="000D610E" w:rsidRPr="00A41EE4">
        <w:rPr>
          <w:rFonts w:ascii="Times New Roman" w:hAnsi="Times New Roman" w:cs="Times New Roman"/>
          <w:bCs/>
          <w:sz w:val="24"/>
          <w:szCs w:val="24"/>
        </w:rPr>
        <w:lastRenderedPageBreak/>
        <w:t>0.700 (sensitive/SS); AV = 0.700–0.900 (tolerant/RS); AV &gt; 0.900 (resistant/RR).</w:t>
      </w:r>
      <w:r w:rsidR="00C256E2" w:rsidRPr="00A41EE4">
        <w:rPr>
          <w:rFonts w:ascii="Times New Roman" w:hAnsi="Times New Roman" w:cs="Times New Roman"/>
          <w:bCs/>
          <w:sz w:val="24"/>
          <w:szCs w:val="24"/>
        </w:rPr>
        <w:t xml:space="preserve"> Absorbance value (AV) was used as an indicator of non-specific esterase enzyme activity.</w:t>
      </w:r>
    </w:p>
    <w:p w14:paraId="46CCBEFF" w14:textId="77777777" w:rsidR="007D38EB" w:rsidRPr="00A41EE4" w:rsidRDefault="007D38EB" w:rsidP="003D6BA3">
      <w:pPr>
        <w:pStyle w:val="BodyText"/>
        <w:ind w:left="289" w:right="221" w:hanging="5"/>
        <w:jc w:val="both"/>
        <w:rPr>
          <w:rFonts w:ascii="Times New Roman" w:hAnsi="Times New Roman" w:cs="Times New Roman"/>
          <w:b/>
          <w:bCs/>
          <w:sz w:val="24"/>
          <w:szCs w:val="24"/>
        </w:rPr>
      </w:pPr>
      <w:r w:rsidRPr="00A41EE4">
        <w:rPr>
          <w:rFonts w:ascii="Times New Roman" w:hAnsi="Times New Roman" w:cs="Times New Roman"/>
          <w:b/>
          <w:bCs/>
          <w:sz w:val="24"/>
          <w:szCs w:val="24"/>
        </w:rPr>
        <w:t>Ethical Approval</w:t>
      </w:r>
    </w:p>
    <w:p w14:paraId="37C80B03" w14:textId="592D7DE3" w:rsidR="007D38EB" w:rsidRPr="00A41EE4" w:rsidRDefault="00C00E22" w:rsidP="003D6BA3">
      <w:pPr>
        <w:pStyle w:val="BodyText"/>
        <w:ind w:left="289" w:right="221" w:firstLine="709"/>
        <w:jc w:val="both"/>
        <w:rPr>
          <w:rFonts w:ascii="Times New Roman" w:hAnsi="Times New Roman" w:cs="Times New Roman"/>
          <w:bCs/>
          <w:sz w:val="24"/>
          <w:szCs w:val="24"/>
        </w:rPr>
      </w:pPr>
      <w:r w:rsidRPr="00A41EE4">
        <w:rPr>
          <w:rFonts w:ascii="Times New Roman" w:hAnsi="Times New Roman" w:cs="Times New Roman"/>
          <w:bCs/>
          <w:sz w:val="24"/>
          <w:szCs w:val="24"/>
        </w:rPr>
        <w:t xml:space="preserve">This study received ethical approval from the Health Research Ethics Commission of the Faculty of Medicine, </w:t>
      </w:r>
      <w:proofErr w:type="spellStart"/>
      <w:r w:rsidRPr="00A41EE4">
        <w:rPr>
          <w:rFonts w:ascii="Times New Roman" w:hAnsi="Times New Roman" w:cs="Times New Roman"/>
          <w:bCs/>
          <w:sz w:val="24"/>
          <w:szCs w:val="24"/>
        </w:rPr>
        <w:t>Halu</w:t>
      </w:r>
      <w:proofErr w:type="spellEnd"/>
      <w:r w:rsidRPr="00A41EE4">
        <w:rPr>
          <w:rFonts w:ascii="Times New Roman" w:hAnsi="Times New Roman" w:cs="Times New Roman"/>
          <w:bCs/>
          <w:sz w:val="24"/>
          <w:szCs w:val="24"/>
        </w:rPr>
        <w:t xml:space="preserve"> Oleo University (No. 126/UN29.17.1.3/ETIK/2024).</w:t>
      </w:r>
    </w:p>
    <w:p w14:paraId="0BF4E9AB" w14:textId="77777777" w:rsidR="00FD483C" w:rsidRPr="00A41EE4" w:rsidRDefault="00FD483C" w:rsidP="00FD483C">
      <w:pPr>
        <w:pStyle w:val="BodyText"/>
        <w:spacing w:before="1"/>
        <w:rPr>
          <w:rFonts w:ascii="Times New Roman" w:hAnsi="Times New Roman" w:cs="Times New Roman"/>
          <w:sz w:val="24"/>
          <w:szCs w:val="24"/>
        </w:rPr>
      </w:pPr>
    </w:p>
    <w:p w14:paraId="4DB4F00E" w14:textId="77777777" w:rsidR="00FD483C" w:rsidRPr="00A41EE4" w:rsidRDefault="00FD483C" w:rsidP="00FD483C">
      <w:pPr>
        <w:pStyle w:val="Heading1"/>
        <w:rPr>
          <w:rFonts w:ascii="Times New Roman" w:hAnsi="Times New Roman" w:cs="Times New Roman"/>
          <w:sz w:val="24"/>
          <w:szCs w:val="24"/>
        </w:rPr>
      </w:pPr>
      <w:r w:rsidRPr="00A41EE4">
        <w:rPr>
          <w:rFonts w:ascii="Times New Roman" w:hAnsi="Times New Roman" w:cs="Times New Roman"/>
          <w:spacing w:val="-2"/>
          <w:sz w:val="24"/>
          <w:szCs w:val="24"/>
        </w:rPr>
        <w:t>Results</w:t>
      </w:r>
    </w:p>
    <w:p w14:paraId="536F6B90" w14:textId="77777777" w:rsidR="00DE137C" w:rsidRDefault="00DE137C" w:rsidP="00DE137C">
      <w:pPr>
        <w:ind w:left="284"/>
        <w:jc w:val="both"/>
        <w:rPr>
          <w:rFonts w:ascii="Times New Roman" w:hAnsi="Times New Roman" w:cs="Times New Roman"/>
          <w:b/>
          <w:bCs/>
          <w:sz w:val="24"/>
          <w:szCs w:val="24"/>
        </w:rPr>
      </w:pPr>
      <w:r w:rsidRPr="00DE137C">
        <w:rPr>
          <w:rFonts w:ascii="Times New Roman" w:hAnsi="Times New Roman" w:cs="Times New Roman"/>
          <w:b/>
          <w:bCs/>
          <w:sz w:val="24"/>
          <w:szCs w:val="24"/>
        </w:rPr>
        <w:t xml:space="preserve">Enzyme activity in </w:t>
      </w:r>
      <w:proofErr w:type="spellStart"/>
      <w:r w:rsidRPr="00DE137C">
        <w:rPr>
          <w:rFonts w:ascii="Times New Roman" w:hAnsi="Times New Roman" w:cs="Times New Roman"/>
          <w:b/>
          <w:bCs/>
          <w:sz w:val="24"/>
          <w:szCs w:val="24"/>
        </w:rPr>
        <w:t>Poasia</w:t>
      </w:r>
      <w:proofErr w:type="spellEnd"/>
      <w:r w:rsidRPr="00DE137C">
        <w:rPr>
          <w:rFonts w:ascii="Times New Roman" w:hAnsi="Times New Roman" w:cs="Times New Roman"/>
          <w:b/>
          <w:bCs/>
          <w:sz w:val="24"/>
          <w:szCs w:val="24"/>
        </w:rPr>
        <w:t xml:space="preserve"> Subdistrict</w:t>
      </w:r>
    </w:p>
    <w:p w14:paraId="112F3109" w14:textId="1F59CF38" w:rsidR="009E6FB0" w:rsidRPr="00A41EE4" w:rsidRDefault="009E6FB0" w:rsidP="009E6FB0">
      <w:pPr>
        <w:ind w:left="284" w:firstLine="709"/>
        <w:jc w:val="both"/>
        <w:rPr>
          <w:sz w:val="24"/>
          <w:szCs w:val="24"/>
        </w:rPr>
      </w:pPr>
      <w:r w:rsidRPr="00A41EE4">
        <w:rPr>
          <w:sz w:val="24"/>
          <w:szCs w:val="24"/>
        </w:rPr>
        <w:t xml:space="preserve">The biochemical analysis showed that all </w:t>
      </w:r>
      <w:r w:rsidRPr="00A41EE4">
        <w:rPr>
          <w:i/>
          <w:iCs/>
          <w:sz w:val="24"/>
          <w:szCs w:val="24"/>
        </w:rPr>
        <w:t>Aedes</w:t>
      </w:r>
      <w:r w:rsidRPr="00A41EE4">
        <w:rPr>
          <w:sz w:val="24"/>
          <w:szCs w:val="24"/>
        </w:rPr>
        <w:t xml:space="preserve"> spp. mosquito populations from </w:t>
      </w:r>
      <w:proofErr w:type="spellStart"/>
      <w:r w:rsidRPr="00A41EE4">
        <w:rPr>
          <w:sz w:val="24"/>
          <w:szCs w:val="24"/>
        </w:rPr>
        <w:t>Poasia</w:t>
      </w:r>
      <w:proofErr w:type="spellEnd"/>
      <w:r w:rsidRPr="00A41EE4">
        <w:rPr>
          <w:sz w:val="24"/>
          <w:szCs w:val="24"/>
        </w:rPr>
        <w:t xml:space="preserve"> Subdistrict had mean absorbance values (AV) below 0.700, indicating full susceptibility to pyrethroid insecticides. The highest AV was observed in </w:t>
      </w:r>
      <w:proofErr w:type="spellStart"/>
      <w:r w:rsidRPr="00A41EE4">
        <w:rPr>
          <w:sz w:val="24"/>
          <w:szCs w:val="24"/>
        </w:rPr>
        <w:t>Wundumbatu</w:t>
      </w:r>
      <w:proofErr w:type="spellEnd"/>
      <w:r w:rsidRPr="00A41EE4">
        <w:rPr>
          <w:sz w:val="24"/>
          <w:szCs w:val="24"/>
        </w:rPr>
        <w:t xml:space="preserve"> Village (0.432), while the lowest was in </w:t>
      </w:r>
      <w:proofErr w:type="spellStart"/>
      <w:r w:rsidRPr="00A41EE4">
        <w:rPr>
          <w:sz w:val="24"/>
          <w:szCs w:val="24"/>
        </w:rPr>
        <w:t>Anggoeya</w:t>
      </w:r>
      <w:proofErr w:type="spellEnd"/>
      <w:r w:rsidRPr="00A41EE4">
        <w:rPr>
          <w:sz w:val="24"/>
          <w:szCs w:val="24"/>
        </w:rPr>
        <w:t xml:space="preserve"> Village (0.319) (Table 1).</w:t>
      </w:r>
    </w:p>
    <w:p w14:paraId="6348C23C" w14:textId="72DFDD06" w:rsidR="00EC1F56" w:rsidRPr="00A41EE4" w:rsidRDefault="00EC1F56" w:rsidP="00DE137C">
      <w:pPr>
        <w:ind w:left="284" w:firstLine="5"/>
        <w:rPr>
          <w:sz w:val="24"/>
          <w:szCs w:val="24"/>
        </w:rPr>
      </w:pPr>
      <w:r w:rsidRPr="00A41EE4">
        <w:rPr>
          <w:sz w:val="24"/>
          <w:szCs w:val="24"/>
        </w:rPr>
        <w:t xml:space="preserve">Table 1. Non-specific esterase enzyme activity of </w:t>
      </w:r>
      <w:r w:rsidRPr="00A41EE4">
        <w:rPr>
          <w:i/>
          <w:iCs/>
          <w:sz w:val="24"/>
          <w:szCs w:val="24"/>
        </w:rPr>
        <w:t>Aedes</w:t>
      </w:r>
      <w:r w:rsidRPr="00A41EE4">
        <w:rPr>
          <w:sz w:val="24"/>
          <w:szCs w:val="24"/>
        </w:rPr>
        <w:t xml:space="preserve"> spp. mosquitoes in </w:t>
      </w:r>
      <w:proofErr w:type="spellStart"/>
      <w:r w:rsidRPr="00A41EE4">
        <w:rPr>
          <w:sz w:val="24"/>
          <w:szCs w:val="24"/>
        </w:rPr>
        <w:t>Poasia</w:t>
      </w:r>
      <w:proofErr w:type="spellEnd"/>
      <w:r w:rsidRPr="00A41EE4">
        <w:rPr>
          <w:sz w:val="24"/>
          <w:szCs w:val="24"/>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1"/>
        <w:gridCol w:w="1740"/>
        <w:gridCol w:w="2598"/>
        <w:gridCol w:w="2317"/>
      </w:tblGrid>
      <w:tr w:rsidR="00EC1F56" w:rsidRPr="00A41EE4" w14:paraId="7AC31DC5" w14:textId="77777777" w:rsidTr="009904FC">
        <w:trPr>
          <w:jc w:val="center"/>
        </w:trPr>
        <w:tc>
          <w:tcPr>
            <w:tcW w:w="2371" w:type="dxa"/>
            <w:tcBorders>
              <w:top w:val="single" w:sz="4" w:space="0" w:color="auto"/>
              <w:left w:val="nil"/>
              <w:bottom w:val="single" w:sz="4" w:space="0" w:color="auto"/>
              <w:right w:val="nil"/>
            </w:tcBorders>
            <w:vAlign w:val="center"/>
            <w:hideMark/>
          </w:tcPr>
          <w:p w14:paraId="79506DE1"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Village</w:t>
            </w:r>
          </w:p>
        </w:tc>
        <w:tc>
          <w:tcPr>
            <w:tcW w:w="1740" w:type="dxa"/>
            <w:tcBorders>
              <w:top w:val="single" w:sz="4" w:space="0" w:color="auto"/>
              <w:left w:val="nil"/>
              <w:bottom w:val="single" w:sz="4" w:space="0" w:color="auto"/>
              <w:right w:val="nil"/>
            </w:tcBorders>
            <w:vAlign w:val="center"/>
          </w:tcPr>
          <w:p w14:paraId="1D945B22"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Sample Size (n)</w:t>
            </w:r>
          </w:p>
        </w:tc>
        <w:tc>
          <w:tcPr>
            <w:tcW w:w="2598" w:type="dxa"/>
            <w:tcBorders>
              <w:top w:val="single" w:sz="4" w:space="0" w:color="auto"/>
              <w:left w:val="nil"/>
              <w:bottom w:val="single" w:sz="4" w:space="0" w:color="auto"/>
              <w:right w:val="nil"/>
            </w:tcBorders>
            <w:vAlign w:val="center"/>
            <w:hideMark/>
          </w:tcPr>
          <w:p w14:paraId="5F78EDB5"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Mean Absorbance Value (AV)</w:t>
            </w:r>
          </w:p>
        </w:tc>
        <w:tc>
          <w:tcPr>
            <w:tcW w:w="2317" w:type="dxa"/>
            <w:tcBorders>
              <w:top w:val="single" w:sz="4" w:space="0" w:color="auto"/>
              <w:left w:val="nil"/>
              <w:bottom w:val="single" w:sz="4" w:space="0" w:color="auto"/>
              <w:right w:val="nil"/>
            </w:tcBorders>
            <w:vAlign w:val="center"/>
            <w:hideMark/>
          </w:tcPr>
          <w:p w14:paraId="3D442819"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Susceptibility Status</w:t>
            </w:r>
          </w:p>
        </w:tc>
      </w:tr>
      <w:tr w:rsidR="00EC1F56" w:rsidRPr="00A41EE4" w14:paraId="3BCFC56B" w14:textId="77777777" w:rsidTr="009904FC">
        <w:trPr>
          <w:jc w:val="center"/>
        </w:trPr>
        <w:tc>
          <w:tcPr>
            <w:tcW w:w="2371" w:type="dxa"/>
            <w:tcBorders>
              <w:top w:val="single" w:sz="4" w:space="0" w:color="auto"/>
              <w:left w:val="nil"/>
              <w:bottom w:val="nil"/>
              <w:right w:val="nil"/>
            </w:tcBorders>
            <w:vAlign w:val="center"/>
            <w:hideMark/>
          </w:tcPr>
          <w:p w14:paraId="2A5A14D7" w14:textId="77777777" w:rsidR="00EC1F56" w:rsidRPr="00A41EE4" w:rsidRDefault="00EC1F56" w:rsidP="008C37B4">
            <w:pPr>
              <w:pStyle w:val="Heading1"/>
              <w:ind w:left="289"/>
              <w:jc w:val="center"/>
              <w:rPr>
                <w:rFonts w:ascii="Times New Roman" w:hAnsi="Times New Roman" w:cs="Times New Roman"/>
                <w:b w:val="0"/>
                <w:bCs w:val="0"/>
                <w:sz w:val="24"/>
                <w:szCs w:val="24"/>
              </w:rPr>
            </w:pPr>
            <w:proofErr w:type="spellStart"/>
            <w:r w:rsidRPr="00A41EE4">
              <w:rPr>
                <w:b w:val="0"/>
                <w:bCs w:val="0"/>
                <w:sz w:val="24"/>
                <w:szCs w:val="24"/>
              </w:rPr>
              <w:t>Andounohu</w:t>
            </w:r>
            <w:proofErr w:type="spellEnd"/>
          </w:p>
        </w:tc>
        <w:tc>
          <w:tcPr>
            <w:tcW w:w="1740" w:type="dxa"/>
            <w:tcBorders>
              <w:top w:val="single" w:sz="4" w:space="0" w:color="auto"/>
              <w:left w:val="nil"/>
              <w:bottom w:val="nil"/>
              <w:right w:val="nil"/>
            </w:tcBorders>
            <w:vAlign w:val="center"/>
          </w:tcPr>
          <w:p w14:paraId="5CDE42C3"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30</w:t>
            </w:r>
          </w:p>
        </w:tc>
        <w:tc>
          <w:tcPr>
            <w:tcW w:w="2598" w:type="dxa"/>
            <w:tcBorders>
              <w:top w:val="single" w:sz="4" w:space="0" w:color="auto"/>
              <w:left w:val="nil"/>
              <w:bottom w:val="nil"/>
              <w:right w:val="nil"/>
            </w:tcBorders>
            <w:vAlign w:val="center"/>
            <w:hideMark/>
          </w:tcPr>
          <w:p w14:paraId="55B417B1"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0.330</w:t>
            </w:r>
          </w:p>
        </w:tc>
        <w:tc>
          <w:tcPr>
            <w:tcW w:w="2317" w:type="dxa"/>
            <w:tcBorders>
              <w:top w:val="single" w:sz="4" w:space="0" w:color="auto"/>
              <w:left w:val="nil"/>
              <w:bottom w:val="nil"/>
              <w:right w:val="nil"/>
            </w:tcBorders>
            <w:vAlign w:val="center"/>
            <w:hideMark/>
          </w:tcPr>
          <w:p w14:paraId="78FDCDDE"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Sensitive</w:t>
            </w:r>
          </w:p>
        </w:tc>
      </w:tr>
      <w:tr w:rsidR="00EC1F56" w:rsidRPr="00A41EE4" w14:paraId="409F3560" w14:textId="77777777" w:rsidTr="009904FC">
        <w:trPr>
          <w:jc w:val="center"/>
        </w:trPr>
        <w:tc>
          <w:tcPr>
            <w:tcW w:w="2371" w:type="dxa"/>
            <w:vAlign w:val="center"/>
            <w:hideMark/>
          </w:tcPr>
          <w:p w14:paraId="2CD578CF" w14:textId="77777777" w:rsidR="00EC1F56" w:rsidRPr="00A41EE4" w:rsidRDefault="00EC1F56" w:rsidP="008C37B4">
            <w:pPr>
              <w:pStyle w:val="Heading1"/>
              <w:ind w:left="289"/>
              <w:jc w:val="center"/>
              <w:rPr>
                <w:rFonts w:ascii="Times New Roman" w:hAnsi="Times New Roman" w:cs="Times New Roman"/>
                <w:b w:val="0"/>
                <w:bCs w:val="0"/>
                <w:sz w:val="24"/>
                <w:szCs w:val="24"/>
              </w:rPr>
            </w:pPr>
            <w:proofErr w:type="spellStart"/>
            <w:r w:rsidRPr="00A41EE4">
              <w:rPr>
                <w:b w:val="0"/>
                <w:bCs w:val="0"/>
                <w:sz w:val="24"/>
                <w:szCs w:val="24"/>
              </w:rPr>
              <w:t>Rahandouna</w:t>
            </w:r>
            <w:proofErr w:type="spellEnd"/>
          </w:p>
        </w:tc>
        <w:tc>
          <w:tcPr>
            <w:tcW w:w="1740" w:type="dxa"/>
            <w:vAlign w:val="center"/>
          </w:tcPr>
          <w:p w14:paraId="148855FF"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30</w:t>
            </w:r>
          </w:p>
        </w:tc>
        <w:tc>
          <w:tcPr>
            <w:tcW w:w="2598" w:type="dxa"/>
            <w:vAlign w:val="center"/>
            <w:hideMark/>
          </w:tcPr>
          <w:p w14:paraId="4D57E556"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0.419</w:t>
            </w:r>
          </w:p>
        </w:tc>
        <w:tc>
          <w:tcPr>
            <w:tcW w:w="2317" w:type="dxa"/>
            <w:vAlign w:val="center"/>
            <w:hideMark/>
          </w:tcPr>
          <w:p w14:paraId="4005FBF1"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Sensitive</w:t>
            </w:r>
          </w:p>
        </w:tc>
      </w:tr>
      <w:tr w:rsidR="00EC1F56" w:rsidRPr="00A41EE4" w14:paraId="1CC034E0" w14:textId="77777777" w:rsidTr="009904FC">
        <w:trPr>
          <w:jc w:val="center"/>
        </w:trPr>
        <w:tc>
          <w:tcPr>
            <w:tcW w:w="2371" w:type="dxa"/>
            <w:vAlign w:val="center"/>
            <w:hideMark/>
          </w:tcPr>
          <w:p w14:paraId="36CF8223" w14:textId="77777777" w:rsidR="00EC1F56" w:rsidRPr="00A41EE4" w:rsidRDefault="00EC1F56" w:rsidP="008C37B4">
            <w:pPr>
              <w:pStyle w:val="Heading1"/>
              <w:ind w:left="289"/>
              <w:jc w:val="center"/>
              <w:rPr>
                <w:rFonts w:ascii="Times New Roman" w:hAnsi="Times New Roman" w:cs="Times New Roman"/>
                <w:b w:val="0"/>
                <w:bCs w:val="0"/>
                <w:sz w:val="24"/>
                <w:szCs w:val="24"/>
              </w:rPr>
            </w:pPr>
            <w:proofErr w:type="spellStart"/>
            <w:r w:rsidRPr="00A41EE4">
              <w:rPr>
                <w:b w:val="0"/>
                <w:bCs w:val="0"/>
                <w:sz w:val="24"/>
                <w:szCs w:val="24"/>
              </w:rPr>
              <w:t>Anggoeya</w:t>
            </w:r>
            <w:proofErr w:type="spellEnd"/>
          </w:p>
        </w:tc>
        <w:tc>
          <w:tcPr>
            <w:tcW w:w="1740" w:type="dxa"/>
            <w:vAlign w:val="center"/>
          </w:tcPr>
          <w:p w14:paraId="51C03F85"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30</w:t>
            </w:r>
          </w:p>
        </w:tc>
        <w:tc>
          <w:tcPr>
            <w:tcW w:w="2598" w:type="dxa"/>
            <w:vAlign w:val="center"/>
            <w:hideMark/>
          </w:tcPr>
          <w:p w14:paraId="5751C41B"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0.319</w:t>
            </w:r>
          </w:p>
        </w:tc>
        <w:tc>
          <w:tcPr>
            <w:tcW w:w="2317" w:type="dxa"/>
            <w:vAlign w:val="center"/>
            <w:hideMark/>
          </w:tcPr>
          <w:p w14:paraId="76DD2422"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Sensitive</w:t>
            </w:r>
          </w:p>
        </w:tc>
      </w:tr>
      <w:tr w:rsidR="00EC1F56" w:rsidRPr="00A41EE4" w14:paraId="641A2DD1" w14:textId="77777777" w:rsidTr="009904FC">
        <w:trPr>
          <w:jc w:val="center"/>
        </w:trPr>
        <w:tc>
          <w:tcPr>
            <w:tcW w:w="2371" w:type="dxa"/>
            <w:vAlign w:val="center"/>
            <w:hideMark/>
          </w:tcPr>
          <w:p w14:paraId="14B9270E" w14:textId="77777777" w:rsidR="00EC1F56" w:rsidRPr="00A41EE4" w:rsidRDefault="00EC1F56" w:rsidP="008C37B4">
            <w:pPr>
              <w:pStyle w:val="Heading1"/>
              <w:ind w:left="289"/>
              <w:jc w:val="center"/>
              <w:rPr>
                <w:rFonts w:ascii="Times New Roman" w:hAnsi="Times New Roman" w:cs="Times New Roman"/>
                <w:b w:val="0"/>
                <w:bCs w:val="0"/>
                <w:sz w:val="24"/>
                <w:szCs w:val="24"/>
              </w:rPr>
            </w:pPr>
            <w:proofErr w:type="spellStart"/>
            <w:r w:rsidRPr="00A41EE4">
              <w:rPr>
                <w:b w:val="0"/>
                <w:bCs w:val="0"/>
                <w:sz w:val="24"/>
                <w:szCs w:val="24"/>
              </w:rPr>
              <w:t>Matabubu</w:t>
            </w:r>
            <w:proofErr w:type="spellEnd"/>
          </w:p>
        </w:tc>
        <w:tc>
          <w:tcPr>
            <w:tcW w:w="1740" w:type="dxa"/>
            <w:vAlign w:val="center"/>
          </w:tcPr>
          <w:p w14:paraId="1E1C07F9"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30</w:t>
            </w:r>
          </w:p>
        </w:tc>
        <w:tc>
          <w:tcPr>
            <w:tcW w:w="2598" w:type="dxa"/>
            <w:vAlign w:val="center"/>
            <w:hideMark/>
          </w:tcPr>
          <w:p w14:paraId="346AA4AA"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0.423</w:t>
            </w:r>
          </w:p>
        </w:tc>
        <w:tc>
          <w:tcPr>
            <w:tcW w:w="2317" w:type="dxa"/>
            <w:vAlign w:val="center"/>
            <w:hideMark/>
          </w:tcPr>
          <w:p w14:paraId="7A3BD2FD"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Sensitive</w:t>
            </w:r>
          </w:p>
        </w:tc>
      </w:tr>
      <w:tr w:rsidR="00EC1F56" w:rsidRPr="00A41EE4" w14:paraId="55AC6314" w14:textId="77777777" w:rsidTr="009904FC">
        <w:trPr>
          <w:jc w:val="center"/>
        </w:trPr>
        <w:tc>
          <w:tcPr>
            <w:tcW w:w="2371" w:type="dxa"/>
            <w:tcBorders>
              <w:top w:val="nil"/>
              <w:left w:val="nil"/>
              <w:bottom w:val="single" w:sz="4" w:space="0" w:color="auto"/>
              <w:right w:val="nil"/>
            </w:tcBorders>
            <w:vAlign w:val="center"/>
            <w:hideMark/>
          </w:tcPr>
          <w:p w14:paraId="5B5C9925" w14:textId="77777777" w:rsidR="00EC1F56" w:rsidRPr="00A41EE4" w:rsidRDefault="00EC1F56" w:rsidP="008C37B4">
            <w:pPr>
              <w:pStyle w:val="Heading1"/>
              <w:ind w:left="289"/>
              <w:jc w:val="center"/>
              <w:rPr>
                <w:rFonts w:ascii="Times New Roman" w:hAnsi="Times New Roman" w:cs="Times New Roman"/>
                <w:b w:val="0"/>
                <w:bCs w:val="0"/>
                <w:sz w:val="24"/>
                <w:szCs w:val="24"/>
              </w:rPr>
            </w:pPr>
            <w:proofErr w:type="spellStart"/>
            <w:r w:rsidRPr="00A41EE4">
              <w:rPr>
                <w:b w:val="0"/>
                <w:bCs w:val="0"/>
                <w:sz w:val="24"/>
                <w:szCs w:val="24"/>
              </w:rPr>
              <w:t>Wundumbatu</w:t>
            </w:r>
            <w:proofErr w:type="spellEnd"/>
          </w:p>
        </w:tc>
        <w:tc>
          <w:tcPr>
            <w:tcW w:w="1740" w:type="dxa"/>
            <w:tcBorders>
              <w:top w:val="nil"/>
              <w:left w:val="nil"/>
              <w:bottom w:val="single" w:sz="4" w:space="0" w:color="auto"/>
              <w:right w:val="nil"/>
            </w:tcBorders>
            <w:vAlign w:val="center"/>
          </w:tcPr>
          <w:p w14:paraId="0A6C01B4"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30</w:t>
            </w:r>
          </w:p>
        </w:tc>
        <w:tc>
          <w:tcPr>
            <w:tcW w:w="2598" w:type="dxa"/>
            <w:tcBorders>
              <w:top w:val="nil"/>
              <w:left w:val="nil"/>
              <w:bottom w:val="single" w:sz="4" w:space="0" w:color="auto"/>
              <w:right w:val="nil"/>
            </w:tcBorders>
            <w:vAlign w:val="center"/>
            <w:hideMark/>
          </w:tcPr>
          <w:p w14:paraId="6C8A0106"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0.432</w:t>
            </w:r>
          </w:p>
        </w:tc>
        <w:tc>
          <w:tcPr>
            <w:tcW w:w="2317" w:type="dxa"/>
            <w:tcBorders>
              <w:top w:val="nil"/>
              <w:left w:val="nil"/>
              <w:bottom w:val="single" w:sz="4" w:space="0" w:color="auto"/>
              <w:right w:val="nil"/>
            </w:tcBorders>
            <w:vAlign w:val="center"/>
            <w:hideMark/>
          </w:tcPr>
          <w:p w14:paraId="05562A96" w14:textId="77777777" w:rsidR="00EC1F56" w:rsidRPr="00A41EE4" w:rsidRDefault="00EC1F56" w:rsidP="008C37B4">
            <w:pPr>
              <w:pStyle w:val="Heading1"/>
              <w:ind w:left="289"/>
              <w:jc w:val="center"/>
              <w:rPr>
                <w:rFonts w:ascii="Times New Roman" w:hAnsi="Times New Roman" w:cs="Times New Roman"/>
                <w:b w:val="0"/>
                <w:bCs w:val="0"/>
                <w:sz w:val="24"/>
                <w:szCs w:val="24"/>
              </w:rPr>
            </w:pPr>
            <w:r w:rsidRPr="00A41EE4">
              <w:rPr>
                <w:b w:val="0"/>
                <w:bCs w:val="0"/>
                <w:sz w:val="24"/>
                <w:szCs w:val="24"/>
              </w:rPr>
              <w:t>Sensitive</w:t>
            </w:r>
          </w:p>
        </w:tc>
      </w:tr>
    </w:tbl>
    <w:p w14:paraId="3AED3150" w14:textId="5562F4C3" w:rsidR="009E6FB0" w:rsidRPr="00A41EE4" w:rsidRDefault="009E6FB0" w:rsidP="009E6FB0">
      <w:pPr>
        <w:pStyle w:val="Heading1"/>
        <w:ind w:left="289"/>
        <w:rPr>
          <w:rFonts w:ascii="Times New Roman" w:hAnsi="Times New Roman" w:cs="Times New Roman"/>
          <w:b w:val="0"/>
          <w:bCs w:val="0"/>
          <w:sz w:val="24"/>
          <w:szCs w:val="24"/>
        </w:rPr>
      </w:pPr>
    </w:p>
    <w:p w14:paraId="28E84AD1" w14:textId="2819CDD8" w:rsidR="007D38EB" w:rsidRPr="00A41EE4" w:rsidRDefault="009E6FB0" w:rsidP="007D38EB">
      <w:pPr>
        <w:pStyle w:val="Heading1"/>
        <w:ind w:left="289"/>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Similarly, mosquito populations from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Subdistrict were also classified as sensitive, with all mean AV values below 0.700. The highest AV was recorded in </w:t>
      </w:r>
      <w:proofErr w:type="spellStart"/>
      <w:r w:rsidRPr="00A41EE4">
        <w:rPr>
          <w:rFonts w:ascii="Times New Roman" w:hAnsi="Times New Roman" w:cs="Times New Roman"/>
          <w:b w:val="0"/>
          <w:bCs w:val="0"/>
          <w:sz w:val="24"/>
          <w:szCs w:val="24"/>
        </w:rPr>
        <w:t>Watubangga</w:t>
      </w:r>
      <w:proofErr w:type="spellEnd"/>
      <w:r w:rsidRPr="00A41EE4">
        <w:rPr>
          <w:rFonts w:ascii="Times New Roman" w:hAnsi="Times New Roman" w:cs="Times New Roman"/>
          <w:b w:val="0"/>
          <w:bCs w:val="0"/>
          <w:sz w:val="24"/>
          <w:szCs w:val="24"/>
        </w:rPr>
        <w:t xml:space="preserve"> Village (0.291), and the lowest in </w:t>
      </w:r>
      <w:proofErr w:type="spellStart"/>
      <w:r w:rsidRPr="00A41EE4">
        <w:rPr>
          <w:rFonts w:ascii="Times New Roman" w:hAnsi="Times New Roman" w:cs="Times New Roman"/>
          <w:b w:val="0"/>
          <w:bCs w:val="0"/>
          <w:sz w:val="24"/>
          <w:szCs w:val="24"/>
        </w:rPr>
        <w:t>Wundudopi</w:t>
      </w:r>
      <w:proofErr w:type="spellEnd"/>
      <w:r w:rsidRPr="00A41EE4">
        <w:rPr>
          <w:rFonts w:ascii="Times New Roman" w:hAnsi="Times New Roman" w:cs="Times New Roman"/>
          <w:b w:val="0"/>
          <w:bCs w:val="0"/>
          <w:sz w:val="24"/>
          <w:szCs w:val="24"/>
        </w:rPr>
        <w:t xml:space="preserve"> Village (0.188) (Table 2).</w:t>
      </w:r>
    </w:p>
    <w:p w14:paraId="1BC0B994" w14:textId="77777777" w:rsidR="009E6FB0" w:rsidRPr="00A41EE4" w:rsidRDefault="009E6FB0" w:rsidP="007D38EB">
      <w:pPr>
        <w:pStyle w:val="Heading1"/>
        <w:ind w:left="289"/>
        <w:rPr>
          <w:rFonts w:ascii="Times New Roman" w:hAnsi="Times New Roman" w:cs="Times New Roman"/>
          <w:b w:val="0"/>
          <w:bCs w:val="0"/>
          <w:sz w:val="24"/>
          <w:szCs w:val="24"/>
        </w:rPr>
      </w:pPr>
    </w:p>
    <w:p w14:paraId="137410B3" w14:textId="77777777" w:rsidR="00DE137C" w:rsidRDefault="00DE137C" w:rsidP="00EC1F56">
      <w:pPr>
        <w:ind w:left="284"/>
        <w:rPr>
          <w:rFonts w:ascii="Times New Roman" w:hAnsi="Times New Roman" w:cs="Times New Roman"/>
          <w:b/>
          <w:bCs/>
          <w:sz w:val="24"/>
          <w:szCs w:val="24"/>
        </w:rPr>
      </w:pPr>
      <w:r w:rsidRPr="00DE137C">
        <w:rPr>
          <w:rFonts w:ascii="Times New Roman" w:hAnsi="Times New Roman" w:cs="Times New Roman"/>
          <w:b/>
          <w:bCs/>
          <w:sz w:val="24"/>
          <w:szCs w:val="24"/>
        </w:rPr>
        <w:t xml:space="preserve">Enzyme activity in </w:t>
      </w:r>
      <w:proofErr w:type="spellStart"/>
      <w:r w:rsidRPr="00DE137C">
        <w:rPr>
          <w:rFonts w:ascii="Times New Roman" w:hAnsi="Times New Roman" w:cs="Times New Roman"/>
          <w:b/>
          <w:bCs/>
          <w:sz w:val="24"/>
          <w:szCs w:val="24"/>
        </w:rPr>
        <w:t>Baruga</w:t>
      </w:r>
      <w:proofErr w:type="spellEnd"/>
      <w:r w:rsidRPr="00DE137C">
        <w:rPr>
          <w:rFonts w:ascii="Times New Roman" w:hAnsi="Times New Roman" w:cs="Times New Roman"/>
          <w:b/>
          <w:bCs/>
          <w:sz w:val="24"/>
          <w:szCs w:val="24"/>
        </w:rPr>
        <w:t xml:space="preserve"> Subdistrict</w:t>
      </w:r>
    </w:p>
    <w:p w14:paraId="30074691" w14:textId="695C429B" w:rsidR="00EC1F56" w:rsidRPr="00A41EE4" w:rsidRDefault="00EC1F56" w:rsidP="00EC1F56">
      <w:pPr>
        <w:ind w:left="284"/>
        <w:rPr>
          <w:sz w:val="24"/>
          <w:szCs w:val="24"/>
        </w:rPr>
      </w:pPr>
      <w:r w:rsidRPr="00A41EE4">
        <w:rPr>
          <w:sz w:val="24"/>
          <w:szCs w:val="24"/>
        </w:rPr>
        <w:t xml:space="preserve">Table 2. Non-specific esterase enzyme activity of </w:t>
      </w:r>
      <w:r w:rsidRPr="00A41EE4">
        <w:rPr>
          <w:i/>
          <w:iCs/>
          <w:sz w:val="24"/>
          <w:szCs w:val="24"/>
        </w:rPr>
        <w:t>Aedes</w:t>
      </w:r>
      <w:r w:rsidRPr="00A41EE4">
        <w:rPr>
          <w:sz w:val="24"/>
          <w:szCs w:val="24"/>
        </w:rPr>
        <w:t xml:space="preserve"> spp. mosquitoes in </w:t>
      </w:r>
      <w:proofErr w:type="spellStart"/>
      <w:r w:rsidRPr="00A41EE4">
        <w:rPr>
          <w:sz w:val="24"/>
          <w:szCs w:val="24"/>
        </w:rPr>
        <w:t>Baruga</w:t>
      </w:r>
      <w:proofErr w:type="spellEnd"/>
      <w:r w:rsidRPr="00A41EE4">
        <w:rPr>
          <w:sz w:val="24"/>
          <w:szCs w:val="24"/>
        </w:rPr>
        <w:t xml:space="preserve"> Subdistrict</w:t>
      </w:r>
    </w:p>
    <w:tbl>
      <w:tblPr>
        <w:tblStyle w:val="TableGrid"/>
        <w:tblW w:w="8552" w:type="dxa"/>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5"/>
        <w:gridCol w:w="1842"/>
        <w:gridCol w:w="2268"/>
        <w:gridCol w:w="2127"/>
      </w:tblGrid>
      <w:tr w:rsidR="00EC1F56" w:rsidRPr="00A41EE4" w14:paraId="5E67D1F3" w14:textId="77777777" w:rsidTr="002A5CDB">
        <w:tc>
          <w:tcPr>
            <w:tcW w:w="2315" w:type="dxa"/>
            <w:tcBorders>
              <w:top w:val="single" w:sz="4" w:space="0" w:color="auto"/>
              <w:left w:val="nil"/>
              <w:bottom w:val="single" w:sz="4" w:space="0" w:color="auto"/>
              <w:right w:val="nil"/>
            </w:tcBorders>
            <w:vAlign w:val="center"/>
            <w:hideMark/>
          </w:tcPr>
          <w:p w14:paraId="222B043E" w14:textId="77777777" w:rsidR="00EC1F56" w:rsidRPr="00A41EE4" w:rsidRDefault="00EC1F56" w:rsidP="008C37B4">
            <w:pPr>
              <w:jc w:val="center"/>
              <w:rPr>
                <w:rFonts w:ascii="Times New Roman" w:hAnsi="Times New Roman" w:cs="Times New Roman"/>
                <w:sz w:val="24"/>
                <w:szCs w:val="24"/>
              </w:rPr>
            </w:pPr>
            <w:r w:rsidRPr="00A41EE4">
              <w:rPr>
                <w:sz w:val="24"/>
                <w:szCs w:val="24"/>
              </w:rPr>
              <w:t>Village</w:t>
            </w:r>
          </w:p>
        </w:tc>
        <w:tc>
          <w:tcPr>
            <w:tcW w:w="1842" w:type="dxa"/>
            <w:tcBorders>
              <w:top w:val="single" w:sz="4" w:space="0" w:color="auto"/>
              <w:left w:val="nil"/>
              <w:bottom w:val="single" w:sz="4" w:space="0" w:color="auto"/>
              <w:right w:val="nil"/>
            </w:tcBorders>
            <w:vAlign w:val="center"/>
            <w:hideMark/>
          </w:tcPr>
          <w:p w14:paraId="674E70A6" w14:textId="77777777" w:rsidR="00EC1F56" w:rsidRPr="00A41EE4" w:rsidRDefault="00EC1F56" w:rsidP="002A5CDB">
            <w:pPr>
              <w:jc w:val="center"/>
              <w:rPr>
                <w:rFonts w:ascii="Times New Roman" w:hAnsi="Times New Roman" w:cs="Times New Roman"/>
                <w:sz w:val="24"/>
                <w:szCs w:val="24"/>
              </w:rPr>
            </w:pPr>
            <w:r w:rsidRPr="00A41EE4">
              <w:rPr>
                <w:sz w:val="24"/>
                <w:szCs w:val="24"/>
              </w:rPr>
              <w:t>Sample Size (n)</w:t>
            </w:r>
          </w:p>
        </w:tc>
        <w:tc>
          <w:tcPr>
            <w:tcW w:w="2268" w:type="dxa"/>
            <w:tcBorders>
              <w:top w:val="single" w:sz="4" w:space="0" w:color="auto"/>
              <w:left w:val="nil"/>
              <w:bottom w:val="single" w:sz="4" w:space="0" w:color="auto"/>
              <w:right w:val="nil"/>
            </w:tcBorders>
            <w:vAlign w:val="center"/>
          </w:tcPr>
          <w:p w14:paraId="47447E00" w14:textId="77777777" w:rsidR="00EC1F56" w:rsidRPr="00A41EE4" w:rsidRDefault="00EC1F56" w:rsidP="002A5CDB">
            <w:pPr>
              <w:jc w:val="center"/>
              <w:rPr>
                <w:rFonts w:ascii="Times New Roman" w:hAnsi="Times New Roman" w:cs="Times New Roman"/>
                <w:sz w:val="24"/>
                <w:szCs w:val="24"/>
              </w:rPr>
            </w:pPr>
            <w:r w:rsidRPr="00A41EE4">
              <w:rPr>
                <w:sz w:val="24"/>
                <w:szCs w:val="24"/>
              </w:rPr>
              <w:t>Mean Absorbance Value (AV)</w:t>
            </w:r>
          </w:p>
        </w:tc>
        <w:tc>
          <w:tcPr>
            <w:tcW w:w="2127" w:type="dxa"/>
            <w:tcBorders>
              <w:top w:val="single" w:sz="4" w:space="0" w:color="auto"/>
              <w:left w:val="nil"/>
              <w:bottom w:val="single" w:sz="4" w:space="0" w:color="auto"/>
              <w:right w:val="nil"/>
            </w:tcBorders>
            <w:vAlign w:val="center"/>
            <w:hideMark/>
          </w:tcPr>
          <w:p w14:paraId="29A29CD8" w14:textId="77777777" w:rsidR="00EC1F56" w:rsidRPr="00A41EE4" w:rsidRDefault="00EC1F56" w:rsidP="002A5CDB">
            <w:pPr>
              <w:jc w:val="center"/>
              <w:rPr>
                <w:rFonts w:ascii="Times New Roman" w:hAnsi="Times New Roman" w:cs="Times New Roman"/>
                <w:sz w:val="24"/>
                <w:szCs w:val="24"/>
              </w:rPr>
            </w:pPr>
            <w:r w:rsidRPr="00A41EE4">
              <w:rPr>
                <w:sz w:val="24"/>
                <w:szCs w:val="24"/>
              </w:rPr>
              <w:t>Susceptibility Status</w:t>
            </w:r>
          </w:p>
        </w:tc>
      </w:tr>
      <w:tr w:rsidR="00EC1F56" w:rsidRPr="00A41EE4" w14:paraId="02085992" w14:textId="77777777" w:rsidTr="002A5CDB">
        <w:tc>
          <w:tcPr>
            <w:tcW w:w="2315" w:type="dxa"/>
            <w:tcBorders>
              <w:top w:val="single" w:sz="4" w:space="0" w:color="auto"/>
              <w:left w:val="nil"/>
              <w:bottom w:val="nil"/>
              <w:right w:val="nil"/>
            </w:tcBorders>
            <w:vAlign w:val="center"/>
            <w:hideMark/>
          </w:tcPr>
          <w:p w14:paraId="4FEE3C0E" w14:textId="77777777" w:rsidR="00EC1F56" w:rsidRPr="00A41EE4" w:rsidRDefault="00EC1F56" w:rsidP="008C37B4">
            <w:pPr>
              <w:jc w:val="center"/>
              <w:rPr>
                <w:rFonts w:ascii="Times New Roman" w:hAnsi="Times New Roman" w:cs="Times New Roman"/>
                <w:sz w:val="24"/>
                <w:szCs w:val="24"/>
              </w:rPr>
            </w:pPr>
            <w:proofErr w:type="spellStart"/>
            <w:r w:rsidRPr="00A41EE4">
              <w:rPr>
                <w:sz w:val="24"/>
                <w:szCs w:val="24"/>
              </w:rPr>
              <w:t>Baruga</w:t>
            </w:r>
            <w:proofErr w:type="spellEnd"/>
          </w:p>
        </w:tc>
        <w:tc>
          <w:tcPr>
            <w:tcW w:w="1842" w:type="dxa"/>
            <w:tcBorders>
              <w:top w:val="single" w:sz="4" w:space="0" w:color="auto"/>
              <w:left w:val="nil"/>
              <w:bottom w:val="nil"/>
              <w:right w:val="nil"/>
            </w:tcBorders>
            <w:vAlign w:val="center"/>
            <w:hideMark/>
          </w:tcPr>
          <w:p w14:paraId="0182CAB1" w14:textId="77777777" w:rsidR="00EC1F56" w:rsidRPr="00A41EE4" w:rsidRDefault="00EC1F56" w:rsidP="002A5CDB">
            <w:pPr>
              <w:jc w:val="center"/>
              <w:rPr>
                <w:rFonts w:ascii="Times New Roman" w:hAnsi="Times New Roman" w:cs="Times New Roman"/>
                <w:sz w:val="24"/>
                <w:szCs w:val="24"/>
              </w:rPr>
            </w:pPr>
            <w:r w:rsidRPr="00A41EE4">
              <w:rPr>
                <w:sz w:val="24"/>
                <w:szCs w:val="24"/>
              </w:rPr>
              <w:t>30</w:t>
            </w:r>
          </w:p>
        </w:tc>
        <w:tc>
          <w:tcPr>
            <w:tcW w:w="2268" w:type="dxa"/>
            <w:tcBorders>
              <w:top w:val="single" w:sz="4" w:space="0" w:color="auto"/>
              <w:left w:val="nil"/>
              <w:bottom w:val="nil"/>
              <w:right w:val="nil"/>
            </w:tcBorders>
            <w:vAlign w:val="center"/>
          </w:tcPr>
          <w:p w14:paraId="11A6A778" w14:textId="77777777" w:rsidR="00EC1F56" w:rsidRPr="00A41EE4" w:rsidRDefault="00EC1F56" w:rsidP="002A5CDB">
            <w:pPr>
              <w:jc w:val="center"/>
              <w:rPr>
                <w:rFonts w:ascii="Times New Roman" w:hAnsi="Times New Roman" w:cs="Times New Roman"/>
                <w:sz w:val="24"/>
                <w:szCs w:val="24"/>
              </w:rPr>
            </w:pPr>
            <w:r w:rsidRPr="00A41EE4">
              <w:rPr>
                <w:sz w:val="24"/>
                <w:szCs w:val="24"/>
              </w:rPr>
              <w:t>0.224</w:t>
            </w:r>
          </w:p>
        </w:tc>
        <w:tc>
          <w:tcPr>
            <w:tcW w:w="2127" w:type="dxa"/>
            <w:tcBorders>
              <w:top w:val="single" w:sz="4" w:space="0" w:color="auto"/>
              <w:left w:val="nil"/>
              <w:bottom w:val="nil"/>
              <w:right w:val="nil"/>
            </w:tcBorders>
            <w:vAlign w:val="center"/>
            <w:hideMark/>
          </w:tcPr>
          <w:p w14:paraId="41735ECB" w14:textId="77777777" w:rsidR="00EC1F56" w:rsidRPr="00A41EE4" w:rsidRDefault="00EC1F56" w:rsidP="002A5CDB">
            <w:pPr>
              <w:jc w:val="center"/>
              <w:rPr>
                <w:rFonts w:ascii="Times New Roman" w:hAnsi="Times New Roman" w:cs="Times New Roman"/>
                <w:sz w:val="24"/>
                <w:szCs w:val="24"/>
              </w:rPr>
            </w:pPr>
            <w:r w:rsidRPr="00A41EE4">
              <w:rPr>
                <w:sz w:val="24"/>
                <w:szCs w:val="24"/>
              </w:rPr>
              <w:t>Sensitive</w:t>
            </w:r>
          </w:p>
        </w:tc>
      </w:tr>
      <w:tr w:rsidR="00EC1F56" w:rsidRPr="00A41EE4" w14:paraId="61CD43FD" w14:textId="77777777" w:rsidTr="002A5CDB">
        <w:tc>
          <w:tcPr>
            <w:tcW w:w="2315" w:type="dxa"/>
            <w:vAlign w:val="center"/>
            <w:hideMark/>
          </w:tcPr>
          <w:p w14:paraId="1560DA4F" w14:textId="77777777" w:rsidR="00EC1F56" w:rsidRPr="00A41EE4" w:rsidRDefault="00EC1F56" w:rsidP="008C37B4">
            <w:pPr>
              <w:jc w:val="center"/>
              <w:rPr>
                <w:rFonts w:ascii="Times New Roman" w:hAnsi="Times New Roman" w:cs="Times New Roman"/>
                <w:sz w:val="24"/>
                <w:szCs w:val="24"/>
              </w:rPr>
            </w:pPr>
            <w:r w:rsidRPr="00A41EE4">
              <w:rPr>
                <w:sz w:val="24"/>
                <w:szCs w:val="24"/>
              </w:rPr>
              <w:t>Lepo-Lepo</w:t>
            </w:r>
          </w:p>
        </w:tc>
        <w:tc>
          <w:tcPr>
            <w:tcW w:w="1842" w:type="dxa"/>
            <w:vAlign w:val="center"/>
            <w:hideMark/>
          </w:tcPr>
          <w:p w14:paraId="3FA3B8E1" w14:textId="77777777" w:rsidR="00EC1F56" w:rsidRPr="00A41EE4" w:rsidRDefault="00EC1F56" w:rsidP="002A5CDB">
            <w:pPr>
              <w:jc w:val="center"/>
              <w:rPr>
                <w:rFonts w:ascii="Times New Roman" w:hAnsi="Times New Roman" w:cs="Times New Roman"/>
                <w:sz w:val="24"/>
                <w:szCs w:val="24"/>
              </w:rPr>
            </w:pPr>
            <w:r w:rsidRPr="00A41EE4">
              <w:rPr>
                <w:sz w:val="24"/>
                <w:szCs w:val="24"/>
              </w:rPr>
              <w:t>30</w:t>
            </w:r>
          </w:p>
        </w:tc>
        <w:tc>
          <w:tcPr>
            <w:tcW w:w="2268" w:type="dxa"/>
            <w:vAlign w:val="center"/>
          </w:tcPr>
          <w:p w14:paraId="06F878B7" w14:textId="77777777" w:rsidR="00EC1F56" w:rsidRPr="00A41EE4" w:rsidRDefault="00EC1F56" w:rsidP="002A5CDB">
            <w:pPr>
              <w:jc w:val="center"/>
              <w:rPr>
                <w:rFonts w:ascii="Times New Roman" w:hAnsi="Times New Roman" w:cs="Times New Roman"/>
                <w:sz w:val="24"/>
                <w:szCs w:val="24"/>
              </w:rPr>
            </w:pPr>
            <w:r w:rsidRPr="00A41EE4">
              <w:rPr>
                <w:sz w:val="24"/>
                <w:szCs w:val="24"/>
              </w:rPr>
              <w:t>0.260</w:t>
            </w:r>
          </w:p>
        </w:tc>
        <w:tc>
          <w:tcPr>
            <w:tcW w:w="2127" w:type="dxa"/>
            <w:vAlign w:val="center"/>
            <w:hideMark/>
          </w:tcPr>
          <w:p w14:paraId="053BCA51" w14:textId="77777777" w:rsidR="00EC1F56" w:rsidRPr="00A41EE4" w:rsidRDefault="00EC1F56" w:rsidP="002A5CDB">
            <w:pPr>
              <w:jc w:val="center"/>
              <w:rPr>
                <w:rFonts w:ascii="Times New Roman" w:hAnsi="Times New Roman" w:cs="Times New Roman"/>
                <w:sz w:val="24"/>
                <w:szCs w:val="24"/>
              </w:rPr>
            </w:pPr>
            <w:r w:rsidRPr="00A41EE4">
              <w:rPr>
                <w:sz w:val="24"/>
                <w:szCs w:val="24"/>
              </w:rPr>
              <w:t>Sensitive</w:t>
            </w:r>
          </w:p>
        </w:tc>
      </w:tr>
      <w:tr w:rsidR="00EC1F56" w:rsidRPr="00A41EE4" w14:paraId="4D43F503" w14:textId="77777777" w:rsidTr="002A5CDB">
        <w:tc>
          <w:tcPr>
            <w:tcW w:w="2315" w:type="dxa"/>
            <w:vAlign w:val="center"/>
            <w:hideMark/>
          </w:tcPr>
          <w:p w14:paraId="1AB63474" w14:textId="77777777" w:rsidR="00EC1F56" w:rsidRPr="00A41EE4" w:rsidRDefault="00EC1F56" w:rsidP="008C37B4">
            <w:pPr>
              <w:jc w:val="center"/>
              <w:rPr>
                <w:rFonts w:ascii="Times New Roman" w:hAnsi="Times New Roman" w:cs="Times New Roman"/>
                <w:sz w:val="24"/>
                <w:szCs w:val="24"/>
              </w:rPr>
            </w:pPr>
            <w:proofErr w:type="spellStart"/>
            <w:r w:rsidRPr="00A41EE4">
              <w:rPr>
                <w:sz w:val="24"/>
                <w:szCs w:val="24"/>
              </w:rPr>
              <w:t>Watubangga</w:t>
            </w:r>
            <w:proofErr w:type="spellEnd"/>
          </w:p>
        </w:tc>
        <w:tc>
          <w:tcPr>
            <w:tcW w:w="1842" w:type="dxa"/>
            <w:vAlign w:val="center"/>
            <w:hideMark/>
          </w:tcPr>
          <w:p w14:paraId="5B06FD10" w14:textId="77777777" w:rsidR="00EC1F56" w:rsidRPr="00A41EE4" w:rsidRDefault="00EC1F56" w:rsidP="002A5CDB">
            <w:pPr>
              <w:jc w:val="center"/>
              <w:rPr>
                <w:rFonts w:ascii="Times New Roman" w:hAnsi="Times New Roman" w:cs="Times New Roman"/>
                <w:sz w:val="24"/>
                <w:szCs w:val="24"/>
              </w:rPr>
            </w:pPr>
            <w:r w:rsidRPr="00A41EE4">
              <w:rPr>
                <w:sz w:val="24"/>
                <w:szCs w:val="24"/>
              </w:rPr>
              <w:t>30</w:t>
            </w:r>
          </w:p>
        </w:tc>
        <w:tc>
          <w:tcPr>
            <w:tcW w:w="2268" w:type="dxa"/>
            <w:vAlign w:val="center"/>
          </w:tcPr>
          <w:p w14:paraId="36272E1F" w14:textId="77777777" w:rsidR="00EC1F56" w:rsidRPr="00A41EE4" w:rsidRDefault="00EC1F56" w:rsidP="002A5CDB">
            <w:pPr>
              <w:jc w:val="center"/>
              <w:rPr>
                <w:rFonts w:ascii="Times New Roman" w:hAnsi="Times New Roman" w:cs="Times New Roman"/>
                <w:sz w:val="24"/>
                <w:szCs w:val="24"/>
              </w:rPr>
            </w:pPr>
            <w:r w:rsidRPr="00A41EE4">
              <w:rPr>
                <w:sz w:val="24"/>
                <w:szCs w:val="24"/>
              </w:rPr>
              <w:t>0.291</w:t>
            </w:r>
          </w:p>
        </w:tc>
        <w:tc>
          <w:tcPr>
            <w:tcW w:w="2127" w:type="dxa"/>
            <w:vAlign w:val="center"/>
            <w:hideMark/>
          </w:tcPr>
          <w:p w14:paraId="182136E7" w14:textId="77777777" w:rsidR="00EC1F56" w:rsidRPr="00A41EE4" w:rsidRDefault="00EC1F56" w:rsidP="002A5CDB">
            <w:pPr>
              <w:jc w:val="center"/>
              <w:rPr>
                <w:rFonts w:ascii="Times New Roman" w:hAnsi="Times New Roman" w:cs="Times New Roman"/>
                <w:sz w:val="24"/>
                <w:szCs w:val="24"/>
              </w:rPr>
            </w:pPr>
            <w:r w:rsidRPr="00A41EE4">
              <w:rPr>
                <w:sz w:val="24"/>
                <w:szCs w:val="24"/>
              </w:rPr>
              <w:t>Sensitive</w:t>
            </w:r>
          </w:p>
        </w:tc>
      </w:tr>
      <w:tr w:rsidR="00EC1F56" w:rsidRPr="00A41EE4" w14:paraId="5AAA5BA4" w14:textId="77777777" w:rsidTr="002A5CDB">
        <w:tc>
          <w:tcPr>
            <w:tcW w:w="2315" w:type="dxa"/>
            <w:tcBorders>
              <w:top w:val="nil"/>
              <w:left w:val="nil"/>
              <w:bottom w:val="single" w:sz="4" w:space="0" w:color="auto"/>
              <w:right w:val="nil"/>
            </w:tcBorders>
            <w:vAlign w:val="center"/>
            <w:hideMark/>
          </w:tcPr>
          <w:p w14:paraId="431B5DAA" w14:textId="77777777" w:rsidR="00EC1F56" w:rsidRPr="00A41EE4" w:rsidRDefault="00EC1F56" w:rsidP="008C37B4">
            <w:pPr>
              <w:jc w:val="center"/>
              <w:rPr>
                <w:rFonts w:ascii="Times New Roman" w:hAnsi="Times New Roman" w:cs="Times New Roman"/>
                <w:sz w:val="24"/>
                <w:szCs w:val="24"/>
              </w:rPr>
            </w:pPr>
            <w:proofErr w:type="spellStart"/>
            <w:r w:rsidRPr="00A41EE4">
              <w:rPr>
                <w:sz w:val="24"/>
                <w:szCs w:val="24"/>
              </w:rPr>
              <w:t>Wundudopi</w:t>
            </w:r>
            <w:proofErr w:type="spellEnd"/>
          </w:p>
        </w:tc>
        <w:tc>
          <w:tcPr>
            <w:tcW w:w="1842" w:type="dxa"/>
            <w:tcBorders>
              <w:top w:val="nil"/>
              <w:left w:val="nil"/>
              <w:bottom w:val="single" w:sz="4" w:space="0" w:color="auto"/>
              <w:right w:val="nil"/>
            </w:tcBorders>
            <w:vAlign w:val="center"/>
            <w:hideMark/>
          </w:tcPr>
          <w:p w14:paraId="0BE519FA" w14:textId="77777777" w:rsidR="00EC1F56" w:rsidRPr="00A41EE4" w:rsidRDefault="00EC1F56" w:rsidP="002A5CDB">
            <w:pPr>
              <w:jc w:val="center"/>
              <w:rPr>
                <w:rFonts w:ascii="Times New Roman" w:hAnsi="Times New Roman" w:cs="Times New Roman"/>
                <w:sz w:val="24"/>
                <w:szCs w:val="24"/>
              </w:rPr>
            </w:pPr>
            <w:r w:rsidRPr="00A41EE4">
              <w:rPr>
                <w:sz w:val="24"/>
                <w:szCs w:val="24"/>
              </w:rPr>
              <w:t>30</w:t>
            </w:r>
          </w:p>
        </w:tc>
        <w:tc>
          <w:tcPr>
            <w:tcW w:w="2268" w:type="dxa"/>
            <w:tcBorders>
              <w:top w:val="nil"/>
              <w:left w:val="nil"/>
              <w:bottom w:val="single" w:sz="4" w:space="0" w:color="auto"/>
              <w:right w:val="nil"/>
            </w:tcBorders>
            <w:vAlign w:val="center"/>
          </w:tcPr>
          <w:p w14:paraId="6F224FC7" w14:textId="77777777" w:rsidR="00EC1F56" w:rsidRPr="00A41EE4" w:rsidRDefault="00EC1F56" w:rsidP="002A5CDB">
            <w:pPr>
              <w:jc w:val="center"/>
              <w:rPr>
                <w:rFonts w:ascii="Times New Roman" w:hAnsi="Times New Roman" w:cs="Times New Roman"/>
                <w:sz w:val="24"/>
                <w:szCs w:val="24"/>
              </w:rPr>
            </w:pPr>
            <w:r w:rsidRPr="00A41EE4">
              <w:rPr>
                <w:sz w:val="24"/>
                <w:szCs w:val="24"/>
              </w:rPr>
              <w:t>0.188</w:t>
            </w:r>
          </w:p>
        </w:tc>
        <w:tc>
          <w:tcPr>
            <w:tcW w:w="2127" w:type="dxa"/>
            <w:tcBorders>
              <w:top w:val="nil"/>
              <w:left w:val="nil"/>
              <w:bottom w:val="single" w:sz="4" w:space="0" w:color="auto"/>
              <w:right w:val="nil"/>
            </w:tcBorders>
            <w:vAlign w:val="center"/>
            <w:hideMark/>
          </w:tcPr>
          <w:p w14:paraId="125B7BD5" w14:textId="77777777" w:rsidR="00EC1F56" w:rsidRPr="00A41EE4" w:rsidRDefault="00EC1F56" w:rsidP="002A5CDB">
            <w:pPr>
              <w:jc w:val="center"/>
              <w:rPr>
                <w:rFonts w:ascii="Times New Roman" w:hAnsi="Times New Roman" w:cs="Times New Roman"/>
                <w:sz w:val="24"/>
                <w:szCs w:val="24"/>
              </w:rPr>
            </w:pPr>
            <w:r w:rsidRPr="00A41EE4">
              <w:rPr>
                <w:sz w:val="24"/>
                <w:szCs w:val="24"/>
              </w:rPr>
              <w:t>Sensitive</w:t>
            </w:r>
          </w:p>
        </w:tc>
      </w:tr>
    </w:tbl>
    <w:p w14:paraId="7BD10AF7" w14:textId="7CF57AEF" w:rsidR="004C646B" w:rsidRPr="00A41EE4" w:rsidRDefault="009E6FB0" w:rsidP="007D38EB">
      <w:pPr>
        <w:pStyle w:val="Heading1"/>
        <w:ind w:left="289"/>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Comparative analysis using the Mann–Whitney test revealed a significant difference in enzyme activity between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and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Subdistricts (p &lt; 0.001). Furthermore, the Kruskal–</w:t>
      </w:r>
      <w:proofErr w:type="gramStart"/>
      <w:r w:rsidRPr="00A41EE4">
        <w:rPr>
          <w:rFonts w:ascii="Times New Roman" w:hAnsi="Times New Roman" w:cs="Times New Roman"/>
          <w:b w:val="0"/>
          <w:bCs w:val="0"/>
          <w:sz w:val="24"/>
          <w:szCs w:val="24"/>
        </w:rPr>
        <w:t>Wallis</w:t>
      </w:r>
      <w:proofErr w:type="gramEnd"/>
      <w:r w:rsidRPr="00A41EE4">
        <w:rPr>
          <w:rFonts w:ascii="Times New Roman" w:hAnsi="Times New Roman" w:cs="Times New Roman"/>
          <w:b w:val="0"/>
          <w:bCs w:val="0"/>
          <w:sz w:val="24"/>
          <w:szCs w:val="24"/>
        </w:rPr>
        <w:t xml:space="preserve"> test showed statistically significant differences in enzyme activity among villages within each subdistrict (p &lt; 0.001).</w:t>
      </w:r>
    </w:p>
    <w:p w14:paraId="020A7503" w14:textId="77777777" w:rsidR="008C37B4" w:rsidRDefault="008C37B4" w:rsidP="00FD483C">
      <w:pPr>
        <w:pStyle w:val="Heading1"/>
        <w:ind w:left="289"/>
        <w:rPr>
          <w:rFonts w:ascii="Times New Roman" w:hAnsi="Times New Roman" w:cs="Times New Roman"/>
          <w:spacing w:val="-2"/>
          <w:sz w:val="24"/>
          <w:szCs w:val="24"/>
        </w:rPr>
      </w:pPr>
    </w:p>
    <w:p w14:paraId="78666D20" w14:textId="382517AF" w:rsidR="00FD483C" w:rsidRPr="00A41EE4" w:rsidRDefault="00FD483C" w:rsidP="00FD483C">
      <w:pPr>
        <w:pStyle w:val="Heading1"/>
        <w:ind w:left="289"/>
        <w:rPr>
          <w:rFonts w:ascii="Times New Roman" w:hAnsi="Times New Roman" w:cs="Times New Roman"/>
          <w:spacing w:val="-2"/>
          <w:sz w:val="24"/>
          <w:szCs w:val="24"/>
        </w:rPr>
      </w:pPr>
      <w:r w:rsidRPr="00A41EE4">
        <w:rPr>
          <w:rFonts w:ascii="Times New Roman" w:hAnsi="Times New Roman" w:cs="Times New Roman"/>
          <w:spacing w:val="-2"/>
          <w:sz w:val="24"/>
          <w:szCs w:val="24"/>
        </w:rPr>
        <w:t>Discussion</w:t>
      </w:r>
    </w:p>
    <w:p w14:paraId="55216F7B" w14:textId="49F2796F"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Biochemical testing is one of the tests for insect susceptibility (resistance or tolerance) to insecticides, in addition to the WHO standard test (susceptibility test) using impregnated paper or paper dyed with insecticides. Biochemical testing is a technique to detect mosquito resistance to essential insecticides based on the quantification of enzymes responsible for the resistance process. The advantage of biochemical testing is that information on susceptibility </w:t>
      </w:r>
      <w:r w:rsidRPr="00A41EE4">
        <w:rPr>
          <w:rFonts w:ascii="Times New Roman" w:hAnsi="Times New Roman" w:cs="Times New Roman"/>
          <w:b w:val="0"/>
          <w:bCs w:val="0"/>
          <w:sz w:val="24"/>
          <w:szCs w:val="24"/>
        </w:rPr>
        <w:lastRenderedPageBreak/>
        <w:t xml:space="preserve">status is obtained more quickly and can show the mechanism of susceptibility reduction (resistance and tolerance) measured in individual insects. Measurement of susceptibility status is based on the activity of non-specific esterase enzymes illustrated through the AV value on the </w:t>
      </w:r>
      <w:r w:rsidR="00DB1927" w:rsidRPr="00A41EE4">
        <w:rPr>
          <w:rFonts w:ascii="Times New Roman" w:hAnsi="Times New Roman" w:cs="Times New Roman"/>
          <w:b w:val="0"/>
          <w:bCs w:val="0"/>
          <w:sz w:val="24"/>
          <w:szCs w:val="24"/>
        </w:rPr>
        <w:t>ELISA reader</w:t>
      </w:r>
      <w:r w:rsidRPr="00A41EE4">
        <w:rPr>
          <w:rFonts w:ascii="Times New Roman" w:hAnsi="Times New Roman" w:cs="Times New Roman"/>
          <w:b w:val="0"/>
          <w:bCs w:val="0"/>
          <w:sz w:val="24"/>
          <w:szCs w:val="24"/>
        </w:rPr>
        <w:t xml:space="preserve"> (5). </w:t>
      </w:r>
    </w:p>
    <w:p w14:paraId="7EBEB49F" w14:textId="77777777"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Pyrethroids are synthetic insecticides from </w:t>
      </w:r>
      <w:proofErr w:type="spellStart"/>
      <w:r w:rsidRPr="00A41EE4">
        <w:rPr>
          <w:rFonts w:ascii="Times New Roman" w:hAnsi="Times New Roman" w:cs="Times New Roman"/>
          <w:b w:val="0"/>
          <w:bCs w:val="0"/>
          <w:sz w:val="24"/>
          <w:szCs w:val="24"/>
        </w:rPr>
        <w:t>peritin</w:t>
      </w:r>
      <w:proofErr w:type="spellEnd"/>
      <w:r w:rsidRPr="00A41EE4">
        <w:rPr>
          <w:rFonts w:ascii="Times New Roman" w:hAnsi="Times New Roman" w:cs="Times New Roman"/>
          <w:b w:val="0"/>
          <w:bCs w:val="0"/>
          <w:sz w:val="24"/>
          <w:szCs w:val="24"/>
        </w:rPr>
        <w:t xml:space="preserve"> derivatives derived from pyrethrum plants (</w:t>
      </w:r>
      <w:r w:rsidRPr="00A41EE4">
        <w:rPr>
          <w:rFonts w:ascii="Times New Roman" w:hAnsi="Times New Roman" w:cs="Times New Roman"/>
          <w:b w:val="0"/>
          <w:bCs w:val="0"/>
          <w:i/>
          <w:iCs/>
          <w:sz w:val="24"/>
          <w:szCs w:val="24"/>
        </w:rPr>
        <w:t xml:space="preserve">Tanacetum </w:t>
      </w:r>
      <w:proofErr w:type="spellStart"/>
      <w:r w:rsidRPr="00A41EE4">
        <w:rPr>
          <w:rFonts w:ascii="Times New Roman" w:hAnsi="Times New Roman" w:cs="Times New Roman"/>
          <w:b w:val="0"/>
          <w:bCs w:val="0"/>
          <w:i/>
          <w:iCs/>
          <w:sz w:val="24"/>
          <w:szCs w:val="24"/>
        </w:rPr>
        <w:t>cinerariaefolium</w:t>
      </w:r>
      <w:proofErr w:type="spellEnd"/>
      <w:r w:rsidRPr="00A41EE4">
        <w:rPr>
          <w:rFonts w:ascii="Times New Roman" w:hAnsi="Times New Roman" w:cs="Times New Roman"/>
          <w:b w:val="0"/>
          <w:bCs w:val="0"/>
          <w:sz w:val="24"/>
          <w:szCs w:val="24"/>
        </w:rPr>
        <w:t>). In general, pyrethroid-class insecticides will cause neurotoxic effects on insects (6). The mechanism of pyrethroids works on the insect nervous system in the form of axon toxins that bind to the Voltage-Gate Sodium Channel (VGSC) which makes the ion channel always open so that the depolarization phase occurs continuously and makes the insect become paralyzed and then fall (knock-down) and die (7). Mosquitoes with insecticide resistance will find an increase in cytochrome P450 (CYP) enzymes, and carboxylesterases (COEs). These enzymes will cause knockdown resistance (</w:t>
      </w:r>
      <w:proofErr w:type="spellStart"/>
      <w:r w:rsidRPr="00A41EE4">
        <w:rPr>
          <w:rFonts w:ascii="Times New Roman" w:hAnsi="Times New Roman" w:cs="Times New Roman"/>
          <w:b w:val="0"/>
          <w:bCs w:val="0"/>
          <w:sz w:val="24"/>
          <w:szCs w:val="24"/>
        </w:rPr>
        <w:t>kdr</w:t>
      </w:r>
      <w:proofErr w:type="spellEnd"/>
      <w:r w:rsidRPr="00A41EE4">
        <w:rPr>
          <w:rFonts w:ascii="Times New Roman" w:hAnsi="Times New Roman" w:cs="Times New Roman"/>
          <w:b w:val="0"/>
          <w:bCs w:val="0"/>
          <w:sz w:val="24"/>
          <w:szCs w:val="24"/>
        </w:rPr>
        <w:t>) in mosquitoes. The mechanism occurs when mosquitoes are exposed to pyrethroid insecticides. The pyrethroid will cause continuous depolarization of the VGSC of the mosquito axon which will keep the ion channel open and cause the knock-down effect. In mosquitoes that have experienced resistance, pyrethroid insecticides attached to ion channels will undergo changes to 3-phenoxybenzyl alcohol (</w:t>
      </w:r>
      <w:proofErr w:type="spellStart"/>
      <w:r w:rsidRPr="00A41EE4">
        <w:rPr>
          <w:rFonts w:ascii="Times New Roman" w:hAnsi="Times New Roman" w:cs="Times New Roman"/>
          <w:b w:val="0"/>
          <w:bCs w:val="0"/>
          <w:sz w:val="24"/>
          <w:szCs w:val="24"/>
        </w:rPr>
        <w:t>PBAlc</w:t>
      </w:r>
      <w:proofErr w:type="spellEnd"/>
      <w:r w:rsidRPr="00A41EE4">
        <w:rPr>
          <w:rFonts w:ascii="Times New Roman" w:hAnsi="Times New Roman" w:cs="Times New Roman"/>
          <w:b w:val="0"/>
          <w:bCs w:val="0"/>
          <w:sz w:val="24"/>
          <w:szCs w:val="24"/>
        </w:rPr>
        <w:t>) which is not toxic to ion channels so that the ion channels will be closed again so that the depolarization phase becomes normal again and mosquitoes will experience knockdown resistance (</w:t>
      </w:r>
      <w:proofErr w:type="spellStart"/>
      <w:r w:rsidRPr="00A41EE4">
        <w:rPr>
          <w:rFonts w:ascii="Times New Roman" w:hAnsi="Times New Roman" w:cs="Times New Roman"/>
          <w:b w:val="0"/>
          <w:bCs w:val="0"/>
          <w:sz w:val="24"/>
          <w:szCs w:val="24"/>
        </w:rPr>
        <w:t>kdr</w:t>
      </w:r>
      <w:proofErr w:type="spellEnd"/>
      <w:r w:rsidRPr="00A41EE4">
        <w:rPr>
          <w:rFonts w:ascii="Times New Roman" w:hAnsi="Times New Roman" w:cs="Times New Roman"/>
          <w:b w:val="0"/>
          <w:bCs w:val="0"/>
          <w:sz w:val="24"/>
          <w:szCs w:val="24"/>
        </w:rPr>
        <w:t xml:space="preserve">) (8). </w:t>
      </w:r>
    </w:p>
    <w:p w14:paraId="75242A06" w14:textId="77777777"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Another resistance mechanism is the detoxification of pyrethroid insecticides by the esterase enzyme found in </w:t>
      </w:r>
      <w:r w:rsidRPr="00A41EE4">
        <w:rPr>
          <w:rFonts w:ascii="Times New Roman" w:hAnsi="Times New Roman" w:cs="Times New Roman"/>
          <w:b w:val="0"/>
          <w:bCs w:val="0"/>
          <w:i/>
          <w:iCs/>
          <w:sz w:val="24"/>
          <w:szCs w:val="24"/>
        </w:rPr>
        <w:t xml:space="preserve">Aedes </w:t>
      </w:r>
      <w:r w:rsidRPr="00A41EE4">
        <w:rPr>
          <w:rFonts w:ascii="Times New Roman" w:hAnsi="Times New Roman" w:cs="Times New Roman"/>
          <w:b w:val="0"/>
          <w:bCs w:val="0"/>
          <w:sz w:val="24"/>
          <w:szCs w:val="24"/>
        </w:rPr>
        <w:t>spp</w:t>
      </w:r>
      <w:r w:rsidRPr="00A41EE4">
        <w:rPr>
          <w:rFonts w:ascii="Times New Roman" w:hAnsi="Times New Roman" w:cs="Times New Roman"/>
          <w:b w:val="0"/>
          <w:bCs w:val="0"/>
          <w:i/>
          <w:iCs/>
          <w:sz w:val="24"/>
          <w:szCs w:val="24"/>
        </w:rPr>
        <w:t>.</w:t>
      </w:r>
      <w:r w:rsidRPr="00A41EE4">
        <w:rPr>
          <w:rFonts w:ascii="Times New Roman" w:hAnsi="Times New Roman" w:cs="Times New Roman"/>
          <w:b w:val="0"/>
          <w:bCs w:val="0"/>
          <w:sz w:val="24"/>
          <w:szCs w:val="24"/>
        </w:rPr>
        <w:t xml:space="preserve"> The esterase enzyme hydrolyzes the ester bonds in pyrethroid compounds into non-toxic alcohols and acids (9). </w:t>
      </w:r>
    </w:p>
    <w:p w14:paraId="076D2889" w14:textId="77777777"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Many studies have shown that increased levels of detoxification enzymes such as non-specific esterase enzymes, are associated with the development of resistance to pyrethroids and in mosquitoes. This is in line with the research of Putra et al. (</w:t>
      </w:r>
      <w:proofErr w:type="gramStart"/>
      <w:r w:rsidRPr="00A41EE4">
        <w:rPr>
          <w:rFonts w:ascii="Times New Roman" w:hAnsi="Times New Roman" w:cs="Times New Roman"/>
          <w:b w:val="0"/>
          <w:bCs w:val="0"/>
          <w:sz w:val="24"/>
          <w:szCs w:val="24"/>
        </w:rPr>
        <w:t>2016)(</w:t>
      </w:r>
      <w:proofErr w:type="gramEnd"/>
      <w:r w:rsidRPr="00A41EE4">
        <w:rPr>
          <w:rFonts w:ascii="Times New Roman" w:hAnsi="Times New Roman" w:cs="Times New Roman"/>
          <w:b w:val="0"/>
          <w:bCs w:val="0"/>
          <w:sz w:val="24"/>
          <w:szCs w:val="24"/>
        </w:rPr>
        <w:t>10), which states an increase in non-specific esterase enzymes as a mechanism of resistance to pyrethroid insecticides.</w:t>
      </w:r>
    </w:p>
    <w:p w14:paraId="01B8C918" w14:textId="5D7E9ED8"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Based on Table 1 and Table 2, it was found that all </w:t>
      </w:r>
      <w:r w:rsidRPr="00A41EE4">
        <w:rPr>
          <w:rFonts w:ascii="Times New Roman" w:hAnsi="Times New Roman" w:cs="Times New Roman"/>
          <w:b w:val="0"/>
          <w:bCs w:val="0"/>
          <w:i/>
          <w:iCs/>
          <w:sz w:val="24"/>
          <w:szCs w:val="24"/>
        </w:rPr>
        <w:t xml:space="preserve">Aedes </w:t>
      </w:r>
      <w:r w:rsidRPr="00A41EE4">
        <w:rPr>
          <w:rFonts w:ascii="Times New Roman" w:hAnsi="Times New Roman" w:cs="Times New Roman"/>
          <w:b w:val="0"/>
          <w:bCs w:val="0"/>
          <w:sz w:val="24"/>
          <w:szCs w:val="24"/>
        </w:rPr>
        <w:t>spp</w:t>
      </w:r>
      <w:r w:rsidRPr="00A41EE4">
        <w:rPr>
          <w:rFonts w:ascii="Times New Roman" w:hAnsi="Times New Roman" w:cs="Times New Roman"/>
          <w:b w:val="0"/>
          <w:bCs w:val="0"/>
          <w:i/>
          <w:iCs/>
          <w:sz w:val="24"/>
          <w:szCs w:val="24"/>
        </w:rPr>
        <w:t>.</w:t>
      </w:r>
      <w:r w:rsidRPr="00A41EE4">
        <w:rPr>
          <w:rFonts w:ascii="Times New Roman" w:hAnsi="Times New Roman" w:cs="Times New Roman"/>
          <w:b w:val="0"/>
          <w:bCs w:val="0"/>
          <w:sz w:val="24"/>
          <w:szCs w:val="24"/>
        </w:rPr>
        <w:t xml:space="preserve"> mosquitoes from both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and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ubdistricts have a mean AV below 0.700, which means they are still sensitive to pyrethroid insecticides.</w:t>
      </w:r>
    </w:p>
    <w:p w14:paraId="29074F79" w14:textId="00E32FE0" w:rsidR="004C646B" w:rsidRPr="00A41EE4" w:rsidRDefault="004C646B"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One of the influential factors in the resistance process is operational factors, one of which is the use of insecticides in fogging. Kendari City has been using pyrethroid insecticides for the last 6 years. The use of this type of insecticide is relatively recent. Therefore, it has not yet led to resistance in </w:t>
      </w:r>
      <w:r w:rsidRPr="00A41EE4">
        <w:rPr>
          <w:rFonts w:ascii="Times New Roman" w:hAnsi="Times New Roman" w:cs="Times New Roman"/>
          <w:b w:val="0"/>
          <w:bCs w:val="0"/>
          <w:i/>
          <w:iCs/>
          <w:sz w:val="24"/>
          <w:szCs w:val="24"/>
        </w:rPr>
        <w:t xml:space="preserve">Aedes </w:t>
      </w:r>
      <w:r w:rsidRPr="00A41EE4">
        <w:rPr>
          <w:rFonts w:ascii="Times New Roman" w:hAnsi="Times New Roman" w:cs="Times New Roman"/>
          <w:b w:val="0"/>
          <w:bCs w:val="0"/>
          <w:sz w:val="24"/>
          <w:szCs w:val="24"/>
        </w:rPr>
        <w:t>spp</w:t>
      </w:r>
      <w:r w:rsidRPr="00A41EE4">
        <w:rPr>
          <w:rFonts w:ascii="Times New Roman" w:hAnsi="Times New Roman" w:cs="Times New Roman"/>
          <w:b w:val="0"/>
          <w:bCs w:val="0"/>
          <w:i/>
          <w:iCs/>
          <w:sz w:val="24"/>
          <w:szCs w:val="24"/>
        </w:rPr>
        <w:t>.</w:t>
      </w:r>
      <w:r w:rsidRPr="00A41EE4">
        <w:rPr>
          <w:rFonts w:ascii="Times New Roman" w:hAnsi="Times New Roman" w:cs="Times New Roman"/>
          <w:b w:val="0"/>
          <w:bCs w:val="0"/>
          <w:sz w:val="24"/>
          <w:szCs w:val="24"/>
        </w:rPr>
        <w:t xml:space="preserve"> mosquitoes in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Subdistrict and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Subdistrict. </w:t>
      </w:r>
      <w:r w:rsidR="00FD53B9" w:rsidRPr="00A41EE4">
        <w:rPr>
          <w:rFonts w:ascii="Times New Roman" w:hAnsi="Times New Roman" w:cs="Times New Roman"/>
          <w:b w:val="0"/>
          <w:bCs w:val="0"/>
          <w:sz w:val="24"/>
          <w:szCs w:val="24"/>
        </w:rPr>
        <w:t>Insecticide resistance occurs due to continuous use over a long period and improper dosage. Irawati and Putri</w:t>
      </w:r>
      <w:r w:rsidRPr="00A41EE4">
        <w:rPr>
          <w:rFonts w:ascii="Times New Roman" w:hAnsi="Times New Roman" w:cs="Times New Roman"/>
          <w:b w:val="0"/>
          <w:bCs w:val="0"/>
          <w:sz w:val="24"/>
          <w:szCs w:val="24"/>
        </w:rPr>
        <w:t xml:space="preserve"> (</w:t>
      </w:r>
      <w:proofErr w:type="gramStart"/>
      <w:r w:rsidRPr="00A41EE4">
        <w:rPr>
          <w:rFonts w:ascii="Times New Roman" w:hAnsi="Times New Roman" w:cs="Times New Roman"/>
          <w:b w:val="0"/>
          <w:bCs w:val="0"/>
          <w:sz w:val="24"/>
          <w:szCs w:val="24"/>
        </w:rPr>
        <w:t>2021)(</w:t>
      </w:r>
      <w:proofErr w:type="gramEnd"/>
      <w:r w:rsidRPr="00A41EE4">
        <w:rPr>
          <w:rFonts w:ascii="Times New Roman" w:hAnsi="Times New Roman" w:cs="Times New Roman"/>
          <w:b w:val="0"/>
          <w:bCs w:val="0"/>
          <w:sz w:val="24"/>
          <w:szCs w:val="24"/>
        </w:rPr>
        <w:t xml:space="preserve">11) </w:t>
      </w:r>
      <w:r w:rsidR="002A0E3E"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 xml:space="preserve">tated that the use of cypermethrin insecticide which has been used for more than the last 10 years in </w:t>
      </w:r>
      <w:proofErr w:type="spellStart"/>
      <w:r w:rsidRPr="00A41EE4">
        <w:rPr>
          <w:rFonts w:ascii="Times New Roman" w:hAnsi="Times New Roman" w:cs="Times New Roman"/>
          <w:b w:val="0"/>
          <w:bCs w:val="0"/>
          <w:sz w:val="24"/>
          <w:szCs w:val="24"/>
        </w:rPr>
        <w:t>Klaten</w:t>
      </w:r>
      <w:proofErr w:type="spellEnd"/>
      <w:r w:rsidRPr="00A41EE4">
        <w:rPr>
          <w:rFonts w:ascii="Times New Roman" w:hAnsi="Times New Roman" w:cs="Times New Roman"/>
          <w:b w:val="0"/>
          <w:bCs w:val="0"/>
          <w:sz w:val="24"/>
          <w:szCs w:val="24"/>
        </w:rPr>
        <w:t xml:space="preserve"> Regency as a fogging material, it was found that the </w:t>
      </w:r>
      <w:r w:rsidRPr="00A41EE4">
        <w:rPr>
          <w:rFonts w:ascii="Times New Roman" w:hAnsi="Times New Roman" w:cs="Times New Roman"/>
          <w:b w:val="0"/>
          <w:bCs w:val="0"/>
          <w:i/>
          <w:iCs/>
          <w:sz w:val="24"/>
          <w:szCs w:val="24"/>
        </w:rPr>
        <w:t>Ae. aegypti</w:t>
      </w:r>
      <w:r w:rsidRPr="00A41EE4">
        <w:rPr>
          <w:rFonts w:ascii="Times New Roman" w:hAnsi="Times New Roman" w:cs="Times New Roman"/>
          <w:b w:val="0"/>
          <w:bCs w:val="0"/>
          <w:sz w:val="24"/>
          <w:szCs w:val="24"/>
        </w:rPr>
        <w:t xml:space="preserve"> mosquito was resistant to cypermethrin insecticide. The same thing was also reported in Semarang, where </w:t>
      </w:r>
      <w:r w:rsidRPr="00A41EE4">
        <w:rPr>
          <w:rFonts w:ascii="Times New Roman" w:hAnsi="Times New Roman" w:cs="Times New Roman"/>
          <w:b w:val="0"/>
          <w:bCs w:val="0"/>
          <w:i/>
          <w:iCs/>
          <w:sz w:val="24"/>
          <w:szCs w:val="24"/>
        </w:rPr>
        <w:t>Ae. aegypti</w:t>
      </w:r>
      <w:r w:rsidRPr="00A41EE4">
        <w:rPr>
          <w:rFonts w:ascii="Times New Roman" w:hAnsi="Times New Roman" w:cs="Times New Roman"/>
          <w:b w:val="0"/>
          <w:bCs w:val="0"/>
          <w:sz w:val="24"/>
          <w:szCs w:val="24"/>
        </w:rPr>
        <w:t xml:space="preserve"> mosquitoes have been resistant to cypermethrin insecticide, which is known that cypermethrin insecticide has been used for more than 10 years (12). </w:t>
      </w:r>
    </w:p>
    <w:p w14:paraId="18809FD1" w14:textId="0DE71618" w:rsidR="004C646B" w:rsidRPr="00A41EE4" w:rsidRDefault="00DB5F9D"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Differences in non-specific esterase enzyme activity among regions may be influenced by variations in vector control practices, frequency of insecticide exposure, and environmental conditions (13).</w:t>
      </w:r>
      <w:r w:rsidR="004C646B" w:rsidRPr="00A41EE4">
        <w:rPr>
          <w:rFonts w:ascii="Times New Roman" w:hAnsi="Times New Roman" w:cs="Times New Roman"/>
          <w:b w:val="0"/>
          <w:bCs w:val="0"/>
          <w:sz w:val="24"/>
          <w:szCs w:val="24"/>
        </w:rPr>
        <w:t xml:space="preserve"> In addition, there are differences in genes in each mosquito population that result in differences in non-specific esterase enzyme activity in various regions (14). </w:t>
      </w:r>
      <w:r w:rsidR="002A0E3E" w:rsidRPr="00A41EE4">
        <w:rPr>
          <w:rFonts w:ascii="Times New Roman" w:hAnsi="Times New Roman" w:cs="Times New Roman"/>
          <w:b w:val="0"/>
          <w:bCs w:val="0"/>
          <w:sz w:val="24"/>
          <w:szCs w:val="24"/>
        </w:rPr>
        <w:t>Mosquitoes often migrate to other areas within a radius of approximately 100 meters, which influences the spread of resistance genes.</w:t>
      </w:r>
      <w:r w:rsidR="004C646B" w:rsidRPr="00A41EE4">
        <w:rPr>
          <w:rFonts w:ascii="Times New Roman" w:hAnsi="Times New Roman" w:cs="Times New Roman"/>
          <w:b w:val="0"/>
          <w:bCs w:val="0"/>
          <w:sz w:val="24"/>
          <w:szCs w:val="24"/>
        </w:rPr>
        <w:t xml:space="preserve"> This affects the number of surviving mosquito </w:t>
      </w:r>
      <w:r w:rsidR="004C646B" w:rsidRPr="00A41EE4">
        <w:rPr>
          <w:rFonts w:ascii="Times New Roman" w:hAnsi="Times New Roman" w:cs="Times New Roman"/>
          <w:b w:val="0"/>
          <w:bCs w:val="0"/>
          <w:sz w:val="24"/>
          <w:szCs w:val="24"/>
        </w:rPr>
        <w:lastRenderedPageBreak/>
        <w:t>individuals and consequently the evolution of mosquito resistance in the area. The effect of this migration will occur if mosquitoes with resistant genes lay eggs in other places so that there will be generations of mosquitoes carrying resistant traits (15). Differences in esterase enzyme activity are thought to occur due to cross-resistance between similar insecticides or groups, in the research of Susanty et al. (</w:t>
      </w:r>
      <w:proofErr w:type="gramStart"/>
      <w:r w:rsidR="004C646B" w:rsidRPr="00A41EE4">
        <w:rPr>
          <w:rFonts w:ascii="Times New Roman" w:hAnsi="Times New Roman" w:cs="Times New Roman"/>
          <w:b w:val="0"/>
          <w:bCs w:val="0"/>
          <w:sz w:val="24"/>
          <w:szCs w:val="24"/>
        </w:rPr>
        <w:t>2023)(</w:t>
      </w:r>
      <w:proofErr w:type="gramEnd"/>
      <w:r w:rsidR="004C646B" w:rsidRPr="00A41EE4">
        <w:rPr>
          <w:rFonts w:ascii="Times New Roman" w:hAnsi="Times New Roman" w:cs="Times New Roman"/>
          <w:b w:val="0"/>
          <w:bCs w:val="0"/>
          <w:sz w:val="24"/>
          <w:szCs w:val="24"/>
        </w:rPr>
        <w:t xml:space="preserve">16), showed that </w:t>
      </w:r>
      <w:r w:rsidR="004C646B" w:rsidRPr="00A41EE4">
        <w:rPr>
          <w:rFonts w:ascii="Times New Roman" w:hAnsi="Times New Roman" w:cs="Times New Roman"/>
          <w:b w:val="0"/>
          <w:bCs w:val="0"/>
          <w:i/>
          <w:iCs/>
          <w:sz w:val="24"/>
          <w:szCs w:val="24"/>
        </w:rPr>
        <w:t>Ae. aegypti</w:t>
      </w:r>
      <w:r w:rsidR="004C646B" w:rsidRPr="00A41EE4">
        <w:rPr>
          <w:rFonts w:ascii="Times New Roman" w:hAnsi="Times New Roman" w:cs="Times New Roman"/>
          <w:b w:val="0"/>
          <w:bCs w:val="0"/>
          <w:sz w:val="24"/>
          <w:szCs w:val="24"/>
        </w:rPr>
        <w:t xml:space="preserve"> is resistant to malathion (organophosphate) and cypermethrin (pyrethroid) this is also supported by research by Couso-Ferrer et al. (</w:t>
      </w:r>
      <w:proofErr w:type="gramStart"/>
      <w:r w:rsidR="004C646B" w:rsidRPr="00A41EE4">
        <w:rPr>
          <w:rFonts w:ascii="Times New Roman" w:hAnsi="Times New Roman" w:cs="Times New Roman"/>
          <w:b w:val="0"/>
          <w:bCs w:val="0"/>
          <w:sz w:val="24"/>
          <w:szCs w:val="24"/>
        </w:rPr>
        <w:t>2011)(</w:t>
      </w:r>
      <w:proofErr w:type="gramEnd"/>
      <w:r w:rsidR="004C646B" w:rsidRPr="00A41EE4">
        <w:rPr>
          <w:rFonts w:ascii="Times New Roman" w:hAnsi="Times New Roman" w:cs="Times New Roman"/>
          <w:b w:val="0"/>
          <w:bCs w:val="0"/>
          <w:sz w:val="24"/>
          <w:szCs w:val="24"/>
        </w:rPr>
        <w:t xml:space="preserve">17), which states that the resistance of </w:t>
      </w:r>
      <w:r w:rsidR="004C646B" w:rsidRPr="00A41EE4">
        <w:rPr>
          <w:rFonts w:ascii="Times New Roman" w:hAnsi="Times New Roman" w:cs="Times New Roman"/>
          <w:b w:val="0"/>
          <w:bCs w:val="0"/>
          <w:i/>
          <w:iCs/>
          <w:sz w:val="24"/>
          <w:szCs w:val="24"/>
        </w:rPr>
        <w:t>Ceratitis capitata</w:t>
      </w:r>
      <w:r w:rsidR="004C646B" w:rsidRPr="00A41EE4">
        <w:rPr>
          <w:rFonts w:ascii="Times New Roman" w:hAnsi="Times New Roman" w:cs="Times New Roman"/>
          <w:b w:val="0"/>
          <w:bCs w:val="0"/>
          <w:sz w:val="24"/>
          <w:szCs w:val="24"/>
        </w:rPr>
        <w:t xml:space="preserve"> to malathion is due to cross-resistance with other insecticides such as pyrethroid groups which causes increased esterase enzyme activity. The same detoxification enzymes such as esterases can metabolize insecticides of different classes, leading to cross-resistance.</w:t>
      </w:r>
    </w:p>
    <w:p w14:paraId="3568A3EE" w14:textId="0B31340D" w:rsidR="00402F9C" w:rsidRPr="00A41EE4" w:rsidRDefault="00402F9C" w:rsidP="004C646B">
      <w:pPr>
        <w:pStyle w:val="Heading1"/>
        <w:ind w:left="289" w:firstLine="561"/>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Although statistically significant differences in enzyme activity were observed, the mean AV values in both subdistricts remained below the resistance threshold (&lt;0.700), thus maintaining sensitive status.</w:t>
      </w:r>
    </w:p>
    <w:p w14:paraId="4ECEE0CD" w14:textId="77777777" w:rsidR="00815AF5" w:rsidRPr="00A41EE4" w:rsidRDefault="00815AF5" w:rsidP="00815AF5">
      <w:pPr>
        <w:pStyle w:val="Heading1"/>
        <w:ind w:left="289" w:firstLine="561"/>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The findings of this study have important public health implications. The continued susceptibility of </w:t>
      </w:r>
      <w:r w:rsidRPr="00A41EE4">
        <w:rPr>
          <w:rFonts w:ascii="Times New Roman" w:hAnsi="Times New Roman" w:cs="Times New Roman"/>
          <w:b w:val="0"/>
          <w:bCs w:val="0"/>
          <w:i/>
          <w:iCs/>
          <w:sz w:val="24"/>
          <w:szCs w:val="24"/>
          <w:lang w:val="en-ID"/>
        </w:rPr>
        <w:t>Aedes</w:t>
      </w:r>
      <w:r w:rsidRPr="00A41EE4">
        <w:rPr>
          <w:rFonts w:ascii="Times New Roman" w:hAnsi="Times New Roman" w:cs="Times New Roman"/>
          <w:b w:val="0"/>
          <w:bCs w:val="0"/>
          <w:sz w:val="24"/>
          <w:szCs w:val="24"/>
          <w:lang w:val="en-ID"/>
        </w:rPr>
        <w:t xml:space="preserve"> spp. mosquitoes to pyrethroids indicates that current fogging strategies remain effective in the study areas. However, the observed variation in enzyme activity may represent an early warning of potential resistance development. Public health authorities should implement routine resistance surveillance and consider integrated vector management approaches to prevent future control failure. These measures are critical to sustaining the effectiveness of dengue prevention programs and reducing disease burden in endemic regions.</w:t>
      </w:r>
    </w:p>
    <w:p w14:paraId="54C79367" w14:textId="77777777" w:rsidR="00815AF5" w:rsidRPr="00A41EE4" w:rsidRDefault="00815AF5" w:rsidP="004C646B">
      <w:pPr>
        <w:pStyle w:val="Heading1"/>
        <w:ind w:left="289" w:firstLine="561"/>
        <w:jc w:val="both"/>
        <w:rPr>
          <w:rFonts w:ascii="Times New Roman" w:hAnsi="Times New Roman" w:cs="Times New Roman"/>
          <w:b w:val="0"/>
          <w:bCs w:val="0"/>
          <w:sz w:val="24"/>
          <w:szCs w:val="24"/>
        </w:rPr>
      </w:pPr>
    </w:p>
    <w:p w14:paraId="41C22755" w14:textId="32B3FA81" w:rsidR="00FD483C" w:rsidRPr="00A41EE4" w:rsidRDefault="00FD483C" w:rsidP="00815AF5">
      <w:pPr>
        <w:pStyle w:val="Heading1"/>
        <w:spacing w:before="227"/>
        <w:ind w:left="0" w:firstLine="287"/>
        <w:rPr>
          <w:rFonts w:ascii="Times New Roman" w:hAnsi="Times New Roman" w:cs="Times New Roman"/>
          <w:sz w:val="24"/>
          <w:szCs w:val="24"/>
        </w:rPr>
      </w:pPr>
      <w:r w:rsidRPr="00A41EE4">
        <w:rPr>
          <w:rFonts w:ascii="Times New Roman" w:hAnsi="Times New Roman" w:cs="Times New Roman"/>
          <w:spacing w:val="-2"/>
          <w:sz w:val="24"/>
          <w:szCs w:val="24"/>
        </w:rPr>
        <w:t>Conclusion</w:t>
      </w:r>
    </w:p>
    <w:p w14:paraId="5F8E83D0" w14:textId="0A8F1C4B" w:rsidR="00DB1927" w:rsidRPr="00A41EE4" w:rsidRDefault="00DB1927" w:rsidP="00A65958">
      <w:pPr>
        <w:pStyle w:val="BodyText"/>
        <w:spacing w:before="7"/>
        <w:ind w:left="287" w:right="222" w:firstLine="564"/>
        <w:jc w:val="both"/>
        <w:rPr>
          <w:rFonts w:ascii="Times New Roman" w:hAnsi="Times New Roman" w:cs="Times New Roman"/>
          <w:sz w:val="24"/>
          <w:szCs w:val="24"/>
        </w:rPr>
      </w:pPr>
      <w:r w:rsidRPr="00A41EE4">
        <w:rPr>
          <w:rFonts w:ascii="Times New Roman" w:hAnsi="Times New Roman" w:cs="Times New Roman"/>
          <w:sz w:val="24"/>
          <w:szCs w:val="24"/>
        </w:rPr>
        <w:t>This study has several limitations. The assessment of susceptibility status was based solely on biochemical tests without WHO standard bioassay confirmation. Therefore, further studies combining biochemical and bioassay methods are recommended for comprehensive resistance monitoring.</w:t>
      </w:r>
    </w:p>
    <w:p w14:paraId="506BD02E" w14:textId="63C4F164" w:rsidR="00FD483C" w:rsidRDefault="00AA37B7" w:rsidP="00FD483C">
      <w:pPr>
        <w:pStyle w:val="BodyText"/>
        <w:spacing w:before="7"/>
        <w:ind w:left="287" w:right="222" w:firstLine="720"/>
        <w:jc w:val="both"/>
        <w:rPr>
          <w:rFonts w:ascii="Times New Roman" w:hAnsi="Times New Roman" w:cs="Times New Roman"/>
          <w:sz w:val="24"/>
          <w:szCs w:val="24"/>
        </w:rPr>
      </w:pPr>
      <w:r w:rsidRPr="00A41EE4">
        <w:rPr>
          <w:rFonts w:ascii="Times New Roman" w:hAnsi="Times New Roman" w:cs="Times New Roman"/>
          <w:sz w:val="24"/>
          <w:szCs w:val="24"/>
        </w:rPr>
        <w:t xml:space="preserve">In conclusion, </w:t>
      </w:r>
      <w:r w:rsidRPr="00A41EE4">
        <w:rPr>
          <w:rFonts w:ascii="Times New Roman" w:hAnsi="Times New Roman" w:cs="Times New Roman"/>
          <w:i/>
          <w:iCs/>
          <w:sz w:val="24"/>
          <w:szCs w:val="24"/>
        </w:rPr>
        <w:t>Aedes</w:t>
      </w:r>
      <w:r w:rsidRPr="00A41EE4">
        <w:rPr>
          <w:rFonts w:ascii="Times New Roman" w:hAnsi="Times New Roman" w:cs="Times New Roman"/>
          <w:sz w:val="24"/>
          <w:szCs w:val="24"/>
        </w:rPr>
        <w:t xml:space="preserve"> spp. mosquitoes in the study areas remain susceptible to pyrethroid insecticides, supporting the continued use of these compounds in dengue vector control. However, the observed variability in enzyme activity underscores the importance of continuous monitoring and adaptive public health strategies to ensure long-term effectiveness of dengue prevention programs.</w:t>
      </w:r>
    </w:p>
    <w:p w14:paraId="29A36C09" w14:textId="77777777" w:rsidR="00AF12ED" w:rsidRDefault="00AF12ED" w:rsidP="00AF12ED">
      <w:pPr>
        <w:spacing w:after="160" w:line="278" w:lineRule="auto"/>
        <w:ind w:left="284"/>
      </w:pPr>
    </w:p>
    <w:p w14:paraId="7A06CD39" w14:textId="159FAC58" w:rsidR="00AF12ED" w:rsidRPr="00CE0B02" w:rsidRDefault="00AF12ED" w:rsidP="00AF12ED">
      <w:pPr>
        <w:spacing w:after="160" w:line="278" w:lineRule="auto"/>
        <w:ind w:left="284"/>
      </w:pPr>
      <w:proofErr w:type="gramStart"/>
      <w:r w:rsidRPr="00CE0B02">
        <w:rPr>
          <w:b/>
          <w:bCs/>
        </w:rPr>
        <w:t xml:space="preserve">Acknowledgments </w:t>
      </w:r>
      <w:r>
        <w:rPr>
          <w:b/>
          <w:bCs/>
        </w:rPr>
        <w:t>:</w:t>
      </w:r>
      <w:proofErr w:type="gramEnd"/>
      <w:r w:rsidRPr="00CE0B02">
        <w:br/>
        <w:t>The authors would like to thank all parties who supported this research.</w:t>
      </w:r>
    </w:p>
    <w:p w14:paraId="20DD189C" w14:textId="77777777" w:rsidR="00965F77" w:rsidRDefault="00965F77" w:rsidP="00A65958">
      <w:pPr>
        <w:pStyle w:val="BodyText"/>
        <w:ind w:left="284"/>
        <w:jc w:val="both"/>
        <w:rPr>
          <w:rFonts w:ascii="Times New Roman" w:hAnsi="Times New Roman" w:cs="Times New Roman"/>
          <w:b/>
          <w:sz w:val="24"/>
          <w:szCs w:val="24"/>
        </w:rPr>
      </w:pPr>
    </w:p>
    <w:p w14:paraId="6E1CCB27" w14:textId="708B08CA" w:rsidR="00FD483C" w:rsidRPr="00A41EE4" w:rsidRDefault="00FD483C" w:rsidP="00A65958">
      <w:pPr>
        <w:pStyle w:val="BodyText"/>
        <w:ind w:left="284"/>
        <w:jc w:val="both"/>
        <w:rPr>
          <w:rFonts w:ascii="Times New Roman" w:hAnsi="Times New Roman" w:cs="Times New Roman"/>
          <w:b/>
          <w:sz w:val="24"/>
          <w:szCs w:val="24"/>
        </w:rPr>
      </w:pPr>
      <w:r w:rsidRPr="00A41EE4">
        <w:rPr>
          <w:rFonts w:ascii="Times New Roman" w:hAnsi="Times New Roman" w:cs="Times New Roman"/>
          <w:b/>
          <w:sz w:val="24"/>
          <w:szCs w:val="24"/>
        </w:rPr>
        <w:t>References</w:t>
      </w:r>
    </w:p>
    <w:p w14:paraId="61AA94BF" w14:textId="77777777" w:rsidR="00FD483C" w:rsidRPr="00A41EE4" w:rsidRDefault="00FD483C" w:rsidP="00FD483C">
      <w:pPr>
        <w:pStyle w:val="BodyText"/>
        <w:jc w:val="both"/>
        <w:rPr>
          <w:rFonts w:ascii="Times New Roman" w:hAnsi="Times New Roman" w:cs="Times New Roman"/>
          <w:sz w:val="24"/>
          <w:szCs w:val="24"/>
        </w:rPr>
      </w:pPr>
    </w:p>
    <w:p w14:paraId="1BDEE140" w14:textId="3348BD45"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Anindita R, </w:t>
      </w:r>
      <w:proofErr w:type="spellStart"/>
      <w:r w:rsidRPr="00A41EE4">
        <w:rPr>
          <w:rFonts w:ascii="Times New Roman" w:hAnsi="Times New Roman" w:cs="Times New Roman"/>
          <w:b w:val="0"/>
          <w:bCs w:val="0"/>
          <w:sz w:val="24"/>
          <w:szCs w:val="24"/>
          <w:lang w:val="en-ID"/>
        </w:rPr>
        <w:t>Kesetyaningsih</w:t>
      </w:r>
      <w:proofErr w:type="spellEnd"/>
      <w:r w:rsidRPr="00A41EE4">
        <w:rPr>
          <w:rFonts w:ascii="Times New Roman" w:hAnsi="Times New Roman" w:cs="Times New Roman"/>
          <w:b w:val="0"/>
          <w:bCs w:val="0"/>
          <w:sz w:val="24"/>
          <w:szCs w:val="24"/>
          <w:lang w:val="en-ID"/>
        </w:rPr>
        <w:t xml:space="preserve"> TW. Detection of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larval resistance using biochemical esterase activity test in Bantul, Yogyakarta. Mutiara Medika. 2007;7(2):88–94. </w:t>
      </w:r>
    </w:p>
    <w:p w14:paraId="50742326" w14:textId="7C656114"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Black WC, Snell TK, Saavedra-Rodriguez K, Kading RC, Campbell CL. From global to local: New insights into features of pyrethroid detoxification in vector mosquitoes. Insects. 2021;12(4):1–20. doi:10.3390/insects12040310 </w:t>
      </w:r>
    </w:p>
    <w:p w14:paraId="12754CE9" w14:textId="584A478E"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lastRenderedPageBreak/>
        <w:t xml:space="preserve">Couso-Ferrer F, Arouri R, </w:t>
      </w:r>
      <w:proofErr w:type="spellStart"/>
      <w:r w:rsidRPr="00A41EE4">
        <w:rPr>
          <w:rFonts w:ascii="Times New Roman" w:hAnsi="Times New Roman" w:cs="Times New Roman"/>
          <w:b w:val="0"/>
          <w:bCs w:val="0"/>
          <w:sz w:val="24"/>
          <w:szCs w:val="24"/>
          <w:lang w:val="en-ID"/>
        </w:rPr>
        <w:t>Beroiz</w:t>
      </w:r>
      <w:proofErr w:type="spellEnd"/>
      <w:r w:rsidRPr="00A41EE4">
        <w:rPr>
          <w:rFonts w:ascii="Times New Roman" w:hAnsi="Times New Roman" w:cs="Times New Roman"/>
          <w:b w:val="0"/>
          <w:bCs w:val="0"/>
          <w:sz w:val="24"/>
          <w:szCs w:val="24"/>
          <w:lang w:val="en-ID"/>
        </w:rPr>
        <w:t xml:space="preserve"> B, Perera N, Cervera A, Navarro-Llopis V. Cross-resistance to insecticides in a malathion-resistant strain of </w:t>
      </w:r>
      <w:r w:rsidRPr="00A41EE4">
        <w:rPr>
          <w:rFonts w:ascii="Times New Roman" w:hAnsi="Times New Roman" w:cs="Times New Roman"/>
          <w:b w:val="0"/>
          <w:bCs w:val="0"/>
          <w:i/>
          <w:iCs/>
          <w:sz w:val="24"/>
          <w:szCs w:val="24"/>
          <w:lang w:val="en-ID"/>
        </w:rPr>
        <w:t>Ceratitis capitata</w:t>
      </w:r>
      <w:r w:rsidRPr="00A41EE4">
        <w:rPr>
          <w:rFonts w:ascii="Times New Roman" w:hAnsi="Times New Roman" w:cs="Times New Roman"/>
          <w:b w:val="0"/>
          <w:bCs w:val="0"/>
          <w:sz w:val="24"/>
          <w:szCs w:val="24"/>
          <w:lang w:val="en-ID"/>
        </w:rPr>
        <w:t xml:space="preserve">. J Econ </w:t>
      </w:r>
      <w:proofErr w:type="spellStart"/>
      <w:r w:rsidRPr="00A41EE4">
        <w:rPr>
          <w:rFonts w:ascii="Times New Roman" w:hAnsi="Times New Roman" w:cs="Times New Roman"/>
          <w:b w:val="0"/>
          <w:bCs w:val="0"/>
          <w:sz w:val="24"/>
          <w:szCs w:val="24"/>
          <w:lang w:val="en-ID"/>
        </w:rPr>
        <w:t>Entomol</w:t>
      </w:r>
      <w:proofErr w:type="spellEnd"/>
      <w:r w:rsidRPr="00A41EE4">
        <w:rPr>
          <w:rFonts w:ascii="Times New Roman" w:hAnsi="Times New Roman" w:cs="Times New Roman"/>
          <w:b w:val="0"/>
          <w:bCs w:val="0"/>
          <w:sz w:val="24"/>
          <w:szCs w:val="24"/>
          <w:lang w:val="en-ID"/>
        </w:rPr>
        <w:t xml:space="preserve">. 2011;104(4):1349–1356. doi:10.1603/EC11078 </w:t>
      </w:r>
    </w:p>
    <w:p w14:paraId="391453E5" w14:textId="34A80634"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Dinas Kesehatan Kota Kendari. </w:t>
      </w:r>
      <w:proofErr w:type="spellStart"/>
      <w:r w:rsidRPr="00A41EE4">
        <w:rPr>
          <w:rFonts w:ascii="Times New Roman" w:hAnsi="Times New Roman" w:cs="Times New Roman"/>
          <w:b w:val="0"/>
          <w:bCs w:val="0"/>
          <w:sz w:val="24"/>
          <w:szCs w:val="24"/>
          <w:lang w:val="en-ID"/>
        </w:rPr>
        <w:t>Laporan</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kasus</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demam</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berdarah</w:t>
      </w:r>
      <w:proofErr w:type="spellEnd"/>
      <w:r w:rsidRPr="00A41EE4">
        <w:rPr>
          <w:rFonts w:ascii="Times New Roman" w:hAnsi="Times New Roman" w:cs="Times New Roman"/>
          <w:b w:val="0"/>
          <w:bCs w:val="0"/>
          <w:sz w:val="24"/>
          <w:szCs w:val="24"/>
          <w:lang w:val="en-ID"/>
        </w:rPr>
        <w:t xml:space="preserve"> dengue dan </w:t>
      </w:r>
      <w:proofErr w:type="spellStart"/>
      <w:r w:rsidRPr="00A41EE4">
        <w:rPr>
          <w:rFonts w:ascii="Times New Roman" w:hAnsi="Times New Roman" w:cs="Times New Roman"/>
          <w:b w:val="0"/>
          <w:bCs w:val="0"/>
          <w:sz w:val="24"/>
          <w:szCs w:val="24"/>
          <w:lang w:val="en-ID"/>
        </w:rPr>
        <w:t>penggunaan</w:t>
      </w:r>
      <w:proofErr w:type="spellEnd"/>
      <w:r w:rsidRPr="00A41EE4">
        <w:rPr>
          <w:rFonts w:ascii="Times New Roman" w:hAnsi="Times New Roman" w:cs="Times New Roman"/>
          <w:b w:val="0"/>
          <w:bCs w:val="0"/>
          <w:sz w:val="24"/>
          <w:szCs w:val="24"/>
          <w:lang w:val="en-ID"/>
        </w:rPr>
        <w:t xml:space="preserve"> fogging </w:t>
      </w:r>
      <w:proofErr w:type="spellStart"/>
      <w:r w:rsidRPr="00A41EE4">
        <w:rPr>
          <w:rFonts w:ascii="Times New Roman" w:hAnsi="Times New Roman" w:cs="Times New Roman"/>
          <w:b w:val="0"/>
          <w:bCs w:val="0"/>
          <w:sz w:val="24"/>
          <w:szCs w:val="24"/>
          <w:lang w:val="en-ID"/>
        </w:rPr>
        <w:t>tahun</w:t>
      </w:r>
      <w:proofErr w:type="spellEnd"/>
      <w:r w:rsidRPr="00A41EE4">
        <w:rPr>
          <w:rFonts w:ascii="Times New Roman" w:hAnsi="Times New Roman" w:cs="Times New Roman"/>
          <w:b w:val="0"/>
          <w:bCs w:val="0"/>
          <w:sz w:val="24"/>
          <w:szCs w:val="24"/>
          <w:lang w:val="en-ID"/>
        </w:rPr>
        <w:t xml:space="preserve"> 2019–2024. Kendari: Dinas Kesehatan Kota Kendari; 2024. </w:t>
      </w:r>
    </w:p>
    <w:p w14:paraId="5BE35C72" w14:textId="2D02B6C8"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Field LM, Davies TGE, O’Reilly AO, Williamson MS, Wallace BA. Voltage-gated sodium channels as targets for pyrethroid insecticides. </w:t>
      </w:r>
      <w:proofErr w:type="spellStart"/>
      <w:r w:rsidRPr="00A41EE4">
        <w:rPr>
          <w:rFonts w:ascii="Times New Roman" w:hAnsi="Times New Roman" w:cs="Times New Roman"/>
          <w:b w:val="0"/>
          <w:bCs w:val="0"/>
          <w:sz w:val="24"/>
          <w:szCs w:val="24"/>
          <w:lang w:val="en-ID"/>
        </w:rPr>
        <w:t>Eur</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Biophys</w:t>
      </w:r>
      <w:proofErr w:type="spellEnd"/>
      <w:r w:rsidRPr="00A41EE4">
        <w:rPr>
          <w:rFonts w:ascii="Times New Roman" w:hAnsi="Times New Roman" w:cs="Times New Roman"/>
          <w:b w:val="0"/>
          <w:bCs w:val="0"/>
          <w:sz w:val="24"/>
          <w:szCs w:val="24"/>
          <w:lang w:val="en-ID"/>
        </w:rPr>
        <w:t xml:space="preserve"> J. 2017;46(7):675–679. doi:10.1007/s00249-017-1234-5 </w:t>
      </w:r>
    </w:p>
    <w:p w14:paraId="3C5E5C9A" w14:textId="5C2AF1D8"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proofErr w:type="spellStart"/>
      <w:r w:rsidRPr="00A41EE4">
        <w:rPr>
          <w:rFonts w:ascii="Times New Roman" w:hAnsi="Times New Roman" w:cs="Times New Roman"/>
          <w:b w:val="0"/>
          <w:bCs w:val="0"/>
          <w:sz w:val="24"/>
          <w:szCs w:val="24"/>
          <w:lang w:val="en-ID"/>
        </w:rPr>
        <w:t>Handayani</w:t>
      </w:r>
      <w:proofErr w:type="spellEnd"/>
      <w:r w:rsidRPr="00A41EE4">
        <w:rPr>
          <w:rFonts w:ascii="Times New Roman" w:hAnsi="Times New Roman" w:cs="Times New Roman"/>
          <w:b w:val="0"/>
          <w:bCs w:val="0"/>
          <w:sz w:val="24"/>
          <w:szCs w:val="24"/>
          <w:lang w:val="en-ID"/>
        </w:rPr>
        <w:t xml:space="preserve"> D, </w:t>
      </w:r>
      <w:proofErr w:type="spellStart"/>
      <w:r w:rsidRPr="00A41EE4">
        <w:rPr>
          <w:rFonts w:ascii="Times New Roman" w:hAnsi="Times New Roman" w:cs="Times New Roman"/>
          <w:b w:val="0"/>
          <w:bCs w:val="0"/>
          <w:sz w:val="24"/>
          <w:szCs w:val="24"/>
          <w:lang w:val="en-ID"/>
        </w:rPr>
        <w:t>Zuhirman</w:t>
      </w:r>
      <w:proofErr w:type="spellEnd"/>
      <w:r w:rsidRPr="00A41EE4">
        <w:rPr>
          <w:rFonts w:ascii="Times New Roman" w:hAnsi="Times New Roman" w:cs="Times New Roman"/>
          <w:b w:val="0"/>
          <w:bCs w:val="0"/>
          <w:sz w:val="24"/>
          <w:szCs w:val="24"/>
          <w:lang w:val="en-ID"/>
        </w:rPr>
        <w:t xml:space="preserve">, Putra RM. Resistance test of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to cypermethrin 0.05% in </w:t>
      </w:r>
      <w:proofErr w:type="spellStart"/>
      <w:r w:rsidRPr="00A41EE4">
        <w:rPr>
          <w:rFonts w:ascii="Times New Roman" w:hAnsi="Times New Roman" w:cs="Times New Roman"/>
          <w:b w:val="0"/>
          <w:bCs w:val="0"/>
          <w:sz w:val="24"/>
          <w:szCs w:val="24"/>
          <w:lang w:val="en-ID"/>
        </w:rPr>
        <w:t>Pekanbaru</w:t>
      </w:r>
      <w:proofErr w:type="spellEnd"/>
      <w:r w:rsidRPr="00A41EE4">
        <w:rPr>
          <w:rFonts w:ascii="Times New Roman" w:hAnsi="Times New Roman" w:cs="Times New Roman"/>
          <w:b w:val="0"/>
          <w:bCs w:val="0"/>
          <w:sz w:val="24"/>
          <w:szCs w:val="24"/>
          <w:lang w:val="en-ID"/>
        </w:rPr>
        <w:t xml:space="preserve">. J Kesehatan Sehati. 2021;1(1):16–21. </w:t>
      </w:r>
    </w:p>
    <w:p w14:paraId="0B135BF6" w14:textId="768CC77A"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Irawati NB, Nur, Putri NE. Resistance of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to cypermethrin in </w:t>
      </w:r>
      <w:proofErr w:type="spellStart"/>
      <w:r w:rsidRPr="00A41EE4">
        <w:rPr>
          <w:rFonts w:ascii="Times New Roman" w:hAnsi="Times New Roman" w:cs="Times New Roman"/>
          <w:b w:val="0"/>
          <w:bCs w:val="0"/>
          <w:sz w:val="24"/>
          <w:szCs w:val="24"/>
          <w:lang w:val="en-ID"/>
        </w:rPr>
        <w:t>Klaten</w:t>
      </w:r>
      <w:proofErr w:type="spellEnd"/>
      <w:r w:rsidRPr="00A41EE4">
        <w:rPr>
          <w:rFonts w:ascii="Times New Roman" w:hAnsi="Times New Roman" w:cs="Times New Roman"/>
          <w:b w:val="0"/>
          <w:bCs w:val="0"/>
          <w:sz w:val="24"/>
          <w:szCs w:val="24"/>
          <w:lang w:val="en-ID"/>
        </w:rPr>
        <w:t xml:space="preserve"> Regency. J Kesehatan </w:t>
      </w:r>
      <w:proofErr w:type="spellStart"/>
      <w:r w:rsidRPr="00A41EE4">
        <w:rPr>
          <w:rFonts w:ascii="Times New Roman" w:hAnsi="Times New Roman" w:cs="Times New Roman"/>
          <w:b w:val="0"/>
          <w:bCs w:val="0"/>
          <w:sz w:val="24"/>
          <w:szCs w:val="24"/>
          <w:lang w:val="en-ID"/>
        </w:rPr>
        <w:t>Lingkungan</w:t>
      </w:r>
      <w:proofErr w:type="spellEnd"/>
      <w:r w:rsidRPr="00A41EE4">
        <w:rPr>
          <w:rFonts w:ascii="Times New Roman" w:hAnsi="Times New Roman" w:cs="Times New Roman"/>
          <w:b w:val="0"/>
          <w:bCs w:val="0"/>
          <w:sz w:val="24"/>
          <w:szCs w:val="24"/>
          <w:lang w:val="en-ID"/>
        </w:rPr>
        <w:t xml:space="preserve"> Ruwa Jurai. 2021;15(1):1–7. </w:t>
      </w:r>
    </w:p>
    <w:p w14:paraId="00BBA1F2" w14:textId="11CD95A0"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Kementerian Kesehatan Republik Indonesia. </w:t>
      </w:r>
      <w:proofErr w:type="spellStart"/>
      <w:r w:rsidRPr="00A41EE4">
        <w:rPr>
          <w:rFonts w:ascii="Times New Roman" w:hAnsi="Times New Roman" w:cs="Times New Roman"/>
          <w:b w:val="0"/>
          <w:bCs w:val="0"/>
          <w:sz w:val="24"/>
          <w:szCs w:val="24"/>
          <w:lang w:val="en-ID"/>
        </w:rPr>
        <w:t>Laporan</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tahunan</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demam</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berdarah</w:t>
      </w:r>
      <w:proofErr w:type="spellEnd"/>
      <w:r w:rsidRPr="00A41EE4">
        <w:rPr>
          <w:rFonts w:ascii="Times New Roman" w:hAnsi="Times New Roman" w:cs="Times New Roman"/>
          <w:b w:val="0"/>
          <w:bCs w:val="0"/>
          <w:sz w:val="24"/>
          <w:szCs w:val="24"/>
          <w:lang w:val="en-ID"/>
        </w:rPr>
        <w:t xml:space="preserve"> dengue </w:t>
      </w:r>
      <w:proofErr w:type="spellStart"/>
      <w:r w:rsidRPr="00A41EE4">
        <w:rPr>
          <w:rFonts w:ascii="Times New Roman" w:hAnsi="Times New Roman" w:cs="Times New Roman"/>
          <w:b w:val="0"/>
          <w:bCs w:val="0"/>
          <w:sz w:val="24"/>
          <w:szCs w:val="24"/>
          <w:lang w:val="en-ID"/>
        </w:rPr>
        <w:t>tahun</w:t>
      </w:r>
      <w:proofErr w:type="spellEnd"/>
      <w:r w:rsidRPr="00A41EE4">
        <w:rPr>
          <w:rFonts w:ascii="Times New Roman" w:hAnsi="Times New Roman" w:cs="Times New Roman"/>
          <w:b w:val="0"/>
          <w:bCs w:val="0"/>
          <w:sz w:val="24"/>
          <w:szCs w:val="24"/>
          <w:lang w:val="en-ID"/>
        </w:rPr>
        <w:t xml:space="preserve"> 2022. Jakarta: </w:t>
      </w:r>
      <w:proofErr w:type="spellStart"/>
      <w:r w:rsidRPr="00A41EE4">
        <w:rPr>
          <w:rFonts w:ascii="Times New Roman" w:hAnsi="Times New Roman" w:cs="Times New Roman"/>
          <w:b w:val="0"/>
          <w:bCs w:val="0"/>
          <w:sz w:val="24"/>
          <w:szCs w:val="24"/>
          <w:lang w:val="en-ID"/>
        </w:rPr>
        <w:t>Kemenkes</w:t>
      </w:r>
      <w:proofErr w:type="spellEnd"/>
      <w:r w:rsidRPr="00A41EE4">
        <w:rPr>
          <w:rFonts w:ascii="Times New Roman" w:hAnsi="Times New Roman" w:cs="Times New Roman"/>
          <w:b w:val="0"/>
          <w:bCs w:val="0"/>
          <w:sz w:val="24"/>
          <w:szCs w:val="24"/>
          <w:lang w:val="en-ID"/>
        </w:rPr>
        <w:t xml:space="preserve"> RI; 2022. </w:t>
      </w:r>
    </w:p>
    <w:p w14:paraId="39406F85" w14:textId="16F1C9CF"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Mubarak.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dan status </w:t>
      </w:r>
      <w:proofErr w:type="spellStart"/>
      <w:r w:rsidRPr="00A41EE4">
        <w:rPr>
          <w:rFonts w:ascii="Times New Roman" w:hAnsi="Times New Roman" w:cs="Times New Roman"/>
          <w:b w:val="0"/>
          <w:bCs w:val="0"/>
          <w:sz w:val="24"/>
          <w:szCs w:val="24"/>
          <w:lang w:val="en-ID"/>
        </w:rPr>
        <w:t>kerentanan</w:t>
      </w:r>
      <w:proofErr w:type="spellEnd"/>
      <w:r w:rsidRPr="00A41EE4">
        <w:rPr>
          <w:rFonts w:ascii="Times New Roman" w:hAnsi="Times New Roman" w:cs="Times New Roman"/>
          <w:b w:val="0"/>
          <w:bCs w:val="0"/>
          <w:sz w:val="24"/>
          <w:szCs w:val="24"/>
          <w:lang w:val="en-ID"/>
        </w:rPr>
        <w:t xml:space="preserve">. Yogyakarta: Qiara Media; 2020. </w:t>
      </w:r>
    </w:p>
    <w:p w14:paraId="78031A67" w14:textId="54D7C3E5"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Mubarak, </w:t>
      </w:r>
      <w:proofErr w:type="spellStart"/>
      <w:r w:rsidRPr="00A41EE4">
        <w:rPr>
          <w:rFonts w:ascii="Times New Roman" w:hAnsi="Times New Roman" w:cs="Times New Roman"/>
          <w:b w:val="0"/>
          <w:bCs w:val="0"/>
          <w:sz w:val="24"/>
          <w:szCs w:val="24"/>
          <w:lang w:val="en-ID"/>
        </w:rPr>
        <w:t>Satoto</w:t>
      </w:r>
      <w:proofErr w:type="spellEnd"/>
      <w:r w:rsidRPr="00A41EE4">
        <w:rPr>
          <w:rFonts w:ascii="Times New Roman" w:hAnsi="Times New Roman" w:cs="Times New Roman"/>
          <w:b w:val="0"/>
          <w:bCs w:val="0"/>
          <w:sz w:val="24"/>
          <w:szCs w:val="24"/>
          <w:lang w:val="en-ID"/>
        </w:rPr>
        <w:t xml:space="preserve"> TBT, </w:t>
      </w:r>
      <w:proofErr w:type="spellStart"/>
      <w:r w:rsidRPr="00A41EE4">
        <w:rPr>
          <w:rFonts w:ascii="Times New Roman" w:hAnsi="Times New Roman" w:cs="Times New Roman"/>
          <w:b w:val="0"/>
          <w:bCs w:val="0"/>
          <w:sz w:val="24"/>
          <w:szCs w:val="24"/>
          <w:lang w:val="en-ID"/>
        </w:rPr>
        <w:t>Umniyati</w:t>
      </w:r>
      <w:proofErr w:type="spellEnd"/>
      <w:r w:rsidRPr="00A41EE4">
        <w:rPr>
          <w:rFonts w:ascii="Times New Roman" w:hAnsi="Times New Roman" w:cs="Times New Roman"/>
          <w:b w:val="0"/>
          <w:bCs w:val="0"/>
          <w:sz w:val="24"/>
          <w:szCs w:val="24"/>
          <w:lang w:val="en-ID"/>
        </w:rPr>
        <w:t xml:space="preserve"> SR. Analysis of insecticide use against dengue vectors in Kendari City. </w:t>
      </w:r>
      <w:proofErr w:type="spellStart"/>
      <w:r w:rsidRPr="00A41EE4">
        <w:rPr>
          <w:rFonts w:ascii="Times New Roman" w:hAnsi="Times New Roman" w:cs="Times New Roman"/>
          <w:b w:val="0"/>
          <w:bCs w:val="0"/>
          <w:sz w:val="24"/>
          <w:szCs w:val="24"/>
          <w:lang w:val="en-ID"/>
        </w:rPr>
        <w:t>Medula</w:t>
      </w:r>
      <w:proofErr w:type="spellEnd"/>
      <w:r w:rsidRPr="00A41EE4">
        <w:rPr>
          <w:rFonts w:ascii="Times New Roman" w:hAnsi="Times New Roman" w:cs="Times New Roman"/>
          <w:b w:val="0"/>
          <w:bCs w:val="0"/>
          <w:sz w:val="24"/>
          <w:szCs w:val="24"/>
          <w:lang w:val="en-ID"/>
        </w:rPr>
        <w:t xml:space="preserve">. 2015;2(2):134–142. </w:t>
      </w:r>
    </w:p>
    <w:p w14:paraId="2A18EBF6" w14:textId="7482FCC8"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Putra ER, Ahmad I, </w:t>
      </w:r>
      <w:proofErr w:type="spellStart"/>
      <w:r w:rsidRPr="00A41EE4">
        <w:rPr>
          <w:rFonts w:ascii="Times New Roman" w:hAnsi="Times New Roman" w:cs="Times New Roman"/>
          <w:b w:val="0"/>
          <w:bCs w:val="0"/>
          <w:sz w:val="24"/>
          <w:szCs w:val="24"/>
          <w:lang w:val="en-ID"/>
        </w:rPr>
        <w:t>Prasetyo</w:t>
      </w:r>
      <w:proofErr w:type="spellEnd"/>
      <w:r w:rsidRPr="00A41EE4">
        <w:rPr>
          <w:rFonts w:ascii="Times New Roman" w:hAnsi="Times New Roman" w:cs="Times New Roman"/>
          <w:b w:val="0"/>
          <w:bCs w:val="0"/>
          <w:sz w:val="24"/>
          <w:szCs w:val="24"/>
          <w:lang w:val="en-ID"/>
        </w:rPr>
        <w:t xml:space="preserve"> DB, Susanti S, Rahayu R, </w:t>
      </w:r>
      <w:proofErr w:type="spellStart"/>
      <w:r w:rsidRPr="00A41EE4">
        <w:rPr>
          <w:rFonts w:ascii="Times New Roman" w:hAnsi="Times New Roman" w:cs="Times New Roman"/>
          <w:b w:val="0"/>
          <w:bCs w:val="0"/>
          <w:sz w:val="24"/>
          <w:szCs w:val="24"/>
          <w:lang w:val="en-ID"/>
        </w:rPr>
        <w:t>Hariani</w:t>
      </w:r>
      <w:proofErr w:type="spellEnd"/>
      <w:r w:rsidRPr="00A41EE4">
        <w:rPr>
          <w:rFonts w:ascii="Times New Roman" w:hAnsi="Times New Roman" w:cs="Times New Roman"/>
          <w:b w:val="0"/>
          <w:bCs w:val="0"/>
          <w:sz w:val="24"/>
          <w:szCs w:val="24"/>
          <w:lang w:val="en-ID"/>
        </w:rPr>
        <w:t xml:space="preserve"> N. Detection of insecticide resistance in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larvae from Java, Indonesia. Int J Mosq Res. 2016;3(3):23–28. </w:t>
      </w:r>
    </w:p>
    <w:p w14:paraId="192110AA" w14:textId="602887A1"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Sayono, </w:t>
      </w:r>
      <w:proofErr w:type="spellStart"/>
      <w:r w:rsidRPr="00A41EE4">
        <w:rPr>
          <w:rFonts w:ascii="Times New Roman" w:hAnsi="Times New Roman" w:cs="Times New Roman"/>
          <w:b w:val="0"/>
          <w:bCs w:val="0"/>
          <w:sz w:val="24"/>
          <w:szCs w:val="24"/>
          <w:lang w:val="en-ID"/>
        </w:rPr>
        <w:t>Syafruddin</w:t>
      </w:r>
      <w:proofErr w:type="spellEnd"/>
      <w:r w:rsidRPr="00A41EE4">
        <w:rPr>
          <w:rFonts w:ascii="Times New Roman" w:hAnsi="Times New Roman" w:cs="Times New Roman"/>
          <w:b w:val="0"/>
          <w:bCs w:val="0"/>
          <w:sz w:val="24"/>
          <w:szCs w:val="24"/>
          <w:lang w:val="en-ID"/>
        </w:rPr>
        <w:t xml:space="preserve"> D, </w:t>
      </w:r>
      <w:proofErr w:type="spellStart"/>
      <w:r w:rsidRPr="00A41EE4">
        <w:rPr>
          <w:rFonts w:ascii="Times New Roman" w:hAnsi="Times New Roman" w:cs="Times New Roman"/>
          <w:b w:val="0"/>
          <w:bCs w:val="0"/>
          <w:sz w:val="24"/>
          <w:szCs w:val="24"/>
          <w:lang w:val="en-ID"/>
        </w:rPr>
        <w:t>Sumanto</w:t>
      </w:r>
      <w:proofErr w:type="spellEnd"/>
      <w:r w:rsidRPr="00A41EE4">
        <w:rPr>
          <w:rFonts w:ascii="Times New Roman" w:hAnsi="Times New Roman" w:cs="Times New Roman"/>
          <w:b w:val="0"/>
          <w:bCs w:val="0"/>
          <w:sz w:val="24"/>
          <w:szCs w:val="24"/>
          <w:lang w:val="en-ID"/>
        </w:rPr>
        <w:t xml:space="preserve"> D. Distribution of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resistance to cypermethrin in Semarang. Available from: </w:t>
      </w:r>
      <w:hyperlink r:id="rId7" w:tgtFrame="_new" w:history="1">
        <w:r w:rsidRPr="00A41EE4">
          <w:rPr>
            <w:rStyle w:val="Hyperlink"/>
            <w:rFonts w:ascii="Times New Roman" w:hAnsi="Times New Roman" w:cs="Times New Roman"/>
            <w:b w:val="0"/>
            <w:bCs w:val="0"/>
            <w:sz w:val="24"/>
            <w:szCs w:val="24"/>
            <w:lang w:val="en-ID"/>
          </w:rPr>
          <w:t>http://jurnal.uimus.ac.id</w:t>
        </w:r>
      </w:hyperlink>
      <w:r w:rsidRPr="00A41EE4">
        <w:rPr>
          <w:rFonts w:ascii="Times New Roman" w:hAnsi="Times New Roman" w:cs="Times New Roman"/>
          <w:b w:val="0"/>
          <w:bCs w:val="0"/>
          <w:sz w:val="24"/>
          <w:szCs w:val="24"/>
          <w:lang w:val="en-ID"/>
        </w:rPr>
        <w:t xml:space="preserve"> </w:t>
      </w:r>
    </w:p>
    <w:p w14:paraId="24890A7F" w14:textId="0DE818D0"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Soderlund DM. Neurotoxicology of pyrethroid insecticides. Cornell </w:t>
      </w:r>
      <w:proofErr w:type="spellStart"/>
      <w:r w:rsidRPr="00A41EE4">
        <w:rPr>
          <w:rFonts w:ascii="Times New Roman" w:hAnsi="Times New Roman" w:cs="Times New Roman"/>
          <w:b w:val="0"/>
          <w:bCs w:val="0"/>
          <w:sz w:val="24"/>
          <w:szCs w:val="24"/>
          <w:lang w:val="en-ID"/>
        </w:rPr>
        <w:t>Univ</w:t>
      </w:r>
      <w:proofErr w:type="spellEnd"/>
      <w:r w:rsidRPr="00A41EE4">
        <w:rPr>
          <w:rFonts w:ascii="Times New Roman" w:hAnsi="Times New Roman" w:cs="Times New Roman"/>
          <w:b w:val="0"/>
          <w:bCs w:val="0"/>
          <w:sz w:val="24"/>
          <w:szCs w:val="24"/>
          <w:lang w:val="en-ID"/>
        </w:rPr>
        <w:t xml:space="preserve"> </w:t>
      </w:r>
      <w:proofErr w:type="spellStart"/>
      <w:r w:rsidRPr="00A41EE4">
        <w:rPr>
          <w:rFonts w:ascii="Times New Roman" w:hAnsi="Times New Roman" w:cs="Times New Roman"/>
          <w:b w:val="0"/>
          <w:bCs w:val="0"/>
          <w:sz w:val="24"/>
          <w:szCs w:val="24"/>
          <w:lang w:val="en-ID"/>
        </w:rPr>
        <w:t>Entomol</w:t>
      </w:r>
      <w:proofErr w:type="spellEnd"/>
      <w:r w:rsidRPr="00A41EE4">
        <w:rPr>
          <w:rFonts w:ascii="Times New Roman" w:hAnsi="Times New Roman" w:cs="Times New Roman"/>
          <w:b w:val="0"/>
          <w:bCs w:val="0"/>
          <w:sz w:val="24"/>
          <w:szCs w:val="24"/>
          <w:lang w:val="en-ID"/>
        </w:rPr>
        <w:t xml:space="preserve">. 2020;4(3):113–165. </w:t>
      </w:r>
    </w:p>
    <w:p w14:paraId="38648194" w14:textId="1C0C9791"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Susanty E, Lesmana SD, Taufik R. Resistance status of </w:t>
      </w:r>
      <w:r w:rsidRPr="00A41EE4">
        <w:rPr>
          <w:rFonts w:ascii="Times New Roman" w:hAnsi="Times New Roman" w:cs="Times New Roman"/>
          <w:b w:val="0"/>
          <w:bCs w:val="0"/>
          <w:i/>
          <w:iCs/>
          <w:sz w:val="24"/>
          <w:szCs w:val="24"/>
          <w:lang w:val="en-ID"/>
        </w:rPr>
        <w:t>Aedes aegypti</w:t>
      </w:r>
      <w:r w:rsidRPr="00A41EE4">
        <w:rPr>
          <w:rFonts w:ascii="Times New Roman" w:hAnsi="Times New Roman" w:cs="Times New Roman"/>
          <w:b w:val="0"/>
          <w:bCs w:val="0"/>
          <w:sz w:val="24"/>
          <w:szCs w:val="24"/>
          <w:lang w:val="en-ID"/>
        </w:rPr>
        <w:t xml:space="preserve"> to malathion in </w:t>
      </w:r>
      <w:proofErr w:type="spellStart"/>
      <w:r w:rsidRPr="00A41EE4">
        <w:rPr>
          <w:rFonts w:ascii="Times New Roman" w:hAnsi="Times New Roman" w:cs="Times New Roman"/>
          <w:b w:val="0"/>
          <w:bCs w:val="0"/>
          <w:sz w:val="24"/>
          <w:szCs w:val="24"/>
          <w:lang w:val="en-ID"/>
        </w:rPr>
        <w:t>Pekanbaru</w:t>
      </w:r>
      <w:proofErr w:type="spellEnd"/>
      <w:r w:rsidRPr="00A41EE4">
        <w:rPr>
          <w:rFonts w:ascii="Times New Roman" w:hAnsi="Times New Roman" w:cs="Times New Roman"/>
          <w:b w:val="0"/>
          <w:bCs w:val="0"/>
          <w:sz w:val="24"/>
          <w:szCs w:val="24"/>
          <w:lang w:val="en-ID"/>
        </w:rPr>
        <w:t xml:space="preserve">. J Medika Udayana. 2023;12(4):38–42. </w:t>
      </w:r>
    </w:p>
    <w:p w14:paraId="02CBE3A2" w14:textId="2A1F4B67"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proofErr w:type="spellStart"/>
      <w:r w:rsidRPr="00A41EE4">
        <w:rPr>
          <w:rFonts w:ascii="Times New Roman" w:hAnsi="Times New Roman" w:cs="Times New Roman"/>
          <w:b w:val="0"/>
          <w:bCs w:val="0"/>
          <w:sz w:val="24"/>
          <w:szCs w:val="24"/>
          <w:lang w:val="en-ID"/>
        </w:rPr>
        <w:t>Windyaraini</w:t>
      </w:r>
      <w:proofErr w:type="spellEnd"/>
      <w:r w:rsidRPr="00A41EE4">
        <w:rPr>
          <w:rFonts w:ascii="Times New Roman" w:hAnsi="Times New Roman" w:cs="Times New Roman"/>
          <w:b w:val="0"/>
          <w:bCs w:val="0"/>
          <w:sz w:val="24"/>
          <w:szCs w:val="24"/>
          <w:lang w:val="en-ID"/>
        </w:rPr>
        <w:t xml:space="preserve"> D, Hening. Resistance status and esterase isoenzyme profile of </w:t>
      </w:r>
      <w:r w:rsidRPr="00A41EE4">
        <w:rPr>
          <w:rFonts w:ascii="Times New Roman" w:hAnsi="Times New Roman" w:cs="Times New Roman"/>
          <w:b w:val="0"/>
          <w:bCs w:val="0"/>
          <w:i/>
          <w:iCs/>
          <w:sz w:val="24"/>
          <w:szCs w:val="24"/>
          <w:lang w:val="en-ID"/>
        </w:rPr>
        <w:t>Aedes</w:t>
      </w:r>
      <w:r w:rsidRPr="00A41EE4">
        <w:rPr>
          <w:rFonts w:ascii="Times New Roman" w:hAnsi="Times New Roman" w:cs="Times New Roman"/>
          <w:b w:val="0"/>
          <w:bCs w:val="0"/>
          <w:sz w:val="24"/>
          <w:szCs w:val="24"/>
          <w:lang w:val="en-ID"/>
        </w:rPr>
        <w:t xml:space="preserve"> spp. in Yogyakarta [master’s thesis]. Yogyakarta: Universitas Gadjah Mada; 2015. </w:t>
      </w:r>
    </w:p>
    <w:p w14:paraId="62E881A9" w14:textId="0D9C6AF7" w:rsidR="00A41EE4" w:rsidRPr="00A41EE4" w:rsidRDefault="00A41EE4" w:rsidP="00747D62">
      <w:pPr>
        <w:pStyle w:val="Heading1"/>
        <w:numPr>
          <w:ilvl w:val="0"/>
          <w:numId w:val="3"/>
        </w:numPr>
        <w:spacing w:before="79"/>
        <w:ind w:left="851" w:hanging="567"/>
        <w:jc w:val="both"/>
        <w:rPr>
          <w:rFonts w:ascii="Times New Roman" w:hAnsi="Times New Roman" w:cs="Times New Roman"/>
          <w:b w:val="0"/>
          <w:bCs w:val="0"/>
          <w:sz w:val="24"/>
          <w:szCs w:val="24"/>
          <w:lang w:val="en-ID"/>
        </w:rPr>
      </w:pPr>
      <w:r w:rsidRPr="00A41EE4">
        <w:rPr>
          <w:rFonts w:ascii="Times New Roman" w:hAnsi="Times New Roman" w:cs="Times New Roman"/>
          <w:b w:val="0"/>
          <w:bCs w:val="0"/>
          <w:sz w:val="24"/>
          <w:szCs w:val="24"/>
          <w:lang w:val="en-ID"/>
        </w:rPr>
        <w:t xml:space="preserve">World Health Organization. Dengue – global situation. 2024. Available from: </w:t>
      </w:r>
      <w:hyperlink r:id="rId8" w:tgtFrame="_new" w:history="1">
        <w:r w:rsidRPr="00A41EE4">
          <w:rPr>
            <w:rStyle w:val="Hyperlink"/>
            <w:rFonts w:ascii="Times New Roman" w:hAnsi="Times New Roman" w:cs="Times New Roman"/>
            <w:b w:val="0"/>
            <w:bCs w:val="0"/>
            <w:sz w:val="24"/>
            <w:szCs w:val="24"/>
            <w:lang w:val="en-ID"/>
          </w:rPr>
          <w:t>https://www.who.int/emergencies/disease-outbreak-news/item/2023-DON518</w:t>
        </w:r>
      </w:hyperlink>
      <w:r w:rsidRPr="00A41EE4">
        <w:rPr>
          <w:rFonts w:ascii="Times New Roman" w:hAnsi="Times New Roman" w:cs="Times New Roman"/>
          <w:b w:val="0"/>
          <w:bCs w:val="0"/>
          <w:sz w:val="24"/>
          <w:szCs w:val="24"/>
          <w:lang w:val="en-ID"/>
        </w:rPr>
        <w:t xml:space="preserve"> </w:t>
      </w:r>
    </w:p>
    <w:p w14:paraId="2DE8B647" w14:textId="2712204E" w:rsidR="00406B73" w:rsidRPr="005F230C" w:rsidRDefault="00A41EE4" w:rsidP="00F931AA">
      <w:pPr>
        <w:pStyle w:val="Heading1"/>
        <w:numPr>
          <w:ilvl w:val="0"/>
          <w:numId w:val="3"/>
        </w:numPr>
        <w:spacing w:before="79"/>
        <w:ind w:left="851" w:hanging="567"/>
        <w:jc w:val="both"/>
        <w:rPr>
          <w:rFonts w:ascii="Times New Roman" w:hAnsi="Times New Roman" w:cs="Times New Roman"/>
          <w:b w:val="0"/>
          <w:bCs w:val="0"/>
          <w:spacing w:val="-2"/>
          <w:sz w:val="24"/>
          <w:szCs w:val="24"/>
        </w:rPr>
      </w:pPr>
      <w:r w:rsidRPr="005F230C">
        <w:rPr>
          <w:rFonts w:ascii="Times New Roman" w:hAnsi="Times New Roman" w:cs="Times New Roman"/>
          <w:b w:val="0"/>
          <w:bCs w:val="0"/>
          <w:sz w:val="24"/>
          <w:szCs w:val="24"/>
          <w:lang w:val="en-ID"/>
        </w:rPr>
        <w:t xml:space="preserve">Zong W, Su W, Xie Q, Gu Q, Deng X, Ren Y, et al. Characterization of a novel esterase and its potential for pyrethroid degradation. Front </w:t>
      </w:r>
      <w:proofErr w:type="spellStart"/>
      <w:r w:rsidRPr="005F230C">
        <w:rPr>
          <w:rFonts w:ascii="Times New Roman" w:hAnsi="Times New Roman" w:cs="Times New Roman"/>
          <w:b w:val="0"/>
          <w:bCs w:val="0"/>
          <w:sz w:val="24"/>
          <w:szCs w:val="24"/>
          <w:lang w:val="en-ID"/>
        </w:rPr>
        <w:t>Microbiol</w:t>
      </w:r>
      <w:proofErr w:type="spellEnd"/>
      <w:r w:rsidRPr="005F230C">
        <w:rPr>
          <w:rFonts w:ascii="Times New Roman" w:hAnsi="Times New Roman" w:cs="Times New Roman"/>
          <w:b w:val="0"/>
          <w:bCs w:val="0"/>
          <w:sz w:val="24"/>
          <w:szCs w:val="24"/>
          <w:lang w:val="en-ID"/>
        </w:rPr>
        <w:t xml:space="preserve">. </w:t>
      </w:r>
      <w:proofErr w:type="gramStart"/>
      <w:r w:rsidRPr="005F230C">
        <w:rPr>
          <w:rFonts w:ascii="Times New Roman" w:hAnsi="Times New Roman" w:cs="Times New Roman"/>
          <w:b w:val="0"/>
          <w:bCs w:val="0"/>
          <w:sz w:val="24"/>
          <w:szCs w:val="24"/>
          <w:lang w:val="en-ID"/>
        </w:rPr>
        <w:t>2022;13:1069754</w:t>
      </w:r>
      <w:proofErr w:type="gramEnd"/>
      <w:r w:rsidRPr="005F230C">
        <w:rPr>
          <w:rFonts w:ascii="Times New Roman" w:hAnsi="Times New Roman" w:cs="Times New Roman"/>
          <w:b w:val="0"/>
          <w:bCs w:val="0"/>
          <w:sz w:val="24"/>
          <w:szCs w:val="24"/>
          <w:lang w:val="en-ID"/>
        </w:rPr>
        <w:t>. doi:10.3389/fmicb.2022.1069754</w:t>
      </w:r>
    </w:p>
    <w:sectPr w:rsidR="00406B73" w:rsidRPr="005F230C" w:rsidSect="00F060DB">
      <w:footerReference w:type="default" r:id="rId9"/>
      <w:pgSz w:w="12240" w:h="15840" w:code="1"/>
      <w:pgMar w:top="1418" w:right="1418" w:bottom="1418" w:left="1418" w:header="0" w:footer="9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E93F" w14:textId="77777777" w:rsidR="003C1C7D" w:rsidRDefault="003C1C7D">
      <w:r>
        <w:separator/>
      </w:r>
    </w:p>
  </w:endnote>
  <w:endnote w:type="continuationSeparator" w:id="0">
    <w:p w14:paraId="1E09A55A" w14:textId="77777777" w:rsidR="003C1C7D" w:rsidRDefault="003C1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61824"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CCCC" w14:textId="77777777" w:rsidR="003C1C7D" w:rsidRDefault="003C1C7D">
      <w:r>
        <w:separator/>
      </w:r>
    </w:p>
  </w:footnote>
  <w:footnote w:type="continuationSeparator" w:id="0">
    <w:p w14:paraId="47A75254" w14:textId="77777777" w:rsidR="003C1C7D" w:rsidRDefault="003C1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E1F"/>
    <w:multiLevelType w:val="hybridMultilevel"/>
    <w:tmpl w:val="B894B624"/>
    <w:lvl w:ilvl="0" w:tplc="0602DA42">
      <w:numFmt w:val="bullet"/>
      <w:lvlText w:val=""/>
      <w:lvlJc w:val="left"/>
      <w:pPr>
        <w:ind w:left="647" w:hanging="360"/>
      </w:pPr>
      <w:rPr>
        <w:rFonts w:ascii="Times New Roman" w:eastAsia="Cambria" w:hAnsi="Times New Roman" w:cs="Times New Roman" w:hint="default"/>
        <w:b/>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1"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abstractNum w:abstractNumId="2" w15:restartNumberingAfterBreak="0">
    <w:nsid w:val="4198265B"/>
    <w:multiLevelType w:val="hybridMultilevel"/>
    <w:tmpl w:val="5344C572"/>
    <w:lvl w:ilvl="0" w:tplc="3809000F">
      <w:start w:val="1"/>
      <w:numFmt w:val="decimal"/>
      <w:lvlText w:val="%1."/>
      <w:lvlJc w:val="left"/>
      <w:pPr>
        <w:ind w:left="1007" w:hanging="360"/>
      </w:p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451482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6882751">
    <w:abstractNumId w:val="1"/>
  </w:num>
  <w:num w:numId="3" w16cid:durableId="977228049">
    <w:abstractNumId w:val="2"/>
  </w:num>
  <w:num w:numId="4" w16cid:durableId="203164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09383A"/>
    <w:rsid w:val="000B3600"/>
    <w:rsid w:val="000D610E"/>
    <w:rsid w:val="000E753E"/>
    <w:rsid w:val="00126787"/>
    <w:rsid w:val="00161656"/>
    <w:rsid w:val="001853BB"/>
    <w:rsid w:val="001D59C8"/>
    <w:rsid w:val="00235222"/>
    <w:rsid w:val="00240221"/>
    <w:rsid w:val="002A0E3E"/>
    <w:rsid w:val="002A5CDB"/>
    <w:rsid w:val="002A6287"/>
    <w:rsid w:val="002B0200"/>
    <w:rsid w:val="002C4D04"/>
    <w:rsid w:val="002D18E8"/>
    <w:rsid w:val="002D44DA"/>
    <w:rsid w:val="002F0886"/>
    <w:rsid w:val="00350157"/>
    <w:rsid w:val="003643BE"/>
    <w:rsid w:val="00392615"/>
    <w:rsid w:val="00393CDA"/>
    <w:rsid w:val="003C1C7D"/>
    <w:rsid w:val="003D6BA3"/>
    <w:rsid w:val="00402F9C"/>
    <w:rsid w:val="00406B73"/>
    <w:rsid w:val="00430A20"/>
    <w:rsid w:val="0043550D"/>
    <w:rsid w:val="00436530"/>
    <w:rsid w:val="0044476B"/>
    <w:rsid w:val="00446EAE"/>
    <w:rsid w:val="004B195E"/>
    <w:rsid w:val="004C646B"/>
    <w:rsid w:val="004D2910"/>
    <w:rsid w:val="004F2FEE"/>
    <w:rsid w:val="0058166D"/>
    <w:rsid w:val="005C5BEF"/>
    <w:rsid w:val="005F230C"/>
    <w:rsid w:val="00634F5B"/>
    <w:rsid w:val="00637B47"/>
    <w:rsid w:val="00664D80"/>
    <w:rsid w:val="006D1320"/>
    <w:rsid w:val="006E4BED"/>
    <w:rsid w:val="00713C17"/>
    <w:rsid w:val="00734BD7"/>
    <w:rsid w:val="0074341A"/>
    <w:rsid w:val="00747D62"/>
    <w:rsid w:val="00756C0E"/>
    <w:rsid w:val="00780D19"/>
    <w:rsid w:val="007A6FD0"/>
    <w:rsid w:val="007B5561"/>
    <w:rsid w:val="007D38EB"/>
    <w:rsid w:val="00810811"/>
    <w:rsid w:val="008124B1"/>
    <w:rsid w:val="00815AF5"/>
    <w:rsid w:val="00843665"/>
    <w:rsid w:val="00851A77"/>
    <w:rsid w:val="00897EB4"/>
    <w:rsid w:val="008B7426"/>
    <w:rsid w:val="008C37B4"/>
    <w:rsid w:val="008F52B2"/>
    <w:rsid w:val="00921CCB"/>
    <w:rsid w:val="00930397"/>
    <w:rsid w:val="00965AC0"/>
    <w:rsid w:val="00965F77"/>
    <w:rsid w:val="00970F8D"/>
    <w:rsid w:val="009B0F7C"/>
    <w:rsid w:val="009B691D"/>
    <w:rsid w:val="009D79CF"/>
    <w:rsid w:val="009E6456"/>
    <w:rsid w:val="009E6FB0"/>
    <w:rsid w:val="00A04CA3"/>
    <w:rsid w:val="00A1089F"/>
    <w:rsid w:val="00A41EE4"/>
    <w:rsid w:val="00A65958"/>
    <w:rsid w:val="00A71E46"/>
    <w:rsid w:val="00A93043"/>
    <w:rsid w:val="00A967D5"/>
    <w:rsid w:val="00AA11F5"/>
    <w:rsid w:val="00AA37B7"/>
    <w:rsid w:val="00AB1999"/>
    <w:rsid w:val="00AB7E73"/>
    <w:rsid w:val="00AF12ED"/>
    <w:rsid w:val="00C00E22"/>
    <w:rsid w:val="00C0258E"/>
    <w:rsid w:val="00C1022B"/>
    <w:rsid w:val="00C202E0"/>
    <w:rsid w:val="00C23B91"/>
    <w:rsid w:val="00C256E2"/>
    <w:rsid w:val="00CC71E2"/>
    <w:rsid w:val="00CD277B"/>
    <w:rsid w:val="00CD7B38"/>
    <w:rsid w:val="00CE2FAC"/>
    <w:rsid w:val="00D4504E"/>
    <w:rsid w:val="00D877A9"/>
    <w:rsid w:val="00DA100D"/>
    <w:rsid w:val="00DA426F"/>
    <w:rsid w:val="00DB1927"/>
    <w:rsid w:val="00DB5F9D"/>
    <w:rsid w:val="00DC6077"/>
    <w:rsid w:val="00DE137C"/>
    <w:rsid w:val="00DE540C"/>
    <w:rsid w:val="00E47CB6"/>
    <w:rsid w:val="00E51BFC"/>
    <w:rsid w:val="00E64C31"/>
    <w:rsid w:val="00EC041A"/>
    <w:rsid w:val="00EC1F56"/>
    <w:rsid w:val="00EC2962"/>
    <w:rsid w:val="00F060DB"/>
    <w:rsid w:val="00F82F6C"/>
    <w:rsid w:val="00F931AA"/>
    <w:rsid w:val="00F93C78"/>
    <w:rsid w:val="00FC138E"/>
    <w:rsid w:val="00FC2DCE"/>
    <w:rsid w:val="00FD483C"/>
    <w:rsid w:val="00FD53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65958"/>
    <w:rPr>
      <w:color w:val="0000FF" w:themeColor="hyperlink"/>
      <w:u w:val="single"/>
    </w:rPr>
  </w:style>
  <w:style w:type="character" w:styleId="UnresolvedMention">
    <w:name w:val="Unresolved Mention"/>
    <w:basedOn w:val="DefaultParagraphFont"/>
    <w:uiPriority w:val="99"/>
    <w:semiHidden/>
    <w:unhideWhenUsed/>
    <w:rsid w:val="00A6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mergencies/disease-outbreak-news/item/2023-DON518" TargetMode="External"/><Relationship Id="rId3" Type="http://schemas.openxmlformats.org/officeDocument/2006/relationships/settings" Target="settings.xml"/><Relationship Id="rId7" Type="http://schemas.openxmlformats.org/officeDocument/2006/relationships/hyperlink" Target="http://jurnal.uimus.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TotalTime>
  <Pages>6</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cp:lastModifiedBy>
  <cp:revision>80</cp:revision>
  <dcterms:created xsi:type="dcterms:W3CDTF">2026-02-04T01:08:00Z</dcterms:created>
  <dcterms:modified xsi:type="dcterms:W3CDTF">2026-04-25T07:04:00Z</dcterms:modified>
</cp:coreProperties>
</file>