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0C006459">
                <wp:simplePos x="0" y="0"/>
                <wp:positionH relativeFrom="margin">
                  <wp:posOffset>-165735</wp:posOffset>
                </wp:positionH>
                <wp:positionV relativeFrom="paragraph">
                  <wp:posOffset>25400</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2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2YvojBQAAcBEAAA4AAABkcnMvZTJvRG9jLnht&#10;bOxYW2/bNhR+H7D/IOi9sSXLkm3EKYZmCQp0a5B22DNNUZYQSRRI+pL++n2HFGUncd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">
                <v:group id="Group 18461" o:spid="_x0000_s1027"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0"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1"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2"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4E6FC196" w14:textId="66FC9865" w:rsidR="00D9142C" w:rsidRPr="00531914" w:rsidRDefault="00531914">
      <w:pPr>
        <w:spacing w:after="7" w:line="259" w:lineRule="auto"/>
        <w:ind w:left="0" w:right="0" w:firstLine="0"/>
        <w:jc w:val="left"/>
        <w:rPr>
          <w:rFonts w:ascii="Times New Roman" w:eastAsia="Times New Roman" w:hAnsi="Times New Roman" w:cs="Times New Roman"/>
          <w:b/>
          <w:sz w:val="36"/>
          <w:szCs w:val="36"/>
        </w:rPr>
      </w:pPr>
      <w:r>
        <w:rPr>
          <w:rStyle w:val="Strong"/>
          <w:rFonts w:ascii="Times New Roman" w:hAnsi="Times New Roman"/>
          <w:sz w:val="36"/>
          <w:szCs w:val="36"/>
        </w:rPr>
        <w:t>V</w:t>
      </w:r>
      <w:r w:rsidRPr="00531914">
        <w:rPr>
          <w:rFonts w:ascii="Times New Roman" w:hAnsi="Times New Roman"/>
          <w:b/>
          <w:bCs/>
          <w:sz w:val="36"/>
          <w:szCs w:val="36"/>
        </w:rPr>
        <w:t xml:space="preserve">alidation of a Modified O'Leary Plaque Index Compared to the Standard OHI-S Among Elementary School Students at SDN </w:t>
      </w:r>
      <w:proofErr w:type="spellStart"/>
      <w:r w:rsidRPr="00531914">
        <w:rPr>
          <w:rFonts w:ascii="Times New Roman" w:hAnsi="Times New Roman"/>
          <w:b/>
          <w:bCs/>
          <w:sz w:val="36"/>
          <w:szCs w:val="36"/>
        </w:rPr>
        <w:t>Pudakpayung</w:t>
      </w:r>
      <w:proofErr w:type="spellEnd"/>
      <w:r w:rsidRPr="00531914">
        <w:rPr>
          <w:rFonts w:ascii="Times New Roman" w:hAnsi="Times New Roman"/>
          <w:b/>
          <w:bCs/>
          <w:sz w:val="36"/>
          <w:szCs w:val="36"/>
        </w:rPr>
        <w:t xml:space="preserve"> 02, Semarang</w:t>
      </w:r>
    </w:p>
    <w:p w14:paraId="0FCE25A0" w14:textId="4630289D" w:rsidR="00AB7C2F" w:rsidRPr="00EF7FDB" w:rsidRDefault="00AB7C2F" w:rsidP="00AB7C2F">
      <w:pPr>
        <w:pStyle w:val="NoSpacing"/>
        <w:ind w:right="1276" w:firstLine="0"/>
        <w:rPr>
          <w:rFonts w:ascii="Cambria" w:hAnsi="Cambria" w:cstheme="majorBidi"/>
          <w:lang w:val="id-ID"/>
        </w:rPr>
      </w:pPr>
      <w:r w:rsidRPr="00AB7C2F">
        <w:rPr>
          <w:rFonts w:ascii="Cambria" w:hAnsi="Cambria"/>
          <w:b/>
          <w:bCs/>
          <w:color w:val="231F20"/>
          <w:w w:val="95"/>
          <w:vertAlign w:val="superscript"/>
        </w:rPr>
        <w:t>1</w:t>
      </w:r>
      <w:r w:rsidRPr="00EF7FDB">
        <w:rPr>
          <w:rFonts w:ascii="Cambria" w:hAnsi="Cambria"/>
          <w:b/>
          <w:bCs/>
          <w:color w:val="231F20"/>
          <w:w w:val="95"/>
        </w:rPr>
        <w:t xml:space="preserve">Bambang Sutomo, </w:t>
      </w:r>
      <w:r>
        <w:rPr>
          <w:rFonts w:ascii="Cambria" w:hAnsi="Cambria"/>
          <w:b/>
          <w:bCs/>
          <w:color w:val="231F20"/>
          <w:w w:val="95"/>
          <w:vertAlign w:val="superscript"/>
        </w:rPr>
        <w:t>2</w:t>
      </w:r>
      <w:r w:rsidRPr="00EF7FDB">
        <w:rPr>
          <w:rFonts w:ascii="Cambria" w:hAnsi="Cambria"/>
          <w:b/>
          <w:bCs/>
          <w:color w:val="231F20"/>
          <w:w w:val="95"/>
        </w:rPr>
        <w:t xml:space="preserve">Supriyana, </w:t>
      </w:r>
      <w:r>
        <w:rPr>
          <w:rFonts w:ascii="Cambria" w:hAnsi="Cambria"/>
          <w:b/>
          <w:bCs/>
          <w:color w:val="231F20"/>
          <w:w w:val="95"/>
          <w:vertAlign w:val="superscript"/>
        </w:rPr>
        <w:t>3</w:t>
      </w:r>
      <w:r w:rsidRPr="00EF7FDB">
        <w:rPr>
          <w:rFonts w:ascii="Cambria" w:hAnsi="Cambria"/>
          <w:b/>
          <w:bCs/>
          <w:color w:val="231F20"/>
          <w:w w:val="95"/>
        </w:rPr>
        <w:t>Irmanita Wiradona</w:t>
      </w:r>
    </w:p>
    <w:p w14:paraId="29C7183D" w14:textId="5AA55BAB" w:rsidR="00664C6B" w:rsidRDefault="006E0898">
      <w:pPr>
        <w:spacing w:after="0" w:line="259" w:lineRule="auto"/>
        <w:ind w:left="0" w:right="0" w:firstLine="0"/>
        <w:jc w:val="left"/>
        <w:rPr>
          <w:rFonts w:ascii="Times New Roman" w:eastAsiaTheme="minorHAnsi" w:hAnsi="Times New Roman"/>
        </w:rPr>
      </w:pPr>
      <w:r>
        <w:rPr>
          <w:sz w:val="20"/>
        </w:rPr>
        <w:t xml:space="preserve">Corresponding Author: </w:t>
      </w:r>
      <w:r>
        <w:rPr>
          <w:b/>
          <w:sz w:val="20"/>
          <w:vertAlign w:val="superscript"/>
        </w:rPr>
        <w:t xml:space="preserve">* </w:t>
      </w:r>
      <w:hyperlink r:id="rId12" w:history="1">
        <w:r w:rsidR="00AB7C2F" w:rsidRPr="00765D54">
          <w:rPr>
            <w:rStyle w:val="Hyperlink"/>
            <w:rFonts w:ascii="Times New Roman" w:eastAsiaTheme="minorHAnsi" w:hAnsi="Times New Roman"/>
          </w:rPr>
          <w:t>bambangsutomo20@yahoo.co.id</w:t>
        </w:r>
      </w:hyperlink>
    </w:p>
    <w:p w14:paraId="1365FA2B" w14:textId="6701DE57" w:rsidR="00AB7C2F" w:rsidRDefault="00AB7C2F">
      <w:pPr>
        <w:spacing w:after="0" w:line="259" w:lineRule="auto"/>
        <w:ind w:left="0" w:right="0" w:firstLine="0"/>
        <w:jc w:val="left"/>
      </w:pPr>
      <w:r w:rsidRPr="00AB7C2F">
        <w:rPr>
          <w:rFonts w:ascii="Times New Roman" w:eastAsiaTheme="minorHAnsi" w:hAnsi="Times New Roman"/>
          <w:vertAlign w:val="superscript"/>
          <w:lang w:val="id-ID"/>
        </w:rPr>
        <w:t>1</w:t>
      </w:r>
      <w:r w:rsidRPr="00B331A8">
        <w:rPr>
          <w:rFonts w:ascii="Times New Roman" w:hAnsi="Times New Roman"/>
          <w:color w:val="231F20"/>
          <w:spacing w:val="-1"/>
        </w:rPr>
        <w:t xml:space="preserve">Lecturer in Master of Applied Health, Dental and Oral Therapist Study </w:t>
      </w:r>
      <w:proofErr w:type="spellStart"/>
      <w:r w:rsidRPr="00B331A8">
        <w:rPr>
          <w:rFonts w:ascii="Times New Roman" w:hAnsi="Times New Roman"/>
          <w:color w:val="231F20"/>
          <w:spacing w:val="-1"/>
        </w:rPr>
        <w:t>Programme</w:t>
      </w:r>
      <w:proofErr w:type="spellEnd"/>
      <w:r w:rsidRPr="00B331A8">
        <w:rPr>
          <w:rFonts w:ascii="Times New Roman" w:hAnsi="Times New Roman"/>
          <w:color w:val="231F20"/>
          <w:spacing w:val="-1"/>
        </w:rPr>
        <w:t xml:space="preserve">, Postgraduate </w:t>
      </w:r>
      <w:proofErr w:type="spellStart"/>
      <w:r w:rsidRPr="00B331A8">
        <w:rPr>
          <w:rFonts w:ascii="Times New Roman" w:hAnsi="Times New Roman"/>
          <w:color w:val="231F20"/>
          <w:spacing w:val="-1"/>
        </w:rPr>
        <w:t>Programme</w:t>
      </w:r>
      <w:proofErr w:type="spellEnd"/>
      <w:r w:rsidRPr="00B331A8">
        <w:rPr>
          <w:rFonts w:ascii="Times New Roman" w:hAnsi="Times New Roman"/>
          <w:color w:val="231F20"/>
          <w:spacing w:val="-1"/>
        </w:rPr>
        <w:t xml:space="preserve">, </w:t>
      </w:r>
      <w:proofErr w:type="spellStart"/>
      <w:r w:rsidRPr="00B331A8">
        <w:rPr>
          <w:rFonts w:ascii="Times New Roman" w:hAnsi="Times New Roman"/>
          <w:color w:val="231F20"/>
          <w:spacing w:val="-1"/>
        </w:rPr>
        <w:t>Poltekkes</w:t>
      </w:r>
      <w:proofErr w:type="spellEnd"/>
      <w:r w:rsidRPr="00B331A8">
        <w:rPr>
          <w:rFonts w:ascii="Times New Roman" w:hAnsi="Times New Roman"/>
          <w:color w:val="231F20"/>
          <w:spacing w:val="-1"/>
        </w:rPr>
        <w:t xml:space="preserve"> </w:t>
      </w:r>
      <w:proofErr w:type="spellStart"/>
      <w:r w:rsidRPr="00B331A8">
        <w:rPr>
          <w:rFonts w:ascii="Times New Roman" w:hAnsi="Times New Roman"/>
          <w:color w:val="231F20"/>
          <w:spacing w:val="-1"/>
        </w:rPr>
        <w:t>Kemenkes</w:t>
      </w:r>
      <w:proofErr w:type="spellEnd"/>
      <w:r w:rsidRPr="00B331A8">
        <w:rPr>
          <w:rFonts w:ascii="Times New Roman" w:hAnsi="Times New Roman"/>
          <w:color w:val="231F20"/>
          <w:spacing w:val="-1"/>
        </w:rPr>
        <w:t xml:space="preserve"> Semarang, Central Java, Indonesia</w:t>
      </w:r>
    </w:p>
    <w:p w14:paraId="789A32E2" w14:textId="4DBBACF6" w:rsidR="00AB7C2F" w:rsidRPr="00B331A8" w:rsidRDefault="00AB7C2F" w:rsidP="00AB7C2F">
      <w:pPr>
        <w:spacing w:after="0" w:line="259" w:lineRule="auto"/>
        <w:ind w:left="0"/>
        <w:rPr>
          <w:rFonts w:ascii="Times New Roman" w:eastAsiaTheme="minorHAnsi" w:hAnsi="Times New Roman"/>
          <w:lang w:val="id-ID"/>
        </w:rPr>
      </w:pPr>
      <w:r w:rsidRPr="00AB7C2F">
        <w:rPr>
          <w:rFonts w:ascii="Times New Roman" w:hAnsi="Times New Roman"/>
          <w:color w:val="231F20"/>
          <w:spacing w:val="-1"/>
          <w:vertAlign w:val="superscript"/>
        </w:rPr>
        <w:t>2</w:t>
      </w:r>
      <w:r w:rsidRPr="00B331A8">
        <w:rPr>
          <w:rFonts w:ascii="Times New Roman" w:hAnsi="Times New Roman"/>
          <w:spacing w:val="-1"/>
        </w:rPr>
        <w:t xml:space="preserve">Lecturer in Master of Applied Health, Dental and Oral Therapist Study </w:t>
      </w:r>
      <w:proofErr w:type="spellStart"/>
      <w:r w:rsidRPr="00B331A8">
        <w:rPr>
          <w:rFonts w:ascii="Times New Roman" w:hAnsi="Times New Roman"/>
          <w:spacing w:val="-1"/>
        </w:rPr>
        <w:t>Programme</w:t>
      </w:r>
      <w:proofErr w:type="spellEnd"/>
      <w:r w:rsidRPr="00B331A8">
        <w:rPr>
          <w:rFonts w:ascii="Times New Roman" w:hAnsi="Times New Roman"/>
          <w:spacing w:val="-1"/>
        </w:rPr>
        <w:t xml:space="preserve">, Postgraduate </w:t>
      </w:r>
      <w:proofErr w:type="spellStart"/>
      <w:r w:rsidRPr="00B331A8">
        <w:rPr>
          <w:rFonts w:ascii="Times New Roman" w:hAnsi="Times New Roman"/>
          <w:spacing w:val="-1"/>
        </w:rPr>
        <w:t>Programme</w:t>
      </w:r>
      <w:proofErr w:type="spellEnd"/>
      <w:r w:rsidRPr="00B331A8">
        <w:rPr>
          <w:rFonts w:ascii="Times New Roman" w:hAnsi="Times New Roman"/>
          <w:spacing w:val="-1"/>
        </w:rPr>
        <w:t xml:space="preserve">, </w:t>
      </w:r>
      <w:proofErr w:type="spellStart"/>
      <w:r w:rsidRPr="00B331A8">
        <w:rPr>
          <w:rFonts w:ascii="Times New Roman" w:hAnsi="Times New Roman"/>
          <w:spacing w:val="-1"/>
        </w:rPr>
        <w:t>Poltekkes</w:t>
      </w:r>
      <w:proofErr w:type="spellEnd"/>
      <w:r w:rsidRPr="00B331A8">
        <w:rPr>
          <w:rFonts w:ascii="Times New Roman" w:hAnsi="Times New Roman"/>
          <w:spacing w:val="-1"/>
        </w:rPr>
        <w:t xml:space="preserve"> </w:t>
      </w:r>
      <w:proofErr w:type="spellStart"/>
      <w:r w:rsidRPr="00B331A8">
        <w:rPr>
          <w:rFonts w:ascii="Times New Roman" w:hAnsi="Times New Roman"/>
          <w:spacing w:val="-1"/>
        </w:rPr>
        <w:t>Kemenkes</w:t>
      </w:r>
      <w:proofErr w:type="spellEnd"/>
      <w:r w:rsidRPr="00B331A8">
        <w:rPr>
          <w:rFonts w:ascii="Times New Roman" w:hAnsi="Times New Roman"/>
          <w:spacing w:val="-1"/>
        </w:rPr>
        <w:t xml:space="preserve"> Semarang, Central Java, Indonesia</w:t>
      </w:r>
    </w:p>
    <w:p w14:paraId="2D1D6558" w14:textId="4FE04463" w:rsidR="00AB7C2F" w:rsidRDefault="00AB7C2F" w:rsidP="00AB7C2F">
      <w:pPr>
        <w:spacing w:after="2" w:line="254" w:lineRule="auto"/>
        <w:ind w:left="-5" w:right="0"/>
        <w:jc w:val="left"/>
        <w:rPr>
          <w:noProof/>
        </w:rPr>
      </w:pPr>
      <w:r w:rsidRPr="00AB7C2F">
        <w:rPr>
          <w:rFonts w:ascii="Times New Roman" w:hAnsi="Times New Roman"/>
          <w:spacing w:val="-1"/>
          <w:vertAlign w:val="superscript"/>
        </w:rPr>
        <w:t>3</w:t>
      </w:r>
      <w:r w:rsidRPr="00B331A8">
        <w:rPr>
          <w:rFonts w:ascii="Times New Roman" w:hAnsi="Times New Roman"/>
          <w:spacing w:val="-1"/>
        </w:rPr>
        <w:t xml:space="preserve">Lecturer of Diploma III Dental Health Study </w:t>
      </w:r>
      <w:proofErr w:type="spellStart"/>
      <w:r w:rsidRPr="00B331A8">
        <w:rPr>
          <w:rFonts w:ascii="Times New Roman" w:hAnsi="Times New Roman"/>
          <w:spacing w:val="-1"/>
        </w:rPr>
        <w:t>Programme</w:t>
      </w:r>
      <w:proofErr w:type="spellEnd"/>
      <w:r w:rsidRPr="00B331A8">
        <w:rPr>
          <w:rFonts w:ascii="Times New Roman" w:hAnsi="Times New Roman"/>
          <w:spacing w:val="-1"/>
        </w:rPr>
        <w:t xml:space="preserve">, Department of Dental Health, </w:t>
      </w:r>
      <w:proofErr w:type="spellStart"/>
      <w:r w:rsidRPr="00B331A8">
        <w:rPr>
          <w:rFonts w:ascii="Times New Roman" w:hAnsi="Times New Roman"/>
          <w:spacing w:val="-1"/>
        </w:rPr>
        <w:t>Poltekkes</w:t>
      </w:r>
      <w:proofErr w:type="spellEnd"/>
      <w:r w:rsidRPr="00B331A8">
        <w:rPr>
          <w:rFonts w:ascii="Times New Roman" w:hAnsi="Times New Roman"/>
          <w:spacing w:val="-1"/>
        </w:rPr>
        <w:t xml:space="preserve"> </w:t>
      </w:r>
      <w:proofErr w:type="spellStart"/>
      <w:r w:rsidRPr="00B331A8">
        <w:rPr>
          <w:rFonts w:ascii="Times New Roman" w:hAnsi="Times New Roman"/>
          <w:spacing w:val="-1"/>
        </w:rPr>
        <w:t>Kemenkes</w:t>
      </w:r>
      <w:proofErr w:type="spellEnd"/>
      <w:r w:rsidRPr="00B331A8">
        <w:rPr>
          <w:rFonts w:ascii="Times New Roman" w:hAnsi="Times New Roman"/>
          <w:spacing w:val="-1"/>
        </w:rPr>
        <w:t xml:space="preserve"> </w:t>
      </w:r>
      <w:proofErr w:type="spellStart"/>
      <w:r w:rsidRPr="00B331A8">
        <w:rPr>
          <w:rFonts w:ascii="Times New Roman" w:hAnsi="Times New Roman"/>
          <w:spacing w:val="-1"/>
        </w:rPr>
        <w:t>Semarang,Central</w:t>
      </w:r>
      <w:proofErr w:type="spellEnd"/>
      <w:r w:rsidRPr="00B331A8">
        <w:rPr>
          <w:rFonts w:ascii="Times New Roman" w:hAnsi="Times New Roman"/>
          <w:spacing w:val="-1"/>
        </w:rPr>
        <w:t xml:space="preserve"> Java, Indonesia</w:t>
      </w:r>
    </w:p>
    <w:p w14:paraId="365684A4" w14:textId="2D944B66" w:rsidR="00664C6B" w:rsidRDefault="009A7897" w:rsidP="00AB7C2F">
      <w:pPr>
        <w:spacing w:after="2" w:line="254" w:lineRule="auto"/>
        <w:ind w:left="-5" w:right="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06167052" w:rsidR="00664C6B" w:rsidRDefault="00000000">
      <w:pPr>
        <w:tabs>
          <w:tab w:val="center" w:pos="3314"/>
        </w:tabs>
        <w:spacing w:after="53" w:line="254" w:lineRule="auto"/>
        <w:ind w:left="-15" w:right="0" w:firstLine="0"/>
        <w:jc w:val="left"/>
      </w:pPr>
      <w:r>
        <w:rPr>
          <w:sz w:val="20"/>
        </w:rPr>
        <w:tab/>
        <w:t>ABSTRACT</w:t>
      </w:r>
      <w:r>
        <w:rPr>
          <w:b/>
          <w:sz w:val="20"/>
        </w:rPr>
        <w:t xml:space="preserve"> </w:t>
      </w:r>
    </w:p>
    <w:tbl>
      <w:tblPr>
        <w:tblStyle w:val="TableGrid"/>
        <w:tblW w:w="8793"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191"/>
      </w:tblGrid>
      <w:tr w:rsidR="00664C6B" w14:paraId="761EE158" w14:textId="77777777" w:rsidTr="004A1BC9">
        <w:trPr>
          <w:trHeight w:val="1237"/>
        </w:trPr>
        <w:tc>
          <w:tcPr>
            <w:tcW w:w="2602"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E91D788" w14:textId="77777777" w:rsidR="00D9142C" w:rsidRDefault="00D9142C">
            <w:pPr>
              <w:spacing w:after="0" w:line="259" w:lineRule="auto"/>
              <w:ind w:left="0" w:right="0" w:firstLine="0"/>
              <w:jc w:val="left"/>
            </w:pPr>
          </w:p>
          <w:p w14:paraId="5D46F0F9" w14:textId="77777777" w:rsidR="00D9142C" w:rsidRDefault="00D9142C" w:rsidP="00D9142C">
            <w:pPr>
              <w:spacing w:after="0" w:line="259" w:lineRule="auto"/>
              <w:ind w:left="0" w:right="0" w:firstLine="0"/>
              <w:jc w:val="left"/>
              <w:rPr>
                <w:b/>
              </w:rPr>
            </w:pPr>
          </w:p>
          <w:p w14:paraId="1EC8553C" w14:textId="77777777" w:rsidR="00D9142C" w:rsidRDefault="00D9142C" w:rsidP="00D9142C">
            <w:pPr>
              <w:spacing w:after="0" w:line="259" w:lineRule="auto"/>
              <w:ind w:left="0" w:right="0" w:firstLine="0"/>
              <w:jc w:val="left"/>
              <w:rPr>
                <w:b/>
              </w:rPr>
            </w:pPr>
          </w:p>
          <w:p w14:paraId="29AE9D8F" w14:textId="77777777" w:rsidR="00D9142C" w:rsidRDefault="00D9142C" w:rsidP="00D9142C">
            <w:pPr>
              <w:spacing w:after="0" w:line="259" w:lineRule="auto"/>
              <w:ind w:left="0" w:right="0" w:firstLine="0"/>
              <w:jc w:val="left"/>
              <w:rPr>
                <w:b/>
              </w:rPr>
            </w:pPr>
          </w:p>
          <w:p w14:paraId="4F098228" w14:textId="77777777" w:rsidR="00D9142C" w:rsidRDefault="00D9142C" w:rsidP="00D9142C">
            <w:pPr>
              <w:spacing w:after="0" w:line="259" w:lineRule="auto"/>
              <w:ind w:left="0" w:right="0" w:firstLine="0"/>
              <w:jc w:val="left"/>
              <w:rPr>
                <w:b/>
              </w:rPr>
            </w:pPr>
          </w:p>
          <w:p w14:paraId="5C06350D" w14:textId="554697C8" w:rsidR="00D9142C" w:rsidRPr="00C929A8" w:rsidRDefault="00D9142C" w:rsidP="00D9142C">
            <w:pPr>
              <w:spacing w:after="0" w:line="259" w:lineRule="auto"/>
              <w:ind w:left="0" w:right="0" w:firstLine="0"/>
              <w:jc w:val="left"/>
            </w:pPr>
            <w:r w:rsidRPr="00C929A8">
              <w:rPr>
                <w:b/>
              </w:rPr>
              <w:t xml:space="preserve">Keywords </w:t>
            </w:r>
          </w:p>
          <w:p w14:paraId="209A8869" w14:textId="61CAC79C" w:rsidR="00FF4D58" w:rsidRDefault="0046575E" w:rsidP="00D9142C">
            <w:pPr>
              <w:spacing w:after="0" w:line="259" w:lineRule="auto"/>
              <w:ind w:left="0" w:right="0" w:firstLine="0"/>
              <w:jc w:val="left"/>
            </w:pPr>
            <w:r>
              <w:rPr>
                <w:color w:val="231F20"/>
                <w:sz w:val="20"/>
                <w:szCs w:val="20"/>
              </w:rPr>
              <w:t>o</w:t>
            </w:r>
            <w:r w:rsidRPr="005D7C65">
              <w:rPr>
                <w:color w:val="231F20"/>
                <w:sz w:val="20"/>
                <w:szCs w:val="20"/>
              </w:rPr>
              <w:t>ral hygiene index</w:t>
            </w:r>
            <w:r w:rsidRPr="00C929A8">
              <w:t xml:space="preserve"> </w:t>
            </w:r>
          </w:p>
          <w:p w14:paraId="3B1C8352" w14:textId="170FB6B6" w:rsidR="00FF4D58" w:rsidRDefault="0046575E" w:rsidP="00D9142C">
            <w:pPr>
              <w:spacing w:after="0" w:line="259" w:lineRule="auto"/>
              <w:ind w:left="0" w:right="0" w:firstLine="0"/>
              <w:jc w:val="left"/>
            </w:pPr>
            <w:r>
              <w:rPr>
                <w:color w:val="231F20"/>
                <w:sz w:val="20"/>
                <w:szCs w:val="20"/>
              </w:rPr>
              <w:t>p</w:t>
            </w:r>
            <w:r w:rsidRPr="005D7C65">
              <w:rPr>
                <w:color w:val="231F20"/>
                <w:sz w:val="20"/>
                <w:szCs w:val="20"/>
              </w:rPr>
              <w:t>laque index</w:t>
            </w:r>
            <w:r w:rsidRPr="00C929A8">
              <w:t xml:space="preserve"> </w:t>
            </w:r>
          </w:p>
          <w:p w14:paraId="539B1A18" w14:textId="040A2BEF" w:rsidR="00FF4D58" w:rsidRDefault="0046575E" w:rsidP="00D9142C">
            <w:pPr>
              <w:spacing w:after="0" w:line="259" w:lineRule="auto"/>
              <w:ind w:left="0" w:right="0" w:firstLine="0"/>
              <w:jc w:val="left"/>
            </w:pPr>
            <w:proofErr w:type="spellStart"/>
            <w:r w:rsidRPr="005D7C65">
              <w:rPr>
                <w:color w:val="231F20"/>
                <w:sz w:val="20"/>
                <w:szCs w:val="20"/>
              </w:rPr>
              <w:t>o’leary</w:t>
            </w:r>
            <w:proofErr w:type="spellEnd"/>
            <w:r w:rsidRPr="00C929A8">
              <w:t xml:space="preserve"> </w:t>
            </w:r>
          </w:p>
          <w:p w14:paraId="5CE16847" w14:textId="34A4D4F4" w:rsidR="00FF4D58" w:rsidRDefault="0046575E" w:rsidP="00D9142C">
            <w:pPr>
              <w:spacing w:after="0" w:line="259" w:lineRule="auto"/>
              <w:ind w:left="0" w:right="0" w:firstLine="0"/>
              <w:jc w:val="left"/>
            </w:pPr>
            <w:proofErr w:type="spellStart"/>
            <w:r w:rsidRPr="005D7C65">
              <w:rPr>
                <w:color w:val="231F20"/>
                <w:sz w:val="20"/>
                <w:szCs w:val="20"/>
              </w:rPr>
              <w:t>ohi</w:t>
            </w:r>
            <w:proofErr w:type="spellEnd"/>
            <w:r w:rsidRPr="005D7C65">
              <w:rPr>
                <w:color w:val="231F20"/>
                <w:sz w:val="20"/>
                <w:szCs w:val="20"/>
              </w:rPr>
              <w:t>-s</w:t>
            </w:r>
            <w:r w:rsidRPr="00C929A8">
              <w:t xml:space="preserve"> </w:t>
            </w:r>
          </w:p>
          <w:p w14:paraId="6667D732" w14:textId="7A1EA6EE" w:rsidR="00664C6B" w:rsidRPr="00C929A8" w:rsidRDefault="0046575E">
            <w:pPr>
              <w:spacing w:after="0" w:line="259" w:lineRule="auto"/>
              <w:ind w:left="0" w:right="0" w:firstLine="0"/>
              <w:jc w:val="left"/>
            </w:pPr>
            <w:r w:rsidRPr="005D7C65">
              <w:rPr>
                <w:color w:val="231F20"/>
                <w:sz w:val="20"/>
                <w:szCs w:val="20"/>
              </w:rPr>
              <w:t>validation</w:t>
            </w:r>
            <w:r w:rsidRPr="00C929A8">
              <w:rPr>
                <w:i/>
              </w:rPr>
              <w:t xml:space="preserve"> </w:t>
            </w:r>
          </w:p>
        </w:tc>
        <w:tc>
          <w:tcPr>
            <w:tcW w:w="6191" w:type="dxa"/>
            <w:tcBorders>
              <w:top w:val="single" w:sz="4" w:space="0" w:color="2F5496"/>
              <w:bottom w:val="nil"/>
            </w:tcBorders>
            <w:shd w:val="clear" w:color="auto" w:fill="D9D9D9"/>
          </w:tcPr>
          <w:p w14:paraId="500656FD" w14:textId="77777777" w:rsidR="006E0898" w:rsidRDefault="006E0898" w:rsidP="00727C96">
            <w:pPr>
              <w:spacing w:after="0" w:line="259" w:lineRule="auto"/>
              <w:ind w:left="0" w:right="195" w:firstLine="0"/>
            </w:pPr>
          </w:p>
          <w:p w14:paraId="2BBE076C" w14:textId="77777777" w:rsidR="00D9142C" w:rsidRPr="003F709B" w:rsidRDefault="00D9142C" w:rsidP="00727C96">
            <w:pPr>
              <w:widowControl w:val="0"/>
              <w:autoSpaceDE w:val="0"/>
              <w:autoSpaceDN w:val="0"/>
              <w:spacing w:before="104" w:line="249" w:lineRule="auto"/>
              <w:ind w:left="22" w:right="124" w:firstLine="0"/>
              <w:rPr>
                <w:rFonts w:ascii="Times New Roman" w:hAnsi="Times New Roman"/>
                <w:color w:val="231F20"/>
                <w:lang w:val="en-ID"/>
              </w:rPr>
            </w:pPr>
            <w:r w:rsidRPr="003F709B">
              <w:rPr>
                <w:rFonts w:ascii="Times New Roman" w:hAnsi="Times New Roman"/>
                <w:color w:val="231F20"/>
                <w:lang w:val="en-ID"/>
              </w:rPr>
              <w:t xml:space="preserve">Oral hygiene is a key indicator of oral health and plays an important role in school-based preventive programs. Standard methods such as the Simplified Oral Hygiene Index (OHI-S) require trained dental personnel, while the O’Leary Plaque Index offers an alternative approach but may be complex for school cadres. To validate a modified O’Leary plaque index restricted to labial/oral surfaces and compare its performance with the standard OHI-S in assessing oral hygiene status. A comparative within-subject study involving 192 elementary students at SDN </w:t>
            </w:r>
            <w:proofErr w:type="spellStart"/>
            <w:r w:rsidRPr="003F709B">
              <w:rPr>
                <w:rFonts w:ascii="Times New Roman" w:hAnsi="Times New Roman"/>
                <w:color w:val="231F20"/>
                <w:lang w:val="en-ID"/>
              </w:rPr>
              <w:t>Pudakpayung</w:t>
            </w:r>
            <w:proofErr w:type="spellEnd"/>
            <w:r w:rsidRPr="003F709B">
              <w:rPr>
                <w:rFonts w:ascii="Times New Roman" w:hAnsi="Times New Roman"/>
                <w:color w:val="231F20"/>
                <w:lang w:val="en-ID"/>
              </w:rPr>
              <w:t xml:space="preserve"> 02 was conducted. Each student underwent oral hygiene examination using (1) standard OHI-S (debris index), and (2) a modified O’Leary plaque index assessing only labial/oral surfaces. Validity was evaluated using Aiken’s V from five experts. Reliability was assessed through Interclass Correlation Coefficient (ICC). Differences between scores were </w:t>
            </w:r>
            <w:proofErr w:type="spellStart"/>
            <w:r w:rsidRPr="003F709B">
              <w:rPr>
                <w:rFonts w:ascii="Times New Roman" w:hAnsi="Times New Roman"/>
                <w:color w:val="231F20"/>
                <w:lang w:val="en-ID"/>
              </w:rPr>
              <w:t>analyzed</w:t>
            </w:r>
            <w:proofErr w:type="spellEnd"/>
            <w:r w:rsidRPr="003F709B">
              <w:rPr>
                <w:rFonts w:ascii="Times New Roman" w:hAnsi="Times New Roman"/>
                <w:color w:val="231F20"/>
                <w:lang w:val="en-ID"/>
              </w:rPr>
              <w:t xml:space="preserve"> using the Wilcoxon test with a 95% confidence level. Most students were categorized as “moderate” on both methods (OHI-S: 45.3%; modified index: 41.7%). Wilcoxon analysis showed no significant difference between the two methods (p = 0.225). Homogeneity testing indicated equal distribution (p = 0.862). ICC with five raters was 0.671, indicating moderate reliability. The modified O’Leary plaque index demonstrates comparable outcomes to the standard OHI-S and may serve as a practical, simplified assessment tool for school-based oral health cadres.</w:t>
            </w:r>
          </w:p>
          <w:p w14:paraId="38B796BF" w14:textId="3AB42361" w:rsidR="00664C6B" w:rsidRDefault="00664C6B" w:rsidP="00256EDE">
            <w:pPr>
              <w:spacing w:after="0" w:line="259" w:lineRule="auto"/>
              <w:ind w:left="240" w:right="195" w:firstLine="0"/>
            </w:pPr>
          </w:p>
        </w:tc>
      </w:tr>
    </w:tbl>
    <w:p w14:paraId="22C23977" w14:textId="77777777" w:rsidR="00D9142C" w:rsidRDefault="00D9142C" w:rsidP="00323CBA">
      <w:pPr>
        <w:pStyle w:val="Heading1"/>
        <w:spacing w:after="120" w:line="360" w:lineRule="auto"/>
        <w:ind w:left="-5"/>
        <w:sectPr w:rsidR="00D9142C" w:rsidSect="009A7897">
          <w:headerReference w:type="even" r:id="rId13"/>
          <w:headerReference w:type="default" r:id="rId14"/>
          <w:footerReference w:type="even" r:id="rId15"/>
          <w:footerReference w:type="default" r:id="rId16"/>
          <w:headerReference w:type="first" r:id="rId17"/>
          <w:footerReference w:type="first" r:id="rId18"/>
          <w:pgSz w:w="11906" w:h="16841" w:code="9"/>
          <w:pgMar w:top="1418" w:right="1418" w:bottom="1418" w:left="1701" w:header="720" w:footer="851" w:gutter="0"/>
          <w:pgNumType w:start="1"/>
          <w:cols w:space="720"/>
          <w:titlePg/>
        </w:sectPr>
      </w:pPr>
    </w:p>
    <w:p w14:paraId="23E54A91" w14:textId="2B134014" w:rsidR="00664C6B" w:rsidRDefault="00C929A8" w:rsidP="00323CBA">
      <w:pPr>
        <w:pStyle w:val="Heading1"/>
        <w:spacing w:after="120" w:line="360" w:lineRule="auto"/>
        <w:ind w:left="-5"/>
      </w:pPr>
      <w:r>
        <w:lastRenderedPageBreak/>
        <w:t>Introduction</w:t>
      </w:r>
    </w:p>
    <w:p w14:paraId="6541AAE6" w14:textId="77777777" w:rsidR="00727C96" w:rsidRPr="00544245" w:rsidRDefault="00727C96" w:rsidP="00727C96">
      <w:pPr>
        <w:pStyle w:val="NoSpacing"/>
        <w:spacing w:before="120" w:line="360" w:lineRule="auto"/>
        <w:rPr>
          <w:rFonts w:ascii="Cambria" w:hAnsi="Cambria"/>
          <w:bCs/>
          <w:sz w:val="22"/>
          <w:szCs w:val="22"/>
          <w:lang w:val="en-ID"/>
        </w:rPr>
      </w:pPr>
      <w:r w:rsidRPr="00544245">
        <w:rPr>
          <w:rFonts w:ascii="Cambria" w:hAnsi="Cambria"/>
          <w:bCs/>
          <w:sz w:val="22"/>
          <w:szCs w:val="22"/>
          <w:lang w:val="en-ID"/>
        </w:rPr>
        <w:t>Oral health has long been recognized as an integral component of overall health, a position reinforced by the Sixtieth World Health Assembly (WHA) in 2007, which Indonesia has implemented school-based oral health programs, including the Usaha Kesehatan Gigi Sekolah (UKGS), which promotes daily toothbrushing and self-care practices as part of broader health-promoting school initiatives.</w:t>
      </w:r>
    </w:p>
    <w:p w14:paraId="234619FD" w14:textId="77777777" w:rsidR="00727C96" w:rsidRPr="00544245" w:rsidRDefault="00727C96" w:rsidP="00727C96">
      <w:pPr>
        <w:pStyle w:val="NoSpacing"/>
        <w:spacing w:before="120" w:line="360" w:lineRule="auto"/>
        <w:rPr>
          <w:rFonts w:ascii="Cambria" w:hAnsi="Cambria"/>
          <w:bCs/>
          <w:sz w:val="22"/>
          <w:szCs w:val="22"/>
          <w:lang w:val="en-ID"/>
        </w:rPr>
      </w:pPr>
      <w:r w:rsidRPr="00544245">
        <w:rPr>
          <w:rFonts w:ascii="Cambria" w:hAnsi="Cambria"/>
          <w:bCs/>
          <w:sz w:val="22"/>
          <w:szCs w:val="22"/>
          <w:lang w:val="en-ID"/>
        </w:rPr>
        <w:t xml:space="preserve">Despite a reported national toothbrushing rate of 94.7%, only 2.8% of Indonesians brush their teeth at recommended times—after breakfast and before bedtime. This gap between </w:t>
      </w:r>
      <w:proofErr w:type="spellStart"/>
      <w:r w:rsidRPr="00544245">
        <w:rPr>
          <w:rFonts w:ascii="Cambria" w:hAnsi="Cambria"/>
          <w:bCs/>
          <w:sz w:val="22"/>
          <w:szCs w:val="22"/>
          <w:lang w:val="en-ID"/>
        </w:rPr>
        <w:t>behavior</w:t>
      </w:r>
      <w:proofErr w:type="spellEnd"/>
      <w:r w:rsidRPr="00544245">
        <w:rPr>
          <w:rFonts w:ascii="Cambria" w:hAnsi="Cambria"/>
          <w:bCs/>
          <w:sz w:val="22"/>
          <w:szCs w:val="22"/>
          <w:lang w:val="en-ID"/>
        </w:rPr>
        <w:t xml:space="preserve"> and technique contributes to persistent plaque accumulation and the continued burden of dental caries among school-aged children. National epidemiological data indicate that dental caries prevalence remains high, with substantial proportions of untreated decay, reflecting the need for strengthened preventive measures and early detection at the school level.</w:t>
      </w:r>
    </w:p>
    <w:p w14:paraId="535FCFFB" w14:textId="77777777" w:rsidR="00727C96" w:rsidRPr="00544245" w:rsidRDefault="00727C96" w:rsidP="00727C96">
      <w:pPr>
        <w:pStyle w:val="NoSpacing"/>
        <w:spacing w:before="120" w:line="360" w:lineRule="auto"/>
        <w:rPr>
          <w:rFonts w:ascii="Cambria" w:hAnsi="Cambria"/>
          <w:bCs/>
          <w:sz w:val="22"/>
          <w:szCs w:val="22"/>
          <w:lang w:val="en-ID"/>
        </w:rPr>
      </w:pPr>
      <w:r w:rsidRPr="00544245">
        <w:rPr>
          <w:rFonts w:ascii="Cambria" w:hAnsi="Cambria"/>
          <w:bCs/>
          <w:sz w:val="22"/>
          <w:szCs w:val="22"/>
          <w:lang w:val="en-ID"/>
        </w:rPr>
        <w:t>Assessment of oral hygiene status traditionally relies on the Simplified Oral Hygiene Index (OHI-S) established by Greene and Vermillion. While widely accepted and standardized, OHI-S requires examination of six specific index teeth and is typically performed by trained dental personnel. Alternatively, the O’Leary Plaque Index provides detailed mapping of plaque across tooth surfaces but is relatively complex for community-based cadres to apply. In Indonesia, community participation in oral health efforts remains suboptimal, with prior studies showing that nearly one-fifth of health cadres were inactive in providing guidance. Given the crucial role of UKS/UKGS teachers as school emphasized the importance of promotive, preventive, early detection, curative, and rehabilitative oral health efforts within the Basic Package of Oral Care (BPOC). In alignment with WHO recommendations, based dental health cadres, there is a growing need for simple, practical, and accurate tools that enable early detection of oral hygiene problems.</w:t>
      </w:r>
    </w:p>
    <w:p w14:paraId="1DBABE8E" w14:textId="77777777" w:rsidR="00727C96" w:rsidRPr="00544245" w:rsidRDefault="00727C96" w:rsidP="00727C96">
      <w:pPr>
        <w:pStyle w:val="NoSpacing"/>
        <w:spacing w:before="120" w:line="360" w:lineRule="auto"/>
        <w:rPr>
          <w:rFonts w:ascii="Cambria" w:hAnsi="Cambria"/>
          <w:bCs/>
          <w:sz w:val="22"/>
          <w:szCs w:val="22"/>
          <w:lang w:val="en-ID"/>
        </w:rPr>
      </w:pPr>
      <w:r w:rsidRPr="00544245">
        <w:rPr>
          <w:rFonts w:ascii="Cambria" w:hAnsi="Cambria"/>
          <w:bCs/>
          <w:sz w:val="22"/>
          <w:szCs w:val="22"/>
          <w:lang w:val="en-ID"/>
        </w:rPr>
        <w:t>To address this need, a modified version of the O’Leary Plaque Index—limited to labial/oral surfaces—has been developed. Clinically, labial surfaces are easily accessible, easier to clean, and subject to natural abrasion through mastication. Thus, plaque detected on these surfaces can serve as an early indicator of poor oral hygiene; if plaque persists on areas that are easiest to maintain, accumulation on more anatomically complex surfaces is likely to be greater. However, despite its potential advantages, no formal validation of this modified O’Leary method for use by school health cadres has been conducted, representing a significant research gap.</w:t>
      </w:r>
    </w:p>
    <w:p w14:paraId="202D166B" w14:textId="77777777" w:rsidR="00727C96" w:rsidRPr="00544245" w:rsidRDefault="00727C96" w:rsidP="00727C96">
      <w:pPr>
        <w:pStyle w:val="NoSpacing"/>
        <w:spacing w:before="120" w:line="360" w:lineRule="auto"/>
        <w:rPr>
          <w:rFonts w:ascii="Cambria" w:hAnsi="Cambria"/>
          <w:bCs/>
          <w:sz w:val="22"/>
          <w:szCs w:val="22"/>
          <w:lang w:val="en-ID"/>
        </w:rPr>
      </w:pPr>
      <w:r w:rsidRPr="00544245">
        <w:rPr>
          <w:rFonts w:ascii="Cambria" w:hAnsi="Cambria"/>
          <w:bCs/>
          <w:sz w:val="22"/>
          <w:szCs w:val="22"/>
          <w:lang w:val="en-ID"/>
        </w:rPr>
        <w:lastRenderedPageBreak/>
        <w:t>Therefore, a validation study is required to determine whether the modified index produces comparable results to the standard OHI-S and whether it is reliable enough for implementation by non-dental personnel in school settings.</w:t>
      </w:r>
    </w:p>
    <w:p w14:paraId="7621A2D3" w14:textId="03707962" w:rsidR="00087A2A" w:rsidRDefault="00727C96" w:rsidP="00087A2A">
      <w:pPr>
        <w:pStyle w:val="NoSpacing"/>
        <w:spacing w:before="120" w:line="360" w:lineRule="auto"/>
        <w:rPr>
          <w:rFonts w:ascii="Cambria" w:hAnsi="Cambria"/>
          <w:bCs/>
          <w:sz w:val="22"/>
          <w:szCs w:val="22"/>
          <w:lang w:val="en-ID"/>
        </w:rPr>
      </w:pPr>
      <w:r w:rsidRPr="00544245">
        <w:rPr>
          <w:rFonts w:ascii="Cambria" w:hAnsi="Cambria"/>
          <w:bCs/>
          <w:sz w:val="22"/>
          <w:szCs w:val="22"/>
          <w:lang w:val="en-ID"/>
        </w:rPr>
        <w:t>The present study aims to validate the modified O’Leary plaque index and compare its performance with the standard OHI-S in assessing oral hygiene status among elementary school students. This research specifically seeks to answer the following question: Does the modified O’Leary index provide equivalent oral hygiene assessment compared to the OHI-S when applied in a school-based setting?</w:t>
      </w:r>
    </w:p>
    <w:p w14:paraId="20258C9B" w14:textId="77777777" w:rsidR="00087A2A" w:rsidRPr="00F84920" w:rsidRDefault="00087A2A" w:rsidP="00087A2A">
      <w:pPr>
        <w:pStyle w:val="Heading1"/>
        <w:spacing w:after="120" w:line="360" w:lineRule="auto"/>
        <w:ind w:left="0" w:firstLine="0"/>
      </w:pPr>
      <w:r w:rsidRPr="00F84920">
        <w:t xml:space="preserve">Material </w:t>
      </w:r>
      <w:r>
        <w:t>a</w:t>
      </w:r>
      <w:r w:rsidRPr="00F84920">
        <w:t>nd Methods</w:t>
      </w:r>
    </w:p>
    <w:p w14:paraId="5B8FC716"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Study Design</w:t>
      </w:r>
    </w:p>
    <w:p w14:paraId="35D57A59" w14:textId="77777777" w:rsidR="00087A2A"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This study employed a comparative cross-sectional within-subject diagnostic validation design. No randomization or intervention was applied. Each participant underwent two oral hygiene assessments: (1) the standard OHI-S debris index and (2) a modified O’Leary plaque index. The use of the same subjects for both examinations ensured paired comparability between methods.</w:t>
      </w:r>
    </w:p>
    <w:p w14:paraId="5374B8F7"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Setting and Participants</w:t>
      </w:r>
    </w:p>
    <w:p w14:paraId="3FE8B665" w14:textId="77777777" w:rsidR="00087A2A" w:rsidRPr="00580EB2"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 xml:space="preserve">The study was conducted at SDN </w:t>
      </w:r>
      <w:proofErr w:type="spellStart"/>
      <w:r w:rsidRPr="00580EB2">
        <w:rPr>
          <w:rFonts w:eastAsiaTheme="minorEastAsia" w:cs="Times New Roman"/>
          <w:b w:val="0"/>
          <w:color w:val="auto"/>
          <w:sz w:val="22"/>
          <w:lang w:val="en-ID" w:eastAsia="en-US"/>
        </w:rPr>
        <w:t>Pudakpayung</w:t>
      </w:r>
      <w:proofErr w:type="spellEnd"/>
      <w:r w:rsidRPr="00580EB2">
        <w:rPr>
          <w:rFonts w:eastAsiaTheme="minorEastAsia" w:cs="Times New Roman"/>
          <w:b w:val="0"/>
          <w:color w:val="auto"/>
          <w:sz w:val="22"/>
          <w:lang w:val="en-ID" w:eastAsia="en-US"/>
        </w:rPr>
        <w:t xml:space="preserve"> 02, Semarang, in November 2023. The study population consisted of 237 students from grades 1 to 6. Purposive sampling was applied. Screening was conducted by trained examiners to ensure the presence of all six OHI-S index teeth and to exclude teeth affected by caries or extraction. A total of 192 students met the inclusion criteria and consented to participate in the study.</w:t>
      </w:r>
    </w:p>
    <w:p w14:paraId="5DAA1249"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Measurement Procedures</w:t>
      </w:r>
    </w:p>
    <w:p w14:paraId="608C734D" w14:textId="77777777" w:rsidR="00087A2A" w:rsidRPr="00580EB2" w:rsidRDefault="00087A2A" w:rsidP="00087A2A">
      <w:pPr>
        <w:pStyle w:val="Heading1"/>
        <w:spacing w:after="120" w:line="360" w:lineRule="auto"/>
        <w:ind w:left="-5"/>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Oral hygiene status was assessed using two methods.</w:t>
      </w:r>
    </w:p>
    <w:p w14:paraId="073049B0" w14:textId="77777777" w:rsidR="00087A2A" w:rsidRPr="00580EB2"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For the standard OHI-S, six index teeth representing buccal, labial, and lingual surfaces were examined and scored on a scale from 0 to 3.</w:t>
      </w:r>
    </w:p>
    <w:p w14:paraId="628789F3" w14:textId="77777777" w:rsidR="00087A2A" w:rsidRPr="00580EB2"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For the modified O’Leary plaque index, plaque was disclosed on all teeth; however, only labial/oral surfaces were assessed. Each stained surface was scored as 1, while unstained surfaces were scored as 0. The percentage of plaque-covered surfaces was calculated and categorized as follows: &lt;34% (good), 34–67% (moderate), and 68–100% (poor).</w:t>
      </w:r>
    </w:p>
    <w:p w14:paraId="1DD019A6" w14:textId="77777777" w:rsidR="00087A2A" w:rsidRPr="00087A2A" w:rsidRDefault="00087A2A" w:rsidP="00087A2A">
      <w:pPr>
        <w:rPr>
          <w:lang w:val="en-ID" w:eastAsia="en-US"/>
        </w:rPr>
      </w:pPr>
    </w:p>
    <w:p w14:paraId="10460A73" w14:textId="77777777" w:rsidR="00580EB2" w:rsidRPr="00580EB2" w:rsidRDefault="00580EB2" w:rsidP="00B10C5D">
      <w:pPr>
        <w:pStyle w:val="Heading1"/>
        <w:spacing w:after="120" w:line="360" w:lineRule="auto"/>
        <w:ind w:left="0" w:firstLine="0"/>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lastRenderedPageBreak/>
        <w:t>Validity and Reliability</w:t>
      </w:r>
    </w:p>
    <w:p w14:paraId="6A0B8749" w14:textId="77777777" w:rsidR="00580EB2" w:rsidRPr="00580EB2" w:rsidRDefault="00580EB2" w:rsidP="00FE1798">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Content validity was evaluated by five experts using Aiken’s V. All items exceeded the threshold value of 0.80. Reported values exceeding 1.00 were corrected as clerical inconsistencies, as the theoretical range of Aiken’s V is 0–1.</w:t>
      </w:r>
    </w:p>
    <w:p w14:paraId="5751ED7C" w14:textId="77777777" w:rsidR="00580EB2" w:rsidRPr="00580EB2" w:rsidRDefault="00580EB2" w:rsidP="00FE1798">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Reliability was assessed using the Intraclass Correlation Coefficient (ICC) with a Shrout and Fleiss two-way random-effects model (average measures). The obtained ICC value of 0.671 indicated moderate inter-rater reliability.</w:t>
      </w:r>
    </w:p>
    <w:p w14:paraId="7D109273" w14:textId="77777777" w:rsidR="00580EB2" w:rsidRPr="00580EB2" w:rsidRDefault="00580EB2" w:rsidP="00580EB2">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Data Analysis</w:t>
      </w:r>
    </w:p>
    <w:p w14:paraId="7FCF2EE6" w14:textId="77777777" w:rsidR="00580EB2" w:rsidRPr="00580EB2" w:rsidRDefault="00580EB2" w:rsidP="00FE1798">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 xml:space="preserve">Descriptive statistics were used to summarize oral hygiene status categories. Differences between the standard OHI-S and the modified O’Leary plaque index were </w:t>
      </w:r>
      <w:proofErr w:type="spellStart"/>
      <w:r w:rsidRPr="00580EB2">
        <w:rPr>
          <w:rFonts w:eastAsiaTheme="minorEastAsia" w:cs="Times New Roman"/>
          <w:b w:val="0"/>
          <w:color w:val="auto"/>
          <w:sz w:val="22"/>
          <w:lang w:val="en-ID" w:eastAsia="en-US"/>
        </w:rPr>
        <w:t>analyzed</w:t>
      </w:r>
      <w:proofErr w:type="spellEnd"/>
      <w:r w:rsidRPr="00580EB2">
        <w:rPr>
          <w:rFonts w:eastAsiaTheme="minorEastAsia" w:cs="Times New Roman"/>
          <w:b w:val="0"/>
          <w:color w:val="auto"/>
          <w:sz w:val="22"/>
          <w:lang w:val="en-ID" w:eastAsia="en-US"/>
        </w:rPr>
        <w:t xml:space="preserve"> using the Wilcoxon signed-rank test with a significance level of α = 0.05. Homogeneity of distribution between methods was also assessed.</w:t>
      </w:r>
    </w:p>
    <w:p w14:paraId="0DBB0536" w14:textId="5FBFD844" w:rsidR="00B17F27" w:rsidRPr="00FD396E" w:rsidRDefault="00B17F27" w:rsidP="00BB2126">
      <w:pPr>
        <w:pStyle w:val="NoSpacing"/>
        <w:tabs>
          <w:tab w:val="left" w:pos="709"/>
        </w:tabs>
        <w:ind w:firstLine="0"/>
        <w:rPr>
          <w:rFonts w:ascii="Cambria" w:hAnsi="Cambria"/>
          <w:b/>
          <w:color w:val="000000"/>
        </w:rPr>
      </w:pPr>
      <w:r w:rsidRPr="00FD396E">
        <w:rPr>
          <w:rFonts w:ascii="Cambria" w:hAnsi="Cambria"/>
          <w:b/>
          <w:color w:val="000000"/>
        </w:rPr>
        <w:t>Result</w:t>
      </w:r>
      <w:r w:rsidR="00B10C5D" w:rsidRPr="00FD396E">
        <w:rPr>
          <w:rFonts w:ascii="Cambria" w:hAnsi="Cambria"/>
          <w:b/>
          <w:color w:val="000000"/>
        </w:rPr>
        <w:t>s</w:t>
      </w:r>
    </w:p>
    <w:p w14:paraId="1FEACD94" w14:textId="289FA0DA" w:rsidR="00775514" w:rsidRPr="00775514" w:rsidRDefault="00775514" w:rsidP="00775514">
      <w:pPr>
        <w:pStyle w:val="NoSpacing"/>
        <w:spacing w:line="360" w:lineRule="auto"/>
        <w:ind w:firstLine="0"/>
        <w:rPr>
          <w:rFonts w:ascii="Cambria" w:hAnsi="Cambria"/>
          <w:b/>
          <w:bCs/>
          <w:noProof/>
          <w:lang w:val="en-ID" w:eastAsia="en-ID"/>
        </w:rPr>
      </w:pPr>
      <w:r w:rsidRPr="00775514">
        <w:rPr>
          <w:rFonts w:eastAsia="Times New Roman"/>
          <w:b/>
          <w:bCs/>
          <w:i/>
          <w:iCs/>
          <w:lang w:val="en-ID" w:eastAsia="en-ID"/>
        </w:rPr>
        <w:t xml:space="preserve"> </w:t>
      </w:r>
      <w:r w:rsidRPr="00775514">
        <w:rPr>
          <w:rFonts w:ascii="Cambria" w:hAnsi="Cambria"/>
          <w:b/>
          <w:bCs/>
          <w:noProof/>
          <w:lang w:val="en-ID" w:eastAsia="en-ID"/>
        </w:rPr>
        <w:t>Oral Hygiene Status Using the Standard OHI-S (Debris Index)</w:t>
      </w:r>
    </w:p>
    <w:p w14:paraId="0DDD7512" w14:textId="77777777" w:rsidR="00775514" w:rsidRPr="00775514" w:rsidRDefault="00775514" w:rsidP="00775514">
      <w:pPr>
        <w:pStyle w:val="NoSpacing"/>
        <w:spacing w:line="360" w:lineRule="auto"/>
        <w:rPr>
          <w:noProof/>
          <w:sz w:val="22"/>
          <w:szCs w:val="22"/>
          <w:lang w:val="en-ID" w:eastAsia="en-ID"/>
        </w:rPr>
      </w:pPr>
      <w:r w:rsidRPr="00775514">
        <w:rPr>
          <w:noProof/>
          <w:sz w:val="22"/>
          <w:szCs w:val="22"/>
          <w:lang w:val="en-ID" w:eastAsia="en-ID"/>
        </w:rPr>
        <w:t>A total of 192 elementary school students were assessed using the standard OHI-S debris index developed by Greene and Vermillion. The distribution of oral hygiene status categories is presented in Figure 1. Most students were classified in the moderate category (45.3%), followed by the good category (38.5%). The smallest proportion of students was classified in the poor category (16.1%).</w:t>
      </w:r>
    </w:p>
    <w:p w14:paraId="73196075" w14:textId="0EEA91EE" w:rsidR="00B17F27" w:rsidRPr="00F3196E" w:rsidRDefault="00B10C5D" w:rsidP="00905619">
      <w:pPr>
        <w:pStyle w:val="NoSpacing"/>
        <w:spacing w:line="360" w:lineRule="auto"/>
        <w:rPr>
          <w:rFonts w:ascii="Cambria" w:hAnsi="Cambria"/>
          <w:b/>
          <w:bCs/>
          <w:sz w:val="22"/>
          <w:szCs w:val="22"/>
          <w:lang w:val="en-ID" w:eastAsia="en-ID"/>
        </w:rPr>
      </w:pPr>
      <w:r w:rsidRPr="00F3196E">
        <w:rPr>
          <w:rFonts w:ascii="Cambria" w:hAnsi="Cambria"/>
          <w:noProof/>
          <w:sz w:val="22"/>
          <w:szCs w:val="22"/>
          <w:lang w:val="en-ID" w:eastAsia="en-ID"/>
        </w:rPr>
        <w:drawing>
          <wp:anchor distT="0" distB="0" distL="114300" distR="114300" simplePos="0" relativeHeight="251666432" behindDoc="0" locked="0" layoutInCell="1" allowOverlap="1" wp14:anchorId="0F0C7E9C" wp14:editId="4D312205">
            <wp:simplePos x="0" y="0"/>
            <wp:positionH relativeFrom="margin">
              <wp:posOffset>893445</wp:posOffset>
            </wp:positionH>
            <wp:positionV relativeFrom="paragraph">
              <wp:posOffset>400685</wp:posOffset>
            </wp:positionV>
            <wp:extent cx="3797300" cy="261366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7300" cy="261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BC9B" w14:textId="6CB03ED0" w:rsidR="00B17F27" w:rsidRPr="00F3196E" w:rsidRDefault="00330E6A" w:rsidP="0029463D">
      <w:pPr>
        <w:spacing w:after="120" w:line="360" w:lineRule="auto"/>
        <w:jc w:val="center"/>
        <w:rPr>
          <w:b/>
          <w:bCs/>
          <w:lang w:val="en-ID" w:eastAsia="en-ID"/>
        </w:rPr>
      </w:pPr>
      <w:r>
        <w:rPr>
          <w:b/>
          <w:bCs/>
          <w:lang w:val="en-ID" w:eastAsia="en-ID"/>
        </w:rPr>
        <w:t>Figure</w:t>
      </w:r>
      <w:r w:rsidR="00B17F27" w:rsidRPr="00F3196E">
        <w:rPr>
          <w:b/>
          <w:bCs/>
          <w:lang w:val="en-ID" w:eastAsia="en-ID"/>
        </w:rPr>
        <w:t xml:space="preserve"> 1. </w:t>
      </w:r>
      <w:r w:rsidR="00B17F27" w:rsidRPr="00F3196E">
        <w:rPr>
          <w:i/>
          <w:iCs/>
          <w:lang w:val="en-ID" w:eastAsia="en-ID"/>
        </w:rPr>
        <w:t>Oral Hygiene Status Using Debris Index (OHI-S)</w:t>
      </w:r>
    </w:p>
    <w:p w14:paraId="0FAE567C" w14:textId="687A527D" w:rsidR="00B17F27" w:rsidRPr="00F3196E" w:rsidRDefault="00B17F27" w:rsidP="0029463D">
      <w:pPr>
        <w:spacing w:after="120" w:line="360" w:lineRule="auto"/>
        <w:jc w:val="center"/>
        <w:rPr>
          <w:lang w:val="en-ID" w:eastAsia="en-ID"/>
        </w:rPr>
      </w:pPr>
    </w:p>
    <w:p w14:paraId="254E2138" w14:textId="49D915D0" w:rsidR="00775514" w:rsidRPr="00775514" w:rsidRDefault="00905619" w:rsidP="00775514">
      <w:pPr>
        <w:spacing w:after="120" w:line="360" w:lineRule="auto"/>
        <w:ind w:left="0" w:firstLine="0"/>
        <w:outlineLvl w:val="1"/>
        <w:rPr>
          <w:b/>
          <w:bCs/>
          <w:noProof/>
          <w:lang w:val="en-ID" w:eastAsia="en-ID"/>
        </w:rPr>
      </w:pPr>
      <w:r w:rsidRPr="00F3196E">
        <w:rPr>
          <w:noProof/>
          <w:lang w:val="en-ID" w:eastAsia="en-ID"/>
        </w:rPr>
        <w:lastRenderedPageBreak/>
        <w:drawing>
          <wp:anchor distT="0" distB="0" distL="114300" distR="114300" simplePos="0" relativeHeight="251665408" behindDoc="0" locked="0" layoutInCell="1" allowOverlap="1" wp14:anchorId="5DE97640" wp14:editId="2D8F02A3">
            <wp:simplePos x="0" y="0"/>
            <wp:positionH relativeFrom="column">
              <wp:posOffset>1323109</wp:posOffset>
            </wp:positionH>
            <wp:positionV relativeFrom="paragraph">
              <wp:posOffset>1652962</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514" w:rsidRPr="00775514">
        <w:rPr>
          <w:b/>
          <w:bCs/>
          <w:noProof/>
          <w:lang w:val="en-ID" w:eastAsia="en-ID"/>
        </w:rPr>
        <w:t>Oral Hygiene Status Based on the Modified O’Leary Plaque Index</w:t>
      </w:r>
    </w:p>
    <w:p w14:paraId="415D314B" w14:textId="77777777" w:rsidR="00775514" w:rsidRPr="00775514" w:rsidRDefault="00775514" w:rsidP="00775514">
      <w:pPr>
        <w:spacing w:after="120" w:line="360" w:lineRule="auto"/>
        <w:ind w:firstLine="699"/>
        <w:outlineLvl w:val="1"/>
        <w:rPr>
          <w:noProof/>
          <w:lang w:val="en-ID" w:eastAsia="en-ID"/>
        </w:rPr>
      </w:pPr>
      <w:r w:rsidRPr="00775514">
        <w:rPr>
          <w:noProof/>
          <w:lang w:val="en-ID" w:eastAsia="en-ID"/>
        </w:rPr>
        <w:t>Assessment using the modified O’Leary plaque index showed a distribution similar to that of the standard OHI-S (Figure 2). The majority of students were categorized as having moderate oral hygiene status (41.7%), followed by the good category (32.3%), and the poor category (26.0%).</w:t>
      </w:r>
    </w:p>
    <w:p w14:paraId="3D906230" w14:textId="6CFFE7F9" w:rsidR="00B17F27" w:rsidRPr="00F3196E" w:rsidRDefault="00B17F27" w:rsidP="00F12812">
      <w:pPr>
        <w:spacing w:after="120" w:line="360" w:lineRule="auto"/>
        <w:ind w:left="0" w:firstLine="0"/>
        <w:outlineLvl w:val="1"/>
        <w:rPr>
          <w:b/>
          <w:bCs/>
          <w:lang w:val="en-ID" w:eastAsia="en-ID"/>
        </w:rPr>
      </w:pPr>
    </w:p>
    <w:p w14:paraId="74B32940" w14:textId="6158CD53" w:rsidR="00B17F27" w:rsidRPr="00F3196E" w:rsidRDefault="00905619" w:rsidP="0029463D">
      <w:pPr>
        <w:spacing w:after="120" w:line="360" w:lineRule="auto"/>
        <w:jc w:val="center"/>
        <w:rPr>
          <w:b/>
          <w:bCs/>
          <w:lang w:val="en-ID" w:eastAsia="en-ID"/>
        </w:rPr>
      </w:pPr>
      <w:r>
        <w:rPr>
          <w:b/>
          <w:bCs/>
          <w:lang w:val="en-ID" w:eastAsia="en-ID"/>
        </w:rPr>
        <w:t>Figure</w:t>
      </w:r>
      <w:r w:rsidR="00B17F27" w:rsidRPr="00F3196E">
        <w:rPr>
          <w:b/>
          <w:bCs/>
          <w:lang w:val="en-ID" w:eastAsia="en-ID"/>
        </w:rPr>
        <w:t xml:space="preserve"> 2</w:t>
      </w:r>
      <w:r>
        <w:rPr>
          <w:b/>
          <w:bCs/>
          <w:lang w:val="en-ID" w:eastAsia="en-ID"/>
        </w:rPr>
        <w:t>.</w:t>
      </w:r>
      <w:r w:rsidR="00B17F27" w:rsidRPr="00F3196E">
        <w:rPr>
          <w:b/>
          <w:bCs/>
          <w:lang w:val="en-ID" w:eastAsia="en-ID"/>
        </w:rPr>
        <w:t xml:space="preserve"> </w:t>
      </w:r>
      <w:r w:rsidR="00B17F27" w:rsidRPr="00F3196E">
        <w:rPr>
          <w:i/>
          <w:iCs/>
          <w:lang w:val="en-ID" w:eastAsia="en-ID"/>
        </w:rPr>
        <w:t>Oral Hygiene Status Using Modified O’Leary Plaque Index</w:t>
      </w:r>
    </w:p>
    <w:p w14:paraId="18427809" w14:textId="32D7E5A2" w:rsidR="00B17F27" w:rsidRPr="00F3196E" w:rsidRDefault="00B17F27" w:rsidP="0029463D">
      <w:pPr>
        <w:spacing w:after="120" w:line="360" w:lineRule="auto"/>
        <w:jc w:val="center"/>
        <w:rPr>
          <w:lang w:val="en-ID" w:eastAsia="en-ID"/>
        </w:rPr>
      </w:pPr>
    </w:p>
    <w:p w14:paraId="5D84F767" w14:textId="77777777" w:rsidR="00775514" w:rsidRPr="00775514" w:rsidRDefault="00775514" w:rsidP="00775514">
      <w:pPr>
        <w:spacing w:after="120" w:line="360" w:lineRule="auto"/>
        <w:rPr>
          <w:rFonts w:eastAsiaTheme="minorEastAsia" w:cstheme="majorBidi"/>
          <w:b/>
          <w:bCs/>
          <w:color w:val="auto"/>
          <w:lang w:val="en-ID" w:eastAsia="en-US"/>
        </w:rPr>
      </w:pPr>
      <w:r w:rsidRPr="00775514">
        <w:rPr>
          <w:rFonts w:eastAsiaTheme="minorEastAsia" w:cstheme="majorBidi"/>
          <w:b/>
          <w:bCs/>
          <w:color w:val="auto"/>
          <w:lang w:val="en-ID" w:eastAsia="en-US"/>
        </w:rPr>
        <w:t>Comparison Between the Standard OHI-S and the Modified O’Leary Plaque Index</w:t>
      </w:r>
    </w:p>
    <w:p w14:paraId="51141E08" w14:textId="77777777" w:rsidR="00775514" w:rsidRPr="00775514" w:rsidRDefault="00775514" w:rsidP="00775514">
      <w:pPr>
        <w:spacing w:after="120" w:line="360" w:lineRule="auto"/>
        <w:ind w:firstLine="699"/>
        <w:rPr>
          <w:rFonts w:eastAsiaTheme="minorEastAsia" w:cstheme="majorBidi"/>
          <w:color w:val="auto"/>
          <w:lang w:val="en-ID" w:eastAsia="en-US"/>
        </w:rPr>
      </w:pPr>
      <w:r w:rsidRPr="00775514">
        <w:rPr>
          <w:rFonts w:eastAsiaTheme="minorEastAsia" w:cstheme="majorBidi"/>
          <w:color w:val="auto"/>
          <w:lang w:val="en-ID" w:eastAsia="en-US"/>
        </w:rPr>
        <w:t>A paired comparison between the two assessment methods was conducted using the Wilcoxon signed-rank test. The analysis yielded a p-value of 0.225, indicating no statistically significant difference between oral hygiene status scores obtained using the standard OHI-S and the modified O’Leary plaque index at a 95% confidence level (α = 0.05).</w:t>
      </w:r>
    </w:p>
    <w:p w14:paraId="0BD0FD2A" w14:textId="77777777" w:rsidR="00775514" w:rsidRPr="00775514" w:rsidRDefault="00775514" w:rsidP="00775514">
      <w:pPr>
        <w:spacing w:after="120" w:line="360" w:lineRule="auto"/>
        <w:ind w:firstLine="699"/>
        <w:rPr>
          <w:rFonts w:eastAsiaTheme="minorEastAsia" w:cstheme="majorBidi"/>
          <w:color w:val="auto"/>
          <w:lang w:val="en-ID" w:eastAsia="en-US"/>
        </w:rPr>
      </w:pPr>
      <w:r w:rsidRPr="00775514">
        <w:rPr>
          <w:rFonts w:eastAsiaTheme="minorEastAsia" w:cstheme="majorBidi"/>
          <w:color w:val="auto"/>
          <w:lang w:val="en-ID" w:eastAsia="en-US"/>
        </w:rPr>
        <w:t>In addition, homogeneity testing demonstrated that the distribution of oral hygiene status categories between the two methods was statistically equivalent (p = 0.862).</w:t>
      </w:r>
    </w:p>
    <w:p w14:paraId="3709D3BB" w14:textId="3E7FDED9" w:rsidR="00B17F27" w:rsidRPr="00F3196E" w:rsidRDefault="00B17F27" w:rsidP="00F12812">
      <w:pPr>
        <w:spacing w:after="120" w:line="360" w:lineRule="auto"/>
        <w:ind w:left="0" w:firstLine="0"/>
        <w:outlineLvl w:val="1"/>
        <w:rPr>
          <w:b/>
          <w:bCs/>
          <w:lang w:val="en-ID" w:eastAsia="en-ID"/>
        </w:rPr>
      </w:pPr>
    </w:p>
    <w:p w14:paraId="47AA9995" w14:textId="77777777" w:rsidR="00511BEE" w:rsidRPr="00511BEE" w:rsidRDefault="00511BEE" w:rsidP="00511BEE">
      <w:pPr>
        <w:spacing w:after="120" w:line="360" w:lineRule="auto"/>
        <w:rPr>
          <w:rFonts w:eastAsiaTheme="minorEastAsia" w:cs="Times New Roman"/>
          <w:b/>
          <w:bCs/>
          <w:sz w:val="24"/>
          <w:szCs w:val="24"/>
          <w:lang w:val="en-ID" w:eastAsia="en-US"/>
        </w:rPr>
      </w:pPr>
      <w:r w:rsidRPr="00511BEE">
        <w:rPr>
          <w:rFonts w:eastAsiaTheme="minorEastAsia" w:cs="Times New Roman"/>
          <w:b/>
          <w:bCs/>
          <w:sz w:val="24"/>
          <w:szCs w:val="24"/>
          <w:lang w:val="en-ID" w:eastAsia="en-US"/>
        </w:rPr>
        <w:t>Discussion</w:t>
      </w:r>
    </w:p>
    <w:p w14:paraId="76D2D613"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The findings of this study demonstrate that the modified O’Leary plaque index provides assessment outcomes that are comparable to those of the standard OHI-S developed by Greene and Vermillion. Both methods classified the majority of students in the moderate oral hygiene category, with similar distribution patterns between categories. This comparability was statistically supported by the homogeneity test and the non-significant Wilcoxon signed-rank test result, indicating that the simplified plaque index did not differ meaningfully from the established debris index in evaluating oral hygiene status.</w:t>
      </w:r>
    </w:p>
    <w:p w14:paraId="116B8041"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 xml:space="preserve">These results suggest that the modified O’Leary index possesses diagnostic equivalence to the standard OHI-S. Diagnostic equivalence implies that a simplified assessment method, </w:t>
      </w:r>
      <w:r w:rsidRPr="00511BEE">
        <w:rPr>
          <w:rFonts w:eastAsiaTheme="minorEastAsia" w:cs="Times New Roman"/>
          <w:bCs/>
          <w:lang w:val="en-ID" w:eastAsia="en-US"/>
        </w:rPr>
        <w:lastRenderedPageBreak/>
        <w:t>even when examining fewer tooth surfaces, can still adequately represent an individual’s overall oral hygiene condition. This finding is consistent with the conceptual foundations of both indices, which assess oral hygiene status based on the presence of deposits on tooth surfaces—debris in the OHI-S and plaque in the O’Leary method.</w:t>
      </w:r>
    </w:p>
    <w:p w14:paraId="64240013"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The modification of the O’Leary plaque index to include only labial/oral surfaces further simplifies the examination process without substantially reducing its diagnostic value. Labial surfaces are anatomically more accessible, easier to clean, and frequently exposed to mechanical cleansing through mastication and toothbrushing. The presence of plaque on these surfaces may therefore indicate inadequate oral hygiene practices and suggests the likelihood of greater plaque accumulation on less accessible surfaces such as lingual or interproximal areas. This clinical rationale supports the use of labial-surface assessment as an early indicator of overall oral hygiene status.</w:t>
      </w:r>
    </w:p>
    <w:p w14:paraId="5423B729"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The findings of this study are in line with previous research on simplified plaque indices, which has demonstrated that plaque distribution on selected surfaces can serve as a valid proxy for whole-mouth oral hygiene status. Earlier studies involving plaque disclosure techniques have emphasized their sensitivity in detecting early plaque accumulation, particularly in preventive and educational settings. The present study extends this evidence by demonstrating that a labial-surface–restricted adaptation of the O’Leary index yields outcomes comparable to a widely accepted standard index.</w:t>
      </w:r>
    </w:p>
    <w:p w14:paraId="79368D10"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Reliability analysis further supports the potential utility of the modified index. The inter-rater reliability value obtained indicates moderate agreement among examiners, suggesting that the method can be applied consistently when appropriate training and calibration are provided. This finding is particularly relevant given the intended application of the modified index by school-based health cadres who may not have formal dental training.</w:t>
      </w:r>
    </w:p>
    <w:p w14:paraId="3CCE919A"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From a public health perspective, the simplified plaque index offers several practical advantages. It is less time-consuming, easier to apply, and more feasible for use in school-based oral health programs with limited access to dental professionals. Additionally, plaque disclosure provides immediate visual feedback, which can enhance oral health education and motivate improved toothbrushing practices among children.</w:t>
      </w:r>
    </w:p>
    <w:p w14:paraId="5BB4A546"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 xml:space="preserve">Despite these strengths, several limitations should be acknowledged. The analysis relied on categorical data rather than continuous numerical scores, which limited the depth of statistical comparison and prevented calculation of effect sizes. The focus on labial surfaces, while practical, may underestimate plaque accumulation on lingual or interproximal surfaces. Examiner-related factors such as lighting conditions, dye application, and scoring consistency </w:t>
      </w:r>
      <w:r w:rsidRPr="00511BEE">
        <w:rPr>
          <w:rFonts w:eastAsiaTheme="minorEastAsia" w:cs="Times New Roman"/>
          <w:bCs/>
          <w:lang w:val="en-ID" w:eastAsia="en-US"/>
        </w:rPr>
        <w:lastRenderedPageBreak/>
        <w:t>may also introduce measurement variability, particularly when applied by non-dental personnel. Furthermore, the single-site study design limits the generalizability of the findings to broader school populations.</w:t>
      </w:r>
    </w:p>
    <w:p w14:paraId="3C355096" w14:textId="77777777" w:rsidR="00511BEE" w:rsidRPr="00511BEE" w:rsidRDefault="00511BEE" w:rsidP="00511BEE">
      <w:pPr>
        <w:spacing w:after="120" w:line="360" w:lineRule="auto"/>
        <w:ind w:left="11" w:firstLine="698"/>
        <w:rPr>
          <w:rFonts w:eastAsiaTheme="minorEastAsia" w:cs="Times New Roman"/>
          <w:bCs/>
          <w:lang w:val="en-ID" w:eastAsia="en-US"/>
        </w:rPr>
      </w:pPr>
      <w:r w:rsidRPr="00511BEE">
        <w:rPr>
          <w:rFonts w:eastAsiaTheme="minorEastAsia" w:cs="Times New Roman"/>
          <w:bCs/>
          <w:lang w:val="en-ID" w:eastAsia="en-US"/>
        </w:rPr>
        <w:t>Overall, the results indicate that the modified O’Leary plaque index is a feasible and diagnostically comparable alternative to the standard OHI-S for assessing oral hygiene status in elementary school settings. Its simplicity and practicality support its potential implementation in school-based oral health programs aimed at early detection and prevention.</w:t>
      </w:r>
    </w:p>
    <w:p w14:paraId="2DF047A8" w14:textId="01201AA3" w:rsidR="002202E6" w:rsidRPr="00905619" w:rsidRDefault="002202E6" w:rsidP="00905619">
      <w:pPr>
        <w:spacing w:after="120" w:line="360" w:lineRule="auto"/>
        <w:ind w:left="11" w:firstLine="698"/>
        <w:rPr>
          <w:bCs/>
          <w:kern w:val="2"/>
          <w:sz w:val="24"/>
          <w:szCs w:val="24"/>
        </w:rPr>
      </w:pPr>
    </w:p>
    <w:p w14:paraId="30222F7B" w14:textId="27EF99E9" w:rsidR="00F84920" w:rsidRPr="008A16FC" w:rsidRDefault="00F84920" w:rsidP="00323CBA">
      <w:pPr>
        <w:pStyle w:val="Heading1"/>
        <w:spacing w:after="120" w:line="360" w:lineRule="auto"/>
        <w:ind w:left="-5"/>
      </w:pPr>
      <w:r w:rsidRPr="008A16FC">
        <w:t>Conclusion</w:t>
      </w:r>
    </w:p>
    <w:p w14:paraId="4529DFDB" w14:textId="77777777" w:rsidR="00511BEE" w:rsidRPr="00511BEE" w:rsidRDefault="00511BEE" w:rsidP="00511BEE">
      <w:pPr>
        <w:pStyle w:val="ListParagraph"/>
        <w:spacing w:after="120" w:line="360" w:lineRule="auto"/>
        <w:ind w:left="284" w:firstLine="425"/>
        <w:rPr>
          <w:lang w:val="en-ID"/>
        </w:rPr>
      </w:pPr>
      <w:r w:rsidRPr="00511BEE">
        <w:rPr>
          <w:lang w:val="en-ID"/>
        </w:rPr>
        <w:t>This study demonstrates that the modified O’Leary plaque index, restricted to labial/oral surfaces, provides an assessment of oral hygiene status that is comparable to the standard OHI-S debris index among elementary school students. The similarity in categorical distributions, the absence of a statistically significant difference between methods, and the homogeneity of results indicate that the modified index shows diagnostic equivalence to the conventional approach.</w:t>
      </w:r>
    </w:p>
    <w:p w14:paraId="727DAF25" w14:textId="77777777" w:rsidR="00511BEE" w:rsidRPr="00511BEE" w:rsidRDefault="00511BEE" w:rsidP="00511BEE">
      <w:pPr>
        <w:pStyle w:val="ListParagraph"/>
        <w:spacing w:after="120" w:line="360" w:lineRule="auto"/>
        <w:ind w:left="284" w:firstLine="425"/>
        <w:rPr>
          <w:lang w:val="en-ID"/>
        </w:rPr>
      </w:pPr>
      <w:r w:rsidRPr="00511BEE">
        <w:rPr>
          <w:lang w:val="en-ID"/>
        </w:rPr>
        <w:t>The moderate inter-rater reliability suggests that the modified plaque index can be applied consistently when appropriate training is provided. Given its simplified procedure, practical application, and reduced examination requirements, the modified O’Leary plaque index represents a feasible alternative for use in school-based oral health programs, particularly by non-dental health cadres for early detection of oral hygiene conditions.</w:t>
      </w:r>
    </w:p>
    <w:p w14:paraId="240C8D8E" w14:textId="77777777" w:rsidR="00F22A84" w:rsidRPr="00F22A84" w:rsidRDefault="00F22A84" w:rsidP="00F22A84">
      <w:pPr>
        <w:pStyle w:val="ListParagraph"/>
        <w:spacing w:after="120" w:line="360" w:lineRule="auto"/>
        <w:ind w:left="284" w:right="0" w:firstLine="425"/>
      </w:pPr>
    </w:p>
    <w:p w14:paraId="0938B77E" w14:textId="2C0520EF" w:rsidR="004D1DB1" w:rsidRDefault="002B72A4" w:rsidP="004D1DB1">
      <w:pPr>
        <w:pStyle w:val="Heading1"/>
        <w:spacing w:before="120"/>
        <w:rPr>
          <w:rFonts w:cstheme="majorBidi"/>
          <w:szCs w:val="24"/>
          <w:lang w:val="id-ID"/>
        </w:rPr>
      </w:pPr>
      <w:r w:rsidRPr="004D1DB1">
        <w:rPr>
          <w:rFonts w:cstheme="majorBidi"/>
          <w:szCs w:val="24"/>
          <w:lang w:val="id-ID"/>
        </w:rPr>
        <w:t>Ethical Considerations</w:t>
      </w:r>
    </w:p>
    <w:p w14:paraId="6D94EEEB" w14:textId="77777777" w:rsidR="002E59C2" w:rsidRPr="002E59C2" w:rsidRDefault="002E59C2" w:rsidP="00EF7892">
      <w:pPr>
        <w:spacing w:line="360" w:lineRule="auto"/>
        <w:ind w:firstLine="699"/>
        <w:rPr>
          <w:lang w:val="en-ID"/>
        </w:rPr>
      </w:pPr>
      <w:r w:rsidRPr="002E59C2">
        <w:rPr>
          <w:lang w:val="en-ID"/>
        </w:rPr>
        <w:t>This study was conducted in accordance with ethical principles for research involving human participants. Ethical approval was obtained from the appropriate institutional ethics committee prior to data collection. All participants were informed about the purpose, procedures, potential benefits, and risks of the study before participation.</w:t>
      </w:r>
    </w:p>
    <w:p w14:paraId="059E9287" w14:textId="77777777" w:rsidR="002E59C2" w:rsidRPr="002E59C2" w:rsidRDefault="002E59C2" w:rsidP="00EF7892">
      <w:pPr>
        <w:spacing w:line="360" w:lineRule="auto"/>
        <w:ind w:firstLine="699"/>
        <w:rPr>
          <w:lang w:val="en-ID"/>
        </w:rPr>
      </w:pPr>
      <w:r w:rsidRPr="002E59C2">
        <w:rPr>
          <w:lang w:val="en-ID"/>
        </w:rPr>
        <w:t>Written informed consent was obtained from all participants prior to their inclusion in the study. Participation was voluntary, and participants were assured of their right to withdraw from the study at any time without any consequences. Confidentiality and anonymity of participant data were strictly maintained throughout the research process. All data were used solely for research purposes.</w:t>
      </w:r>
    </w:p>
    <w:p w14:paraId="2F6800E9" w14:textId="77777777" w:rsidR="002E59C2" w:rsidRPr="002E59C2" w:rsidRDefault="002E59C2" w:rsidP="00EF7892">
      <w:pPr>
        <w:spacing w:line="360" w:lineRule="auto"/>
        <w:rPr>
          <w:lang w:val="en-ID"/>
        </w:rPr>
      </w:pPr>
      <w:r w:rsidRPr="002E59C2">
        <w:rPr>
          <w:lang w:val="en-ID"/>
        </w:rPr>
        <w:t>The study was conducted in accordance with the principles of the Declaration of Helsinki.</w:t>
      </w:r>
    </w:p>
    <w:p w14:paraId="06464172" w14:textId="77777777" w:rsidR="002E59C2" w:rsidRPr="002E59C2" w:rsidRDefault="002E59C2" w:rsidP="002E59C2">
      <w:pPr>
        <w:rPr>
          <w:lang w:val="id-ID"/>
        </w:rPr>
      </w:pPr>
    </w:p>
    <w:p w14:paraId="4CB4A8E3" w14:textId="0675DF44" w:rsidR="004D1DB1" w:rsidRPr="004D1DB1" w:rsidRDefault="004D1DB1" w:rsidP="004D1DB1">
      <w:pPr>
        <w:pStyle w:val="Heading1"/>
        <w:spacing w:before="120"/>
        <w:rPr>
          <w:rFonts w:cstheme="majorBidi"/>
          <w:szCs w:val="24"/>
          <w:lang w:val="id-ID"/>
        </w:rPr>
      </w:pPr>
      <w:r w:rsidRPr="004D1DB1">
        <w:rPr>
          <w:rFonts w:cstheme="majorBidi"/>
          <w:szCs w:val="24"/>
          <w:lang w:val="id-ID"/>
        </w:rPr>
        <w:lastRenderedPageBreak/>
        <w:t>Funding Statement.</w:t>
      </w:r>
    </w:p>
    <w:p w14:paraId="49BFD991" w14:textId="77777777" w:rsidR="004D1DB1" w:rsidRPr="004D1DB1" w:rsidRDefault="004D1DB1" w:rsidP="004D1DB1">
      <w:pPr>
        <w:shd w:val="clear" w:color="auto" w:fill="FCFCFC"/>
        <w:spacing w:after="0" w:line="240" w:lineRule="auto"/>
        <w:rPr>
          <w:rFonts w:cstheme="majorBidi"/>
          <w:color w:val="333333"/>
          <w:lang w:val="id-ID" w:eastAsia="id-ID"/>
        </w:rPr>
      </w:pPr>
      <w:r w:rsidRPr="004D1DB1">
        <w:rPr>
          <w:color w:val="333333"/>
          <w:lang w:val="id-ID" w:eastAsia="id-ID"/>
        </w:rPr>
        <w:t>The authors did not receive support from any organization for the submitted work.</w:t>
      </w:r>
    </w:p>
    <w:p w14:paraId="600A65FE" w14:textId="77777777" w:rsidR="004D1DB1" w:rsidRPr="004D1DB1" w:rsidRDefault="004D1DB1" w:rsidP="004D1DB1">
      <w:pPr>
        <w:pStyle w:val="Heading1"/>
        <w:spacing w:before="120"/>
        <w:rPr>
          <w:rFonts w:cstheme="majorBidi"/>
          <w:szCs w:val="24"/>
          <w:lang w:val="id-ID"/>
        </w:rPr>
      </w:pPr>
    </w:p>
    <w:p w14:paraId="7C7668A6" w14:textId="676AC78A" w:rsidR="004D1DB1" w:rsidRPr="004D1DB1" w:rsidRDefault="004D1DB1" w:rsidP="004D1DB1">
      <w:pPr>
        <w:pStyle w:val="Heading1"/>
        <w:spacing w:before="120"/>
        <w:rPr>
          <w:rFonts w:cstheme="majorBidi"/>
          <w:szCs w:val="24"/>
          <w:lang w:val="id-ID"/>
        </w:rPr>
      </w:pPr>
      <w:r w:rsidRPr="004D1DB1">
        <w:rPr>
          <w:rFonts w:cstheme="majorBidi"/>
          <w:szCs w:val="24"/>
          <w:lang w:val="id-ID"/>
        </w:rPr>
        <w:t>Conflict of Interest Statement</w:t>
      </w:r>
    </w:p>
    <w:p w14:paraId="6599B1A5" w14:textId="77777777" w:rsidR="004D1DB1" w:rsidRPr="004D1DB1" w:rsidRDefault="004D1DB1" w:rsidP="004D1DB1">
      <w:pPr>
        <w:pStyle w:val="NoSpacing"/>
        <w:ind w:firstLine="0"/>
        <w:rPr>
          <w:rFonts w:ascii="Cambria" w:hAnsi="Cambria"/>
          <w:b/>
          <w:bCs/>
          <w:color w:val="000000"/>
          <w:sz w:val="22"/>
          <w:szCs w:val="22"/>
          <w:lang w:val="id-ID"/>
        </w:rPr>
      </w:pPr>
      <w:r w:rsidRPr="004D1DB1">
        <w:rPr>
          <w:rFonts w:ascii="Cambria" w:hAnsi="Cambria" w:cstheme="majorBidi"/>
          <w:bCs/>
          <w:sz w:val="22"/>
          <w:szCs w:val="22"/>
        </w:rPr>
        <w:t>T</w:t>
      </w:r>
      <w:r w:rsidRPr="004D1DB1">
        <w:rPr>
          <w:rFonts w:ascii="Cambria" w:hAnsi="Cambria"/>
          <w:bCs/>
          <w:sz w:val="22"/>
          <w:szCs w:val="22"/>
        </w:rPr>
        <w:t>he authors declare no conflict of interest.</w:t>
      </w:r>
      <w:r w:rsidRPr="004D1DB1">
        <w:rPr>
          <w:rFonts w:ascii="Cambria" w:hAnsi="Cambria"/>
          <w:b/>
          <w:bCs/>
          <w:color w:val="000000"/>
          <w:sz w:val="22"/>
          <w:szCs w:val="22"/>
          <w:lang w:val="id-ID"/>
        </w:rPr>
        <w:t xml:space="preserve"> </w:t>
      </w:r>
    </w:p>
    <w:p w14:paraId="6083D2A1" w14:textId="77777777" w:rsidR="00F22A84" w:rsidRDefault="00F22A84" w:rsidP="00F22A84">
      <w:pPr>
        <w:pStyle w:val="ListParagraph"/>
        <w:spacing w:after="120" w:line="360" w:lineRule="auto"/>
        <w:ind w:left="284" w:right="0" w:firstLine="425"/>
        <w:rPr>
          <w:lang w:val="en-GB" w:eastAsia="pt-BR"/>
        </w:rPr>
      </w:pPr>
    </w:p>
    <w:p w14:paraId="09749B4D" w14:textId="10931D5E" w:rsidR="00BA584F" w:rsidRPr="00F22A84" w:rsidRDefault="00F84920" w:rsidP="003E3003">
      <w:pPr>
        <w:pStyle w:val="Heading1"/>
        <w:spacing w:after="120" w:line="360" w:lineRule="auto"/>
        <w:ind w:left="-6" w:hanging="11"/>
      </w:pPr>
      <w:r w:rsidRPr="00E867FF">
        <w:t>References</w:t>
      </w:r>
    </w:p>
    <w:p w14:paraId="25285F58"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 Aiken LR. Three coefficients for analysing the reliability and validity of ratings. </w:t>
      </w:r>
      <w:r w:rsidRPr="00E26D6D">
        <w:rPr>
          <w:i/>
          <w:iCs/>
          <w:sz w:val="24"/>
          <w:szCs w:val="24"/>
          <w:lang w:val="en-ID"/>
        </w:rPr>
        <w:t>Educational and Psychological Measurement</w:t>
      </w:r>
      <w:r w:rsidRPr="00E26D6D">
        <w:rPr>
          <w:sz w:val="24"/>
          <w:szCs w:val="24"/>
          <w:lang w:val="en-ID"/>
        </w:rPr>
        <w:t>. 1985;45:131–141.</w:t>
      </w:r>
    </w:p>
    <w:p w14:paraId="18DE888A"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[2] Creswell JW. </w:t>
      </w:r>
      <w:r w:rsidRPr="00E26D6D">
        <w:rPr>
          <w:i/>
          <w:iCs/>
          <w:sz w:val="24"/>
          <w:szCs w:val="24"/>
          <w:lang w:val="en-ID"/>
        </w:rPr>
        <w:t>Research design: qualitative, quantitative, and mixed approaches</w:t>
      </w:r>
      <w:r w:rsidRPr="00E26D6D">
        <w:rPr>
          <w:sz w:val="24"/>
          <w:szCs w:val="24"/>
          <w:lang w:val="en-ID"/>
        </w:rPr>
        <w:t>. 6th ed. Student Library; 2017.</w:t>
      </w:r>
    </w:p>
    <w:p w14:paraId="2C28DA3F"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[3] Frencken JE, Holmgren CJ, Van </w:t>
      </w:r>
      <w:proofErr w:type="spellStart"/>
      <w:r w:rsidRPr="00E26D6D">
        <w:rPr>
          <w:sz w:val="24"/>
          <w:szCs w:val="24"/>
          <w:lang w:val="en-ID"/>
        </w:rPr>
        <w:t>Palenstein</w:t>
      </w:r>
      <w:proofErr w:type="spellEnd"/>
      <w:r w:rsidRPr="00E26D6D">
        <w:rPr>
          <w:sz w:val="24"/>
          <w:szCs w:val="24"/>
          <w:lang w:val="en-ID"/>
        </w:rPr>
        <w:t xml:space="preserve"> Helderman WH. </w:t>
      </w:r>
      <w:r w:rsidRPr="00E26D6D">
        <w:rPr>
          <w:i/>
          <w:iCs/>
          <w:sz w:val="24"/>
          <w:szCs w:val="24"/>
          <w:lang w:val="en-ID"/>
        </w:rPr>
        <w:t>Basic package of oral care (BPOC)</w:t>
      </w:r>
      <w:r w:rsidRPr="00E26D6D">
        <w:rPr>
          <w:sz w:val="24"/>
          <w:szCs w:val="24"/>
          <w:lang w:val="en-ID"/>
        </w:rPr>
        <w:t>. 2002.</w:t>
      </w:r>
    </w:p>
    <w:p w14:paraId="36495AA2"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[4] Greene JG, Vermillion JR. The simplified oral hygiene index. </w:t>
      </w:r>
      <w:r w:rsidRPr="00E26D6D">
        <w:rPr>
          <w:i/>
          <w:iCs/>
          <w:sz w:val="24"/>
          <w:szCs w:val="24"/>
          <w:lang w:val="en-ID"/>
        </w:rPr>
        <w:t>Journal of the American Dental Association</w:t>
      </w:r>
      <w:r w:rsidRPr="00E26D6D">
        <w:rPr>
          <w:sz w:val="24"/>
          <w:szCs w:val="24"/>
          <w:lang w:val="en-ID"/>
        </w:rPr>
        <w:t xml:space="preserve">. 1960;61(2):172–179. </w:t>
      </w:r>
      <w:hyperlink r:id="rId21" w:tgtFrame="_new" w:history="1">
        <w:r w:rsidRPr="00E26D6D">
          <w:rPr>
            <w:rStyle w:val="Hyperlink"/>
            <w:sz w:val="24"/>
            <w:szCs w:val="24"/>
            <w:lang w:val="en-ID"/>
          </w:rPr>
          <w:t>https://doi.org/10.14219/jada.archive.1960.0177</w:t>
        </w:r>
      </w:hyperlink>
    </w:p>
    <w:p w14:paraId="3726D816"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[5] Indonesian Ministry of Health. </w:t>
      </w:r>
      <w:r w:rsidRPr="00E26D6D">
        <w:rPr>
          <w:i/>
          <w:iCs/>
          <w:sz w:val="24"/>
          <w:szCs w:val="24"/>
          <w:lang w:val="en-ID"/>
        </w:rPr>
        <w:t xml:space="preserve">Key results of the 2018 </w:t>
      </w:r>
      <w:proofErr w:type="spellStart"/>
      <w:r w:rsidRPr="00E26D6D">
        <w:rPr>
          <w:i/>
          <w:iCs/>
          <w:sz w:val="24"/>
          <w:szCs w:val="24"/>
          <w:lang w:val="en-ID"/>
        </w:rPr>
        <w:t>Riskesdas</w:t>
      </w:r>
      <w:proofErr w:type="spellEnd"/>
      <w:r w:rsidRPr="00E26D6D">
        <w:rPr>
          <w:i/>
          <w:iCs/>
          <w:sz w:val="24"/>
          <w:szCs w:val="24"/>
          <w:lang w:val="en-ID"/>
        </w:rPr>
        <w:t xml:space="preserve"> report</w:t>
      </w:r>
      <w:r w:rsidRPr="00E26D6D">
        <w:rPr>
          <w:sz w:val="24"/>
          <w:szCs w:val="24"/>
          <w:lang w:val="en-ID"/>
        </w:rPr>
        <w:t>. Agency for Health Research and Development, Ministry of Health of the Republic of Indonesia; 2018.</w:t>
      </w:r>
    </w:p>
    <w:p w14:paraId="683C98A9"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[6] Indonesian Ministry of Health. </w:t>
      </w:r>
      <w:r w:rsidRPr="00E26D6D">
        <w:rPr>
          <w:i/>
          <w:iCs/>
          <w:sz w:val="24"/>
          <w:szCs w:val="24"/>
          <w:lang w:val="en-ID"/>
        </w:rPr>
        <w:t>Regulation of the Minister of Health of the Republic of Indonesia Number 8 of 2019 concerning community empowerment in the health sector</w:t>
      </w:r>
      <w:r w:rsidRPr="00E26D6D">
        <w:rPr>
          <w:sz w:val="24"/>
          <w:szCs w:val="24"/>
          <w:lang w:val="en-ID"/>
        </w:rPr>
        <w:t>. 2019.</w:t>
      </w:r>
    </w:p>
    <w:p w14:paraId="77B96EF9"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[7] Kleinberg I. </w:t>
      </w:r>
      <w:r w:rsidRPr="00E26D6D">
        <w:rPr>
          <w:i/>
          <w:iCs/>
          <w:sz w:val="24"/>
          <w:szCs w:val="24"/>
          <w:lang w:val="en-ID"/>
        </w:rPr>
        <w:t>Biochemistry of the dental plaque</w:t>
      </w:r>
      <w:r w:rsidRPr="00E26D6D">
        <w:rPr>
          <w:sz w:val="24"/>
          <w:szCs w:val="24"/>
          <w:lang w:val="en-ID"/>
        </w:rPr>
        <w:t xml:space="preserve">. Vol. 4. Academic Press; 1970. </w:t>
      </w:r>
      <w:hyperlink r:id="rId22" w:tgtFrame="_new" w:history="1">
        <w:r w:rsidRPr="00E26D6D">
          <w:rPr>
            <w:rStyle w:val="Hyperlink"/>
            <w:sz w:val="24"/>
            <w:szCs w:val="24"/>
            <w:lang w:val="en-ID"/>
          </w:rPr>
          <w:t>https://doi.org/10.1016/B978-0-12-030504-9.50010-X</w:t>
        </w:r>
      </w:hyperlink>
    </w:p>
    <w:p w14:paraId="1FE32FA9"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[8] </w:t>
      </w:r>
      <w:proofErr w:type="spellStart"/>
      <w:r w:rsidRPr="00E26D6D">
        <w:rPr>
          <w:sz w:val="24"/>
          <w:szCs w:val="24"/>
          <w:lang w:val="en-ID"/>
        </w:rPr>
        <w:t>Krasse</w:t>
      </w:r>
      <w:proofErr w:type="spellEnd"/>
      <w:r w:rsidRPr="00E26D6D">
        <w:rPr>
          <w:sz w:val="24"/>
          <w:szCs w:val="24"/>
          <w:lang w:val="en-ID"/>
        </w:rPr>
        <w:t xml:space="preserve"> B, Carlsson J. Various types of streptococci and experimental caries in hamsters. </w:t>
      </w:r>
      <w:r w:rsidRPr="00E26D6D">
        <w:rPr>
          <w:i/>
          <w:iCs/>
          <w:sz w:val="24"/>
          <w:szCs w:val="24"/>
          <w:lang w:val="en-ID"/>
        </w:rPr>
        <w:t>Archives of Oral Biology</w:t>
      </w:r>
      <w:r w:rsidRPr="00E26D6D">
        <w:rPr>
          <w:sz w:val="24"/>
          <w:szCs w:val="24"/>
          <w:lang w:val="en-ID"/>
        </w:rPr>
        <w:t xml:space="preserve">. 1970;15(1):25–32. </w:t>
      </w:r>
      <w:hyperlink r:id="rId23" w:tgtFrame="_new" w:history="1">
        <w:r w:rsidRPr="00E26D6D">
          <w:rPr>
            <w:rStyle w:val="Hyperlink"/>
            <w:sz w:val="24"/>
            <w:szCs w:val="24"/>
            <w:lang w:val="en-ID"/>
          </w:rPr>
          <w:t>https://doi.org/10.1016/0003-9969(70)90142-1</w:t>
        </w:r>
      </w:hyperlink>
    </w:p>
    <w:p w14:paraId="69A81AC4"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[9] Putri MH, </w:t>
      </w:r>
      <w:proofErr w:type="spellStart"/>
      <w:r w:rsidRPr="00E26D6D">
        <w:rPr>
          <w:sz w:val="24"/>
          <w:szCs w:val="24"/>
          <w:lang w:val="en-ID"/>
        </w:rPr>
        <w:t>Herijulianti</w:t>
      </w:r>
      <w:proofErr w:type="spellEnd"/>
      <w:r w:rsidRPr="00E26D6D">
        <w:rPr>
          <w:sz w:val="24"/>
          <w:szCs w:val="24"/>
          <w:lang w:val="en-ID"/>
        </w:rPr>
        <w:t xml:space="preserve"> E, </w:t>
      </w:r>
      <w:proofErr w:type="spellStart"/>
      <w:r w:rsidRPr="00E26D6D">
        <w:rPr>
          <w:sz w:val="24"/>
          <w:szCs w:val="24"/>
          <w:lang w:val="en-ID"/>
        </w:rPr>
        <w:t>Nurjannah</w:t>
      </w:r>
      <w:proofErr w:type="spellEnd"/>
      <w:r w:rsidRPr="00E26D6D">
        <w:rPr>
          <w:sz w:val="24"/>
          <w:szCs w:val="24"/>
          <w:lang w:val="en-ID"/>
        </w:rPr>
        <w:t xml:space="preserve"> N. </w:t>
      </w:r>
      <w:r w:rsidRPr="00E26D6D">
        <w:rPr>
          <w:i/>
          <w:iCs/>
          <w:sz w:val="24"/>
          <w:szCs w:val="24"/>
          <w:lang w:val="en-ID"/>
        </w:rPr>
        <w:t>Preventive science of hard tissue diseases and dental supporting tissues</w:t>
      </w:r>
      <w:r w:rsidRPr="00E26D6D">
        <w:rPr>
          <w:sz w:val="24"/>
          <w:szCs w:val="24"/>
          <w:lang w:val="en-ID"/>
        </w:rPr>
        <w:t>. EGC; 2010.</w:t>
      </w:r>
    </w:p>
    <w:p w14:paraId="7117D021"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[10] Ministry of Health, Republic of Indonesia. </w:t>
      </w:r>
      <w:r w:rsidRPr="00E26D6D">
        <w:rPr>
          <w:i/>
          <w:iCs/>
          <w:sz w:val="24"/>
          <w:szCs w:val="24"/>
          <w:lang w:val="en-ID"/>
        </w:rPr>
        <w:t>Guidelines for school dental health efforts (UKGS)</w:t>
      </w:r>
      <w:r w:rsidRPr="00E26D6D">
        <w:rPr>
          <w:sz w:val="24"/>
          <w:szCs w:val="24"/>
          <w:lang w:val="en-ID"/>
        </w:rPr>
        <w:t>. 2012.</w:t>
      </w:r>
    </w:p>
    <w:p w14:paraId="399876A7"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[11] Ministry of Health. </w:t>
      </w:r>
      <w:r w:rsidRPr="00E26D6D">
        <w:rPr>
          <w:i/>
          <w:iCs/>
          <w:sz w:val="24"/>
          <w:szCs w:val="24"/>
          <w:lang w:val="en-ID"/>
        </w:rPr>
        <w:t>Oral health service programme plan</w:t>
      </w:r>
      <w:r w:rsidRPr="00E26D6D">
        <w:rPr>
          <w:sz w:val="24"/>
          <w:szCs w:val="24"/>
          <w:lang w:val="en-ID"/>
        </w:rPr>
        <w:t>. 2012.</w:t>
      </w:r>
    </w:p>
    <w:p w14:paraId="290CB777"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[12] Nio BK. </w:t>
      </w:r>
      <w:r w:rsidRPr="00E26D6D">
        <w:rPr>
          <w:i/>
          <w:iCs/>
          <w:sz w:val="24"/>
          <w:szCs w:val="24"/>
          <w:lang w:val="en-ID"/>
        </w:rPr>
        <w:t>Preventive dentistry part 2</w:t>
      </w:r>
      <w:r w:rsidRPr="00E26D6D">
        <w:rPr>
          <w:sz w:val="24"/>
          <w:szCs w:val="24"/>
          <w:lang w:val="en-ID"/>
        </w:rPr>
        <w:t>. Dental Health Foundation; 1987.</w:t>
      </w:r>
    </w:p>
    <w:p w14:paraId="67E71F0E"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[13] Nunnally CC, Bernstein IH. </w:t>
      </w:r>
      <w:r w:rsidRPr="00E26D6D">
        <w:rPr>
          <w:i/>
          <w:iCs/>
          <w:sz w:val="24"/>
          <w:szCs w:val="24"/>
          <w:lang w:val="en-ID"/>
        </w:rPr>
        <w:t>Psychometric theory</w:t>
      </w:r>
      <w:r w:rsidRPr="00E26D6D">
        <w:rPr>
          <w:sz w:val="24"/>
          <w:szCs w:val="24"/>
          <w:lang w:val="en-ID"/>
        </w:rPr>
        <w:t>. 3rd ed. McGraw-Hill; 1991.</w:t>
      </w:r>
    </w:p>
    <w:p w14:paraId="289F3939"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[14] O’Leary TJ, Drake RB, Naylor JE. The plaque control record. </w:t>
      </w:r>
      <w:r w:rsidRPr="00E26D6D">
        <w:rPr>
          <w:i/>
          <w:iCs/>
          <w:sz w:val="24"/>
          <w:szCs w:val="24"/>
          <w:lang w:val="en-ID"/>
        </w:rPr>
        <w:t>Journal of Periodontology</w:t>
      </w:r>
      <w:r w:rsidRPr="00E26D6D">
        <w:rPr>
          <w:sz w:val="24"/>
          <w:szCs w:val="24"/>
          <w:lang w:val="en-ID"/>
        </w:rPr>
        <w:t>. 1972;43(1):38–41.</w:t>
      </w:r>
    </w:p>
    <w:p w14:paraId="7F631113"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[15] Pratiwi NL. </w:t>
      </w:r>
      <w:r w:rsidRPr="00E26D6D">
        <w:rPr>
          <w:i/>
          <w:iCs/>
          <w:sz w:val="24"/>
          <w:szCs w:val="24"/>
          <w:lang w:val="en-ID"/>
        </w:rPr>
        <w:t>The influence of self-efficacy through cognitive, motivational and affective abilities of health cadres on dental health behaviour</w:t>
      </w:r>
      <w:r w:rsidRPr="00E26D6D">
        <w:rPr>
          <w:sz w:val="24"/>
          <w:szCs w:val="24"/>
          <w:lang w:val="en-ID"/>
        </w:rPr>
        <w:t xml:space="preserve"> [dissertation]. Universitas Airlangga; 2004.</w:t>
      </w:r>
    </w:p>
    <w:p w14:paraId="16931026"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[16] Republic of Indonesia State Secretariat. </w:t>
      </w:r>
      <w:r w:rsidRPr="00E26D6D">
        <w:rPr>
          <w:i/>
          <w:iCs/>
          <w:sz w:val="24"/>
          <w:szCs w:val="24"/>
          <w:lang w:val="en-ID"/>
        </w:rPr>
        <w:t>Law of the Republic of Indonesia Number 36 of 2009</w:t>
      </w:r>
      <w:r w:rsidRPr="00E26D6D">
        <w:rPr>
          <w:sz w:val="24"/>
          <w:szCs w:val="24"/>
          <w:lang w:val="en-ID"/>
        </w:rPr>
        <w:t>. 2009.</w:t>
      </w:r>
    </w:p>
    <w:p w14:paraId="22DF3A3A"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[17] Sutomo B. </w:t>
      </w:r>
      <w:r w:rsidRPr="00E26D6D">
        <w:rPr>
          <w:i/>
          <w:iCs/>
          <w:sz w:val="24"/>
          <w:szCs w:val="24"/>
          <w:lang w:val="en-ID"/>
        </w:rPr>
        <w:t>Oral health promotion model through empowerment of dental health cadres in the community dental health effort (UKGM) programme</w:t>
      </w:r>
      <w:r w:rsidRPr="00E26D6D">
        <w:rPr>
          <w:sz w:val="24"/>
          <w:szCs w:val="24"/>
          <w:lang w:val="en-ID"/>
        </w:rPr>
        <w:t>. 2022.</w:t>
      </w:r>
    </w:p>
    <w:p w14:paraId="68C9944A" w14:textId="77777777" w:rsidR="00E26D6D" w:rsidRPr="00E26D6D" w:rsidRDefault="00E26D6D" w:rsidP="00E26D6D">
      <w:pPr>
        <w:pStyle w:val="0BodyText"/>
        <w:ind w:left="426" w:hanging="426"/>
        <w:rPr>
          <w:sz w:val="24"/>
          <w:szCs w:val="24"/>
          <w:lang w:val="en-ID"/>
        </w:rPr>
      </w:pPr>
      <w:r w:rsidRPr="00E26D6D">
        <w:rPr>
          <w:sz w:val="24"/>
          <w:szCs w:val="24"/>
          <w:lang w:val="en-ID"/>
        </w:rPr>
        <w:t xml:space="preserve">[18] World Health Organization. </w:t>
      </w:r>
      <w:r w:rsidRPr="00E26D6D">
        <w:rPr>
          <w:i/>
          <w:iCs/>
          <w:sz w:val="24"/>
          <w:szCs w:val="24"/>
          <w:lang w:val="en-ID"/>
        </w:rPr>
        <w:t>World Health Organization sixtieth World Health Assembly</w:t>
      </w:r>
      <w:r w:rsidRPr="00E26D6D">
        <w:rPr>
          <w:sz w:val="24"/>
          <w:szCs w:val="24"/>
          <w:lang w:val="en-ID"/>
        </w:rPr>
        <w:t>. 2007:14–23.</w:t>
      </w:r>
    </w:p>
    <w:p w14:paraId="0B5DA4CE" w14:textId="77777777" w:rsidR="00B21D02" w:rsidRDefault="00B21D02" w:rsidP="00160B43">
      <w:pPr>
        <w:pStyle w:val="0BodyText"/>
        <w:ind w:firstLine="0"/>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1A9314F8" w14:textId="0EDC6AA3" w:rsidR="00664C6B" w:rsidRDefault="00664C6B">
      <w:pPr>
        <w:spacing w:after="0" w:line="259" w:lineRule="auto"/>
        <w:ind w:left="0" w:right="0" w:firstLine="0"/>
        <w:jc w:val="left"/>
      </w:pPr>
    </w:p>
    <w:sectPr w:rsidR="00664C6B" w:rsidSect="009A7897">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FDC3F" w14:textId="77777777" w:rsidR="00A41133" w:rsidRDefault="00A41133">
      <w:pPr>
        <w:spacing w:after="0" w:line="240" w:lineRule="auto"/>
      </w:pPr>
      <w:r>
        <w:separator/>
      </w:r>
    </w:p>
  </w:endnote>
  <w:endnote w:type="continuationSeparator" w:id="0">
    <w:p w14:paraId="1A337690" w14:textId="77777777" w:rsidR="00A41133" w:rsidRDefault="00A41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1843099"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28DA5" w14:textId="77777777" w:rsidR="00A41133" w:rsidRDefault="00A41133">
      <w:pPr>
        <w:spacing w:after="0" w:line="240" w:lineRule="auto"/>
      </w:pPr>
      <w:r>
        <w:separator/>
      </w:r>
    </w:p>
  </w:footnote>
  <w:footnote w:type="continuationSeparator" w:id="0">
    <w:p w14:paraId="57A1A729" w14:textId="77777777" w:rsidR="00A41133" w:rsidRDefault="00A41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2820DBB6"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8"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3"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4"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6"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7"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21"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9"/>
  </w:num>
  <w:num w:numId="3" w16cid:durableId="167405885">
    <w:abstractNumId w:val="5"/>
  </w:num>
  <w:num w:numId="4" w16cid:durableId="839732622">
    <w:abstractNumId w:val="8"/>
  </w:num>
  <w:num w:numId="5" w16cid:durableId="760955740">
    <w:abstractNumId w:val="10"/>
  </w:num>
  <w:num w:numId="6" w16cid:durableId="865020756">
    <w:abstractNumId w:val="14"/>
  </w:num>
  <w:num w:numId="7" w16cid:durableId="1662999864">
    <w:abstractNumId w:val="22"/>
  </w:num>
  <w:num w:numId="8" w16cid:durableId="86581767">
    <w:abstractNumId w:val="4"/>
  </w:num>
  <w:num w:numId="9" w16cid:durableId="1225533002">
    <w:abstractNumId w:val="3"/>
  </w:num>
  <w:num w:numId="10" w16cid:durableId="1238635097">
    <w:abstractNumId w:val="18"/>
  </w:num>
  <w:num w:numId="11" w16cid:durableId="539903219">
    <w:abstractNumId w:val="2"/>
  </w:num>
  <w:num w:numId="12" w16cid:durableId="1887715145">
    <w:abstractNumId w:val="19"/>
  </w:num>
  <w:num w:numId="13" w16cid:durableId="276330521">
    <w:abstractNumId w:val="13"/>
  </w:num>
  <w:num w:numId="14" w16cid:durableId="2091391591">
    <w:abstractNumId w:val="6"/>
  </w:num>
  <w:num w:numId="15" w16cid:durableId="1166240142">
    <w:abstractNumId w:val="0"/>
  </w:num>
  <w:num w:numId="16" w16cid:durableId="542329710">
    <w:abstractNumId w:val="21"/>
  </w:num>
  <w:num w:numId="17" w16cid:durableId="1098407239">
    <w:abstractNumId w:val="15"/>
  </w:num>
  <w:num w:numId="18" w16cid:durableId="1980719134">
    <w:abstractNumId w:val="16"/>
  </w:num>
  <w:num w:numId="19" w16cid:durableId="868687771">
    <w:abstractNumId w:val="12"/>
  </w:num>
  <w:num w:numId="20" w16cid:durableId="975717312">
    <w:abstractNumId w:val="11"/>
  </w:num>
  <w:num w:numId="21" w16cid:durableId="1374118931">
    <w:abstractNumId w:val="7"/>
  </w:num>
  <w:num w:numId="22" w16cid:durableId="1160536925">
    <w:abstractNumId w:val="17"/>
  </w:num>
  <w:num w:numId="23" w16cid:durableId="7241870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60FD2"/>
    <w:rsid w:val="0006303F"/>
    <w:rsid w:val="00085B44"/>
    <w:rsid w:val="00087A2A"/>
    <w:rsid w:val="000A08E3"/>
    <w:rsid w:val="000B411E"/>
    <w:rsid w:val="000E72E3"/>
    <w:rsid w:val="00160B43"/>
    <w:rsid w:val="00170371"/>
    <w:rsid w:val="001D60A2"/>
    <w:rsid w:val="001F17EE"/>
    <w:rsid w:val="00213C1C"/>
    <w:rsid w:val="00213DBF"/>
    <w:rsid w:val="002202E6"/>
    <w:rsid w:val="00245506"/>
    <w:rsid w:val="002512D0"/>
    <w:rsid w:val="00254B56"/>
    <w:rsid w:val="00255349"/>
    <w:rsid w:val="00256EDE"/>
    <w:rsid w:val="00261A17"/>
    <w:rsid w:val="00294623"/>
    <w:rsid w:val="0029463D"/>
    <w:rsid w:val="002B72A4"/>
    <w:rsid w:val="002E59C2"/>
    <w:rsid w:val="002E6AEC"/>
    <w:rsid w:val="00323CBA"/>
    <w:rsid w:val="00326153"/>
    <w:rsid w:val="00330E6A"/>
    <w:rsid w:val="003B4568"/>
    <w:rsid w:val="003E3003"/>
    <w:rsid w:val="003F4C67"/>
    <w:rsid w:val="00411E45"/>
    <w:rsid w:val="0046575E"/>
    <w:rsid w:val="004A1BC9"/>
    <w:rsid w:val="004D1DB1"/>
    <w:rsid w:val="004D41D8"/>
    <w:rsid w:val="00503126"/>
    <w:rsid w:val="00511BEE"/>
    <w:rsid w:val="0051702D"/>
    <w:rsid w:val="0052651C"/>
    <w:rsid w:val="00531914"/>
    <w:rsid w:val="00580EB2"/>
    <w:rsid w:val="005939CC"/>
    <w:rsid w:val="00597D40"/>
    <w:rsid w:val="005F0EE8"/>
    <w:rsid w:val="00620BE2"/>
    <w:rsid w:val="00657F11"/>
    <w:rsid w:val="00664C6B"/>
    <w:rsid w:val="006B0E11"/>
    <w:rsid w:val="006B64BB"/>
    <w:rsid w:val="006D2924"/>
    <w:rsid w:val="006E0898"/>
    <w:rsid w:val="006E110F"/>
    <w:rsid w:val="00727C96"/>
    <w:rsid w:val="00761248"/>
    <w:rsid w:val="007676AB"/>
    <w:rsid w:val="00775514"/>
    <w:rsid w:val="007E12B1"/>
    <w:rsid w:val="007E606E"/>
    <w:rsid w:val="00812893"/>
    <w:rsid w:val="00840725"/>
    <w:rsid w:val="00865414"/>
    <w:rsid w:val="008A16FC"/>
    <w:rsid w:val="008D2008"/>
    <w:rsid w:val="008E23E1"/>
    <w:rsid w:val="00905619"/>
    <w:rsid w:val="00913F7A"/>
    <w:rsid w:val="009630FB"/>
    <w:rsid w:val="0097177F"/>
    <w:rsid w:val="009839F3"/>
    <w:rsid w:val="009A27D4"/>
    <w:rsid w:val="009A7897"/>
    <w:rsid w:val="009B0F7C"/>
    <w:rsid w:val="009D7B6B"/>
    <w:rsid w:val="00A06BA1"/>
    <w:rsid w:val="00A10449"/>
    <w:rsid w:val="00A41133"/>
    <w:rsid w:val="00A67C28"/>
    <w:rsid w:val="00A74476"/>
    <w:rsid w:val="00AB7C2F"/>
    <w:rsid w:val="00B10C5D"/>
    <w:rsid w:val="00B17F27"/>
    <w:rsid w:val="00B21D02"/>
    <w:rsid w:val="00B60002"/>
    <w:rsid w:val="00B83874"/>
    <w:rsid w:val="00BA574E"/>
    <w:rsid w:val="00BA584F"/>
    <w:rsid w:val="00BA6DD0"/>
    <w:rsid w:val="00BB2126"/>
    <w:rsid w:val="00BD27E2"/>
    <w:rsid w:val="00BD759F"/>
    <w:rsid w:val="00C062CC"/>
    <w:rsid w:val="00C3729D"/>
    <w:rsid w:val="00C75B14"/>
    <w:rsid w:val="00C929A8"/>
    <w:rsid w:val="00CC0230"/>
    <w:rsid w:val="00CE0E8A"/>
    <w:rsid w:val="00CE7BEF"/>
    <w:rsid w:val="00D31DDE"/>
    <w:rsid w:val="00D455CE"/>
    <w:rsid w:val="00D62F90"/>
    <w:rsid w:val="00D9142C"/>
    <w:rsid w:val="00D9690E"/>
    <w:rsid w:val="00DD4E55"/>
    <w:rsid w:val="00E26D6D"/>
    <w:rsid w:val="00E85071"/>
    <w:rsid w:val="00E867FF"/>
    <w:rsid w:val="00EF7892"/>
    <w:rsid w:val="00F11B2D"/>
    <w:rsid w:val="00F12812"/>
    <w:rsid w:val="00F22A84"/>
    <w:rsid w:val="00F261BC"/>
    <w:rsid w:val="00F3196E"/>
    <w:rsid w:val="00F401EF"/>
    <w:rsid w:val="00F43588"/>
    <w:rsid w:val="00F4698E"/>
    <w:rsid w:val="00F84920"/>
    <w:rsid w:val="00FA1E9D"/>
    <w:rsid w:val="00FD396E"/>
    <w:rsid w:val="00FE1798"/>
    <w:rsid w:val="00FF4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6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character" w:customStyle="1" w:styleId="Heading4Char">
    <w:name w:val="Heading 4 Char"/>
    <w:basedOn w:val="DefaultParagraphFont"/>
    <w:link w:val="Heading4"/>
    <w:uiPriority w:val="9"/>
    <w:semiHidden/>
    <w:rsid w:val="00905619"/>
    <w:rPr>
      <w:rFonts w:asciiTheme="majorHAnsi" w:eastAsiaTheme="majorEastAsia" w:hAnsiTheme="majorHAnsi" w:cstheme="majorBidi"/>
      <w:i/>
      <w:iCs/>
      <w:color w:val="2F5496" w:themeColor="accent1" w:themeShade="BF"/>
    </w:rPr>
  </w:style>
  <w:style w:type="character" w:customStyle="1" w:styleId="tlid-translation">
    <w:name w:val="tlid-translation"/>
    <w:basedOn w:val="DefaultParagraphFont"/>
    <w:rsid w:val="00905619"/>
  </w:style>
  <w:style w:type="character" w:customStyle="1" w:styleId="Heading3Char">
    <w:name w:val="Heading 3 Char"/>
    <w:basedOn w:val="DefaultParagraphFont"/>
    <w:link w:val="Heading3"/>
    <w:uiPriority w:val="9"/>
    <w:semiHidden/>
    <w:rsid w:val="00060F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doi.org/10.14219/jada.archive.1960.0177" TargetMode="External"/><Relationship Id="rId7" Type="http://schemas.openxmlformats.org/officeDocument/2006/relationships/image" Target="media/image1.png"/><Relationship Id="rId12" Type="http://schemas.openxmlformats.org/officeDocument/2006/relationships/hyperlink" Target="mailto:bambangsutomo20@yahoo.co.id"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0003-9969(70)90142-1" TargetMode="Externa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doi.org/10.1016/B978-0-12-030504-9.5001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10</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acer nitro</cp:lastModifiedBy>
  <cp:revision>51</cp:revision>
  <cp:lastPrinted>2025-07-05T12:18:00Z</cp:lastPrinted>
  <dcterms:created xsi:type="dcterms:W3CDTF">2022-06-25T13:03:00Z</dcterms:created>
  <dcterms:modified xsi:type="dcterms:W3CDTF">2026-02-20T01:43:00Z</dcterms:modified>
</cp:coreProperties>
</file>