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08210" w14:textId="1BB08B09" w:rsidR="00BE0F17" w:rsidRDefault="00AE5E23" w:rsidP="00AE5E23">
      <w:pPr>
        <w:pStyle w:val="NoSpacing"/>
        <w:jc w:val="center"/>
        <w:rPr>
          <w:rFonts w:asciiTheme="majorBidi" w:hAnsiTheme="majorBidi" w:cstheme="majorBidi"/>
          <w:b/>
          <w:i/>
          <w:sz w:val="24"/>
          <w:szCs w:val="24"/>
        </w:rPr>
      </w:pPr>
      <w:r w:rsidRPr="00AE5E23">
        <w:rPr>
          <w:rFonts w:ascii="Times New Roman" w:hAnsi="Times New Roman"/>
          <w:b/>
          <w:bCs/>
        </w:rPr>
        <w:t>VALIDATION OF A MODIFIED O’LEARY PLAQUE INDEX COMPARED WITH OHI-S AT SDN PUDAKPAYUNG 02 SEMARANG</w:t>
      </w:r>
    </w:p>
    <w:p w14:paraId="14BA8472" w14:textId="77777777" w:rsidR="00BE0F17" w:rsidRDefault="00BE0F17" w:rsidP="007E5429">
      <w:pPr>
        <w:pStyle w:val="NoSpacing"/>
        <w:rPr>
          <w:rFonts w:asciiTheme="majorBidi" w:hAnsiTheme="majorBidi" w:cstheme="majorBidi"/>
          <w:b/>
          <w:i/>
          <w:sz w:val="24"/>
          <w:szCs w:val="24"/>
        </w:rPr>
      </w:pPr>
    </w:p>
    <w:p w14:paraId="5277BAB7" w14:textId="77777777" w:rsidR="00BE0F17" w:rsidRPr="00C314C4" w:rsidRDefault="00BE0F17" w:rsidP="00BE0F17">
      <w:pPr>
        <w:pStyle w:val="NoSpacing"/>
        <w:jc w:val="center"/>
        <w:rPr>
          <w:rFonts w:asciiTheme="majorBidi" w:hAnsiTheme="majorBidi" w:cstheme="majorBidi"/>
          <w:sz w:val="24"/>
          <w:szCs w:val="24"/>
        </w:rPr>
      </w:pPr>
      <w:r w:rsidRPr="00C314C4">
        <w:rPr>
          <w:rFonts w:asciiTheme="majorBidi" w:hAnsiTheme="majorBidi" w:cstheme="majorBidi"/>
          <w:b/>
          <w:i/>
          <w:sz w:val="24"/>
          <w:szCs w:val="24"/>
        </w:rPr>
        <w:t>ABSTRACT</w:t>
      </w:r>
      <w:r w:rsidRPr="00C314C4">
        <w:rPr>
          <w:rFonts w:asciiTheme="majorBidi" w:hAnsiTheme="majorBidi" w:cstheme="majorBidi"/>
          <w:sz w:val="24"/>
          <w:szCs w:val="24"/>
        </w:rPr>
        <w:t xml:space="preserve"> </w:t>
      </w:r>
    </w:p>
    <w:p w14:paraId="5642EC40" w14:textId="77777777" w:rsidR="00BE0F17" w:rsidRPr="00C314C4" w:rsidRDefault="00BE0F17" w:rsidP="00BE0F17">
      <w:pPr>
        <w:pStyle w:val="NoSpacing"/>
        <w:jc w:val="both"/>
        <w:rPr>
          <w:rFonts w:asciiTheme="majorBidi" w:hAnsiTheme="majorBidi" w:cstheme="majorBidi"/>
          <w:i/>
          <w:iCs/>
          <w:color w:val="000000"/>
          <w:sz w:val="20"/>
          <w:szCs w:val="20"/>
        </w:rPr>
      </w:pPr>
    </w:p>
    <w:p w14:paraId="7E5CF62B" w14:textId="0BD0981C" w:rsidR="00BE0F17" w:rsidRDefault="00AE5E23" w:rsidP="00BE0F17">
      <w:pPr>
        <w:pStyle w:val="NoSpacing"/>
        <w:jc w:val="both"/>
        <w:rPr>
          <w:rFonts w:ascii="Times New Roman" w:hAnsi="Times New Roman"/>
          <w:bCs/>
          <w:i/>
          <w:iCs/>
          <w:sz w:val="20"/>
          <w:szCs w:val="20"/>
        </w:rPr>
      </w:pPr>
      <w:r w:rsidRPr="00AE5E23">
        <w:rPr>
          <w:rFonts w:ascii="Times New Roman" w:hAnsi="Times New Roman"/>
          <w:bCs/>
          <w:i/>
          <w:iCs/>
          <w:sz w:val="20"/>
          <w:szCs w:val="20"/>
        </w:rPr>
        <w:t>Oral hygiene assessment is essential in school-based preventive programs; however, standard methods such as the Simplified Oral Hygiene Index (OHI-S) require trained dental personnel. This study aimed to validate a modified O’Leary plaque index limited to labial/oral surfaces and compare its performance with the standard OHI-S among 192 elementary students at SDN Pudakpayung 02 Semarang. A comparative cross-sectional within-subject design was applied. Each participant was examined using the OHI-S debris index and the modified plaque index. Content validity was evaluated using Aiken’s V, and inter-rater reliability was assessed using the Intraclass Correlation Coefficient (ICC). Differences between methods were analyzed using the Wilcoxon signed-rank test (α = 0.05). Most students were categorized as having moderate oral hygiene by both OHI-S (45.3%) and the modified index (41.7%). No significant difference was found between methods (p = 0.225), with homogeneous distribution (p = 0.862). The ICC value of 0.671 indicated moderate reliability. The modified O’Leary plaque index demonstrates diagnostic equivalence to OHI-S and offers a practical alternative for school-based oral health assessment.</w:t>
      </w:r>
    </w:p>
    <w:p w14:paraId="3F02DC09" w14:textId="77777777" w:rsidR="00AE5E23" w:rsidRPr="000E3461" w:rsidRDefault="00AE5E23" w:rsidP="00BE0F17">
      <w:pPr>
        <w:pStyle w:val="NoSpacing"/>
        <w:jc w:val="both"/>
        <w:rPr>
          <w:rFonts w:ascii="Times New Roman" w:hAnsi="Times New Roman"/>
          <w:i/>
          <w:iCs/>
          <w:sz w:val="20"/>
          <w:szCs w:val="20"/>
          <w:lang w:val="en-ID"/>
        </w:rPr>
      </w:pPr>
    </w:p>
    <w:p w14:paraId="4F5CDB23" w14:textId="75F87519" w:rsidR="00BE0F17" w:rsidRPr="000E3461" w:rsidRDefault="00BE0F17" w:rsidP="00EF7B51">
      <w:pPr>
        <w:spacing w:after="0" w:line="240" w:lineRule="auto"/>
        <w:rPr>
          <w:rFonts w:ascii="Times New Roman" w:hAnsi="Times New Roman"/>
          <w:bCs/>
          <w:sz w:val="20"/>
          <w:szCs w:val="20"/>
        </w:rPr>
      </w:pPr>
      <w:r w:rsidRPr="000E3461">
        <w:rPr>
          <w:rFonts w:ascii="Times New Roman" w:hAnsi="Times New Roman"/>
          <w:sz w:val="20"/>
          <w:szCs w:val="20"/>
        </w:rPr>
        <w:t>Keywords:</w:t>
      </w:r>
      <w:r w:rsidRPr="000E3461">
        <w:rPr>
          <w:rFonts w:ascii="Times New Roman" w:hAnsi="Times New Roman"/>
          <w:b/>
          <w:bCs/>
          <w:sz w:val="20"/>
          <w:szCs w:val="20"/>
        </w:rPr>
        <w:t xml:space="preserve"> </w:t>
      </w:r>
      <w:r w:rsidR="00AE5E23" w:rsidRPr="00AE5E23">
        <w:rPr>
          <w:rFonts w:ascii="Times New Roman" w:hAnsi="Times New Roman"/>
          <w:bCs/>
          <w:sz w:val="20"/>
          <w:szCs w:val="20"/>
        </w:rPr>
        <w:t>oral hygiene, plaque index, O’Leary index, OHI-S, validation</w:t>
      </w:r>
    </w:p>
    <w:p w14:paraId="384FAFF2" w14:textId="77777777" w:rsidR="00BE0F17" w:rsidRPr="00C314C4" w:rsidRDefault="00BE0F17" w:rsidP="00BE0F17">
      <w:pPr>
        <w:pStyle w:val="NoSpacing"/>
        <w:jc w:val="both"/>
        <w:rPr>
          <w:rFonts w:asciiTheme="majorBidi" w:hAnsiTheme="majorBidi" w:cstheme="majorBidi"/>
          <w:color w:val="000000"/>
          <w:sz w:val="20"/>
          <w:szCs w:val="20"/>
        </w:rPr>
      </w:pPr>
    </w:p>
    <w:p w14:paraId="641DB5C5" w14:textId="77777777" w:rsidR="00BE0F17" w:rsidRPr="00C314C4" w:rsidRDefault="00BE0F17" w:rsidP="00BE0F17">
      <w:pPr>
        <w:pStyle w:val="NoSpacing"/>
        <w:jc w:val="both"/>
        <w:rPr>
          <w:rFonts w:asciiTheme="majorBidi" w:hAnsiTheme="majorBidi" w:cstheme="majorBidi"/>
          <w:color w:val="000000"/>
          <w:sz w:val="20"/>
          <w:szCs w:val="20"/>
        </w:rPr>
      </w:pPr>
    </w:p>
    <w:p w14:paraId="62D3451E" w14:textId="3672963D" w:rsidR="00BE0F17" w:rsidRDefault="00BE0F17" w:rsidP="00B31766">
      <w:pPr>
        <w:pStyle w:val="NoSpacing"/>
        <w:jc w:val="center"/>
        <w:rPr>
          <w:rFonts w:ascii="Times New Roman" w:hAnsi="Times New Roman"/>
          <w:b/>
          <w:i/>
          <w:sz w:val="24"/>
          <w:szCs w:val="24"/>
        </w:rPr>
      </w:pPr>
      <w:r w:rsidRPr="00AF6329">
        <w:rPr>
          <w:rFonts w:ascii="Times New Roman" w:hAnsi="Times New Roman"/>
          <w:b/>
          <w:i/>
          <w:sz w:val="24"/>
          <w:szCs w:val="24"/>
        </w:rPr>
        <w:t>ABSTRAK</w:t>
      </w:r>
    </w:p>
    <w:p w14:paraId="1099BDD4" w14:textId="77777777" w:rsidR="00AE5E23" w:rsidRDefault="00AE5E23" w:rsidP="00B31766">
      <w:pPr>
        <w:pStyle w:val="NoSpacing"/>
        <w:jc w:val="center"/>
        <w:rPr>
          <w:rFonts w:ascii="Times New Roman" w:hAnsi="Times New Roman"/>
          <w:b/>
          <w:i/>
          <w:sz w:val="24"/>
          <w:szCs w:val="24"/>
        </w:rPr>
      </w:pPr>
    </w:p>
    <w:p w14:paraId="08ADE46E" w14:textId="54EA9EAA" w:rsidR="005F3191" w:rsidRPr="005F3191" w:rsidRDefault="00AE5E23" w:rsidP="005F3191">
      <w:pPr>
        <w:pStyle w:val="NoSpacing"/>
        <w:jc w:val="both"/>
        <w:rPr>
          <w:rFonts w:ascii="Times New Roman" w:hAnsi="Times New Roman"/>
          <w:i/>
          <w:iCs/>
          <w:sz w:val="20"/>
          <w:szCs w:val="20"/>
          <w:lang w:val="en-ID"/>
        </w:rPr>
      </w:pPr>
      <w:r w:rsidRPr="00AE5E23">
        <w:rPr>
          <w:rFonts w:ascii="Times New Roman" w:hAnsi="Times New Roman"/>
          <w:i/>
          <w:iCs/>
          <w:sz w:val="20"/>
          <w:szCs w:val="20"/>
        </w:rPr>
        <w:t>Penilaian kebersihan mulut merupakan komponen penting dalam program pencegahan berbasis sekolah, namun metode standar seperti Simplified Oral Hygiene Index (OHI-S) memerlukan tenaga profesional gigi. Penelitian ini bertujuan untuk memvalidasi indeks plak O’Leary yang dimodifikasi dan dibatasi pada permukaan labial/oral serta membandingkan kinerjanya dengan OHI-S pada 192 siswa SDN Pudakpayung 02 Semarang. Penelitian menggunakan desain komparatif potong lintang dengan pendekatan within-subject. Setiap peserta diperiksa menggunakan OHI-S (debris index) dan indeks plak yang dimodifikasi. Validitas isi dinilai menggunakan Aiken’s V, sedangkan reliabilitas antar penilai diuji dengan Intraclass Correlation Coefficient (ICC). Perbedaan antar metode dianalisis menggunakan uji Wilcoxon (α = 0,05). Sebagian besar siswa berada pada kategori kebersihan mulut sedang berdasarkan OHI-S (45,3%) dan indeks modifikasi (41,7%). Tidak ditemukan perbedaan yang bermakna antara kedua metode (p = 0,225) dengan distribusi yang homogen (p = 0,862). Nilai ICC sebesar 0,671 menunjukkan reliabilitas sedang. Indeks plak O’Leary yang dimodifikasi memiliki kesetaraan diagnostik dengan OHI-S dan berpotensi sebagai alternatif praktis dalam penilaian kebersihan mulut berbasis sekolah.</w:t>
      </w:r>
    </w:p>
    <w:p w14:paraId="5E0F8815" w14:textId="77777777" w:rsidR="00BE0F17" w:rsidRPr="000E3461" w:rsidRDefault="00BE0F17" w:rsidP="00BE0F17">
      <w:pPr>
        <w:pStyle w:val="NoSpacing"/>
        <w:rPr>
          <w:rFonts w:ascii="Times New Roman" w:hAnsi="Times New Roman"/>
          <w:i/>
          <w:iCs/>
          <w:sz w:val="20"/>
          <w:szCs w:val="20"/>
        </w:rPr>
      </w:pPr>
    </w:p>
    <w:p w14:paraId="1757F18C" w14:textId="151FBEBD" w:rsidR="00BA7DF6" w:rsidRDefault="00EF7B51" w:rsidP="00BE0F17">
      <w:pPr>
        <w:pStyle w:val="NoSpacing"/>
        <w:jc w:val="both"/>
        <w:rPr>
          <w:rFonts w:ascii="Times New Roman" w:hAnsi="Times New Roman"/>
          <w:color w:val="000000"/>
          <w:sz w:val="20"/>
          <w:szCs w:val="20"/>
        </w:rPr>
      </w:pPr>
      <w:r w:rsidRPr="000E3461">
        <w:rPr>
          <w:rFonts w:ascii="Times New Roman" w:hAnsi="Times New Roman"/>
          <w:color w:val="000000"/>
          <w:sz w:val="20"/>
          <w:szCs w:val="20"/>
        </w:rPr>
        <w:t xml:space="preserve">Kata kunci: </w:t>
      </w:r>
      <w:r w:rsidR="00AE5E23" w:rsidRPr="00AE5E23">
        <w:rPr>
          <w:rFonts w:ascii="Times New Roman" w:hAnsi="Times New Roman"/>
          <w:color w:val="000000"/>
          <w:sz w:val="20"/>
          <w:szCs w:val="20"/>
        </w:rPr>
        <w:t>kebersihan mulut, indeks plak, O’Leary, OHI-S, validasi</w:t>
      </w:r>
    </w:p>
    <w:p w14:paraId="45954E5D" w14:textId="77777777" w:rsidR="00AE5E23" w:rsidRPr="000E3461" w:rsidRDefault="00AE5E23" w:rsidP="00BE0F17">
      <w:pPr>
        <w:pStyle w:val="NoSpacing"/>
        <w:jc w:val="both"/>
        <w:rPr>
          <w:rFonts w:ascii="Times New Roman" w:hAnsi="Times New Roman"/>
          <w:color w:val="000000"/>
          <w:sz w:val="20"/>
          <w:szCs w:val="20"/>
        </w:rPr>
      </w:pPr>
    </w:p>
    <w:p w14:paraId="47A04868" w14:textId="5D0FE3FF" w:rsidR="00BE0F17" w:rsidRPr="0055319E" w:rsidRDefault="00BE0F17" w:rsidP="00BE0F17">
      <w:pPr>
        <w:pStyle w:val="NoSpacing"/>
        <w:jc w:val="both"/>
        <w:rPr>
          <w:rFonts w:ascii="Times New Roman" w:hAnsi="Times New Roman"/>
          <w:sz w:val="24"/>
          <w:szCs w:val="24"/>
        </w:rPr>
      </w:pPr>
      <w:r w:rsidRPr="005471E6">
        <w:rPr>
          <w:rFonts w:ascii="Times New Roman" w:hAnsi="Times New Roman"/>
          <w:b/>
          <w:bCs/>
          <w:sz w:val="24"/>
          <w:szCs w:val="24"/>
        </w:rPr>
        <w:t xml:space="preserve"> </w:t>
      </w:r>
    </w:p>
    <w:p w14:paraId="4C81E406" w14:textId="77777777" w:rsidR="00AE5E23" w:rsidRPr="00AE5E23" w:rsidRDefault="00AE5E23" w:rsidP="00AE5E23">
      <w:pPr>
        <w:pStyle w:val="NoSpacing"/>
        <w:jc w:val="both"/>
        <w:rPr>
          <w:rFonts w:ascii="Times New Roman" w:hAnsi="Times New Roman"/>
          <w:b/>
          <w:bCs/>
          <w:lang w:val="en-ID"/>
        </w:rPr>
      </w:pPr>
      <w:r w:rsidRPr="00AE5E23">
        <w:rPr>
          <w:rFonts w:ascii="Times New Roman" w:hAnsi="Times New Roman"/>
          <w:b/>
          <w:bCs/>
          <w:lang w:val="en-ID"/>
        </w:rPr>
        <w:t>1. INTRODUCTION</w:t>
      </w:r>
    </w:p>
    <w:p w14:paraId="2E15AAA6" w14:textId="77777777" w:rsidR="00AE5E23" w:rsidRPr="00AE5E23" w:rsidRDefault="00AE5E23" w:rsidP="00ED5B9A">
      <w:pPr>
        <w:pStyle w:val="NoSpacing"/>
        <w:spacing w:before="200"/>
        <w:jc w:val="both"/>
        <w:rPr>
          <w:rFonts w:ascii="Times New Roman" w:hAnsi="Times New Roman"/>
          <w:sz w:val="24"/>
          <w:szCs w:val="24"/>
          <w:lang w:val="en-ID"/>
        </w:rPr>
      </w:pPr>
      <w:r w:rsidRPr="00AE5E23">
        <w:rPr>
          <w:rFonts w:ascii="Times New Roman" w:hAnsi="Times New Roman"/>
          <w:sz w:val="24"/>
          <w:szCs w:val="24"/>
          <w:lang w:val="en-ID"/>
        </w:rPr>
        <w:t>Oral health has long been recognized as an integral component of overall health, a position reinforced by the Sixtieth World Health Assembly (WHA) in 2007. Indonesia has implemented school-based oral health programs, including the Usaha Kesehatan Gigi Sekolah (UKGS), which promotes daily toothbrushing and self-care practices as part of broader health-promoting school initiatives.</w:t>
      </w:r>
    </w:p>
    <w:p w14:paraId="10406E6F" w14:textId="77777777" w:rsidR="00AE5E23" w:rsidRPr="00AE5E23" w:rsidRDefault="00AE5E23" w:rsidP="00AE5E23">
      <w:pPr>
        <w:pStyle w:val="NoSpacing"/>
        <w:jc w:val="both"/>
        <w:rPr>
          <w:rFonts w:ascii="Times New Roman" w:hAnsi="Times New Roman"/>
          <w:sz w:val="24"/>
          <w:szCs w:val="24"/>
          <w:lang w:val="en-ID"/>
        </w:rPr>
      </w:pPr>
      <w:r w:rsidRPr="00AE5E23">
        <w:rPr>
          <w:rFonts w:ascii="Times New Roman" w:hAnsi="Times New Roman"/>
          <w:sz w:val="24"/>
          <w:szCs w:val="24"/>
          <w:lang w:val="en-ID"/>
        </w:rPr>
        <w:t>Despite a reported national toothbrushing rate of 94.7%, only 2.8% of Indonesians brush their teeth at recommended times—after breakfast and before bedtime. This gap between behavior and technique contributes to persistent plaque accumulation and the continued burden of dental caries among school-aged children. National epidemiological data indicate that dental caries prevalence remains high, with substantial proportions of untreated decay, reflecting the need for strengthened preventive measures and early detection at the school level.</w:t>
      </w:r>
    </w:p>
    <w:p w14:paraId="12D960C8" w14:textId="77777777" w:rsidR="00AE5E23" w:rsidRPr="00AE5E23" w:rsidRDefault="00AE5E23" w:rsidP="00AE5E23">
      <w:pPr>
        <w:pStyle w:val="NoSpacing"/>
        <w:jc w:val="both"/>
        <w:rPr>
          <w:rFonts w:ascii="Times New Roman" w:hAnsi="Times New Roman"/>
          <w:sz w:val="24"/>
          <w:szCs w:val="24"/>
          <w:lang w:val="en-ID"/>
        </w:rPr>
      </w:pPr>
      <w:r w:rsidRPr="00AE5E23">
        <w:rPr>
          <w:rFonts w:ascii="Times New Roman" w:hAnsi="Times New Roman"/>
          <w:sz w:val="24"/>
          <w:szCs w:val="24"/>
          <w:lang w:val="en-ID"/>
        </w:rPr>
        <w:t>Assessment of oral hygiene status traditionally relies on the Simplified Oral Hygiene Index (OHI-S) established by Greene and Vermillion. While widely accepted and standardized, OHI-S requires examination of six specific index teeth and is typically performed by trained dental personnel. Alternatively, the O’Leary Plaque Index provides detailed mapping of plaque across tooth surfaces but is relatively complex for community-based cadres to apply. In Indonesia, community participation in oral health efforts remains suboptimal, with prior studies showing that nearly one-fifth of health cadres were inactive in providing guidance. Given the crucial role of UKS/UKGS teachers in school-</w:t>
      </w:r>
      <w:r w:rsidRPr="00AE5E23">
        <w:rPr>
          <w:rFonts w:ascii="Times New Roman" w:hAnsi="Times New Roman"/>
          <w:sz w:val="24"/>
          <w:szCs w:val="24"/>
          <w:lang w:val="en-ID"/>
        </w:rPr>
        <w:lastRenderedPageBreak/>
        <w:t>based dental health activities and the emphasis on promotive, preventive, early detection, curative, and rehabilitative oral health efforts within the Basic Package of Oral Care (BPOC), there is a growing need for simple, practical, and accurate tools that enable early detection of oral hygiene problems.</w:t>
      </w:r>
    </w:p>
    <w:p w14:paraId="3862A4EF" w14:textId="77777777" w:rsidR="00AE5E23" w:rsidRPr="00AE5E23" w:rsidRDefault="00AE5E23" w:rsidP="00AE5E23">
      <w:pPr>
        <w:pStyle w:val="NoSpacing"/>
        <w:jc w:val="both"/>
        <w:rPr>
          <w:rFonts w:ascii="Times New Roman" w:hAnsi="Times New Roman"/>
          <w:sz w:val="24"/>
          <w:szCs w:val="24"/>
          <w:lang w:val="en-ID"/>
        </w:rPr>
      </w:pPr>
      <w:r w:rsidRPr="00AE5E23">
        <w:rPr>
          <w:rFonts w:ascii="Times New Roman" w:hAnsi="Times New Roman"/>
          <w:sz w:val="24"/>
          <w:szCs w:val="24"/>
          <w:lang w:val="en-ID"/>
        </w:rPr>
        <w:t>To address this need, a modified version of the O’Leary Plaque Index—limited to labial/oral surfaces—has been developed. Clinically, labial surfaces are easily accessible, easier to clean, and subject to natural abrasion through mastication. Thus, plaque detected on these surfaces can serve as an early indicator of poor oral hygiene; if plaque persists on areas that are easiest to maintain, accumulation on more anatomically complex surfaces is likely to be greater. However, despite its potential advantages, no formal validation of this modified O’Leary method for use by school health cadres has been conducted, representing a significant research gap.</w:t>
      </w:r>
    </w:p>
    <w:p w14:paraId="3B5E3B38" w14:textId="77777777" w:rsidR="00AE5E23" w:rsidRPr="00AE5E23" w:rsidRDefault="00AE5E23" w:rsidP="00AE5E23">
      <w:pPr>
        <w:pStyle w:val="NoSpacing"/>
        <w:jc w:val="both"/>
        <w:rPr>
          <w:rFonts w:ascii="Times New Roman" w:hAnsi="Times New Roman"/>
          <w:sz w:val="24"/>
          <w:szCs w:val="24"/>
          <w:lang w:val="en-ID"/>
        </w:rPr>
      </w:pPr>
      <w:r w:rsidRPr="00AE5E23">
        <w:rPr>
          <w:rFonts w:ascii="Times New Roman" w:hAnsi="Times New Roman"/>
          <w:sz w:val="24"/>
          <w:szCs w:val="24"/>
          <w:lang w:val="en-ID"/>
        </w:rPr>
        <w:t>Therefore, this study aims to validate the modified O’Leary plaque index and compare its performance with the standard OHI-S in assessing oral hygiene status among elementary school students at SDN Pudakpayung 02 Semarang.</w:t>
      </w:r>
    </w:p>
    <w:p w14:paraId="08502481" w14:textId="037221A8" w:rsidR="00125856" w:rsidRPr="00125856" w:rsidRDefault="00125856" w:rsidP="00B95BDA">
      <w:pPr>
        <w:pStyle w:val="NoSpacing"/>
        <w:jc w:val="both"/>
        <w:rPr>
          <w:rFonts w:ascii="Times New Roman" w:hAnsi="Times New Roman"/>
          <w:bCs/>
        </w:rPr>
      </w:pPr>
    </w:p>
    <w:p w14:paraId="5A032744" w14:textId="77777777" w:rsidR="00BE0F17" w:rsidRPr="00C314C4" w:rsidRDefault="00BE0F17" w:rsidP="00BE0F17">
      <w:pPr>
        <w:pStyle w:val="NoSpacing"/>
        <w:jc w:val="both"/>
        <w:rPr>
          <w:rFonts w:asciiTheme="majorBidi" w:hAnsiTheme="majorBidi" w:cstheme="majorBidi"/>
          <w:iCs/>
          <w:sz w:val="24"/>
          <w:szCs w:val="24"/>
        </w:rPr>
      </w:pPr>
    </w:p>
    <w:p w14:paraId="7A4503CD" w14:textId="77777777" w:rsidR="00CB0763" w:rsidRPr="00CB0763" w:rsidRDefault="00CB0763" w:rsidP="00CB0763">
      <w:pPr>
        <w:pStyle w:val="NoSpacing"/>
        <w:jc w:val="both"/>
        <w:rPr>
          <w:rFonts w:ascii="Times New Roman" w:hAnsi="Times New Roman"/>
          <w:b/>
          <w:bCs/>
          <w:sz w:val="24"/>
          <w:szCs w:val="24"/>
          <w:lang w:val="en-ID"/>
        </w:rPr>
      </w:pPr>
      <w:r w:rsidRPr="00CB0763">
        <w:rPr>
          <w:rFonts w:ascii="Times New Roman" w:hAnsi="Times New Roman"/>
          <w:b/>
          <w:bCs/>
          <w:sz w:val="24"/>
          <w:szCs w:val="24"/>
          <w:lang w:val="en-ID"/>
        </w:rPr>
        <w:t>2. METHOD</w:t>
      </w:r>
    </w:p>
    <w:p w14:paraId="44AFCFC0" w14:textId="77777777" w:rsidR="00CB0763" w:rsidRPr="00CB0763" w:rsidRDefault="00CB0763" w:rsidP="00CB0763">
      <w:pPr>
        <w:pStyle w:val="NoSpacing"/>
        <w:spacing w:before="200"/>
        <w:jc w:val="both"/>
        <w:rPr>
          <w:rFonts w:ascii="Times New Roman" w:hAnsi="Times New Roman"/>
          <w:sz w:val="24"/>
          <w:szCs w:val="24"/>
          <w:lang w:val="en-ID"/>
        </w:rPr>
      </w:pPr>
      <w:r w:rsidRPr="00CB0763">
        <w:rPr>
          <w:rFonts w:ascii="Times New Roman" w:hAnsi="Times New Roman"/>
          <w:sz w:val="24"/>
          <w:szCs w:val="24"/>
          <w:lang w:val="en-ID"/>
        </w:rPr>
        <w:t>This study employed a comparative cross-sectional within-subject diagnostic validation design. No intervention or randomization was applied, and each participant underwent two oral hygiene assessments to allow paired comparison between methods.</w:t>
      </w:r>
    </w:p>
    <w:p w14:paraId="27C1D164" w14:textId="77777777" w:rsidR="00CB0763" w:rsidRPr="00CB0763" w:rsidRDefault="00CB0763" w:rsidP="00CB0763">
      <w:pPr>
        <w:pStyle w:val="NoSpacing"/>
        <w:spacing w:before="200"/>
        <w:jc w:val="both"/>
        <w:rPr>
          <w:rFonts w:ascii="Times New Roman" w:hAnsi="Times New Roman"/>
          <w:b/>
          <w:bCs/>
          <w:sz w:val="24"/>
          <w:szCs w:val="24"/>
          <w:lang w:val="en-ID"/>
        </w:rPr>
      </w:pPr>
      <w:r w:rsidRPr="00CB0763">
        <w:rPr>
          <w:rFonts w:ascii="Times New Roman" w:hAnsi="Times New Roman"/>
          <w:b/>
          <w:bCs/>
          <w:sz w:val="24"/>
          <w:szCs w:val="24"/>
          <w:lang w:val="en-ID"/>
        </w:rPr>
        <w:t>Setting and Participants</w:t>
      </w:r>
    </w:p>
    <w:p w14:paraId="518ABE99" w14:textId="77777777" w:rsidR="00CB0763" w:rsidRPr="00CB0763" w:rsidRDefault="00CB0763" w:rsidP="00CB0763">
      <w:pPr>
        <w:pStyle w:val="NoSpacing"/>
        <w:jc w:val="both"/>
        <w:rPr>
          <w:rFonts w:ascii="Times New Roman" w:hAnsi="Times New Roman"/>
          <w:sz w:val="24"/>
          <w:szCs w:val="24"/>
          <w:lang w:val="en-ID"/>
        </w:rPr>
      </w:pPr>
      <w:r w:rsidRPr="00CB0763">
        <w:rPr>
          <w:rFonts w:ascii="Times New Roman" w:hAnsi="Times New Roman"/>
          <w:sz w:val="24"/>
          <w:szCs w:val="24"/>
          <w:lang w:val="en-ID"/>
        </w:rPr>
        <w:t>The study was conducted at SDN Pudakpayung 02 Semarang in November 2023. The total population consisted of 237 students in grades 1–6. Purposive sampling was performed following screening by trained examiners. Inclusion criteria required the presence of all six OHI-S index teeth and the absence of caries or extraction affecting these teeth. A total of 192 students met the eligibility criteria and consented to participate.</w:t>
      </w:r>
    </w:p>
    <w:p w14:paraId="52BEC22E" w14:textId="77777777" w:rsidR="00CB0763" w:rsidRPr="00CB0763" w:rsidRDefault="00CB0763" w:rsidP="00CB0763">
      <w:pPr>
        <w:pStyle w:val="NoSpacing"/>
        <w:spacing w:before="200"/>
        <w:jc w:val="both"/>
        <w:rPr>
          <w:rFonts w:ascii="Times New Roman" w:hAnsi="Times New Roman"/>
          <w:b/>
          <w:bCs/>
          <w:sz w:val="24"/>
          <w:szCs w:val="24"/>
          <w:lang w:val="en-ID"/>
        </w:rPr>
      </w:pPr>
      <w:r w:rsidRPr="00CB0763">
        <w:rPr>
          <w:rFonts w:ascii="Times New Roman" w:hAnsi="Times New Roman"/>
          <w:b/>
          <w:bCs/>
          <w:sz w:val="24"/>
          <w:szCs w:val="24"/>
          <w:lang w:val="en-ID"/>
        </w:rPr>
        <w:t>Measurement Procedures</w:t>
      </w:r>
    </w:p>
    <w:p w14:paraId="7B2C4D4D" w14:textId="77777777" w:rsidR="00CB0763" w:rsidRPr="00CB0763" w:rsidRDefault="00CB0763" w:rsidP="00CB0763">
      <w:pPr>
        <w:pStyle w:val="NoSpacing"/>
        <w:jc w:val="both"/>
        <w:rPr>
          <w:rFonts w:ascii="Times New Roman" w:hAnsi="Times New Roman"/>
          <w:sz w:val="24"/>
          <w:szCs w:val="24"/>
          <w:lang w:val="en-ID"/>
        </w:rPr>
      </w:pPr>
      <w:r w:rsidRPr="00CB0763">
        <w:rPr>
          <w:rFonts w:ascii="Times New Roman" w:hAnsi="Times New Roman"/>
          <w:sz w:val="24"/>
          <w:szCs w:val="24"/>
          <w:lang w:val="en-ID"/>
        </w:rPr>
        <w:t>Each participant underwent two examinations:</w:t>
      </w:r>
    </w:p>
    <w:p w14:paraId="6D9E8712" w14:textId="77777777" w:rsidR="00CB0763" w:rsidRPr="00CB0763" w:rsidRDefault="00CB0763" w:rsidP="00A350FE">
      <w:pPr>
        <w:pStyle w:val="NoSpacing"/>
        <w:numPr>
          <w:ilvl w:val="0"/>
          <w:numId w:val="10"/>
        </w:numPr>
        <w:tabs>
          <w:tab w:val="clear" w:pos="720"/>
          <w:tab w:val="num" w:pos="284"/>
        </w:tabs>
        <w:ind w:left="284" w:hanging="284"/>
        <w:rPr>
          <w:rFonts w:ascii="Times New Roman" w:hAnsi="Times New Roman"/>
          <w:sz w:val="24"/>
          <w:szCs w:val="24"/>
          <w:lang w:val="en-ID"/>
        </w:rPr>
      </w:pPr>
      <w:r w:rsidRPr="00CB0763">
        <w:rPr>
          <w:rFonts w:ascii="Times New Roman" w:hAnsi="Times New Roman"/>
          <w:sz w:val="24"/>
          <w:szCs w:val="24"/>
          <w:lang w:val="en-ID"/>
        </w:rPr>
        <w:t>Standard OHI-S (Debris Index)</w:t>
      </w:r>
      <w:r w:rsidRPr="00CB0763">
        <w:rPr>
          <w:rFonts w:ascii="Times New Roman" w:hAnsi="Times New Roman"/>
          <w:sz w:val="24"/>
          <w:szCs w:val="24"/>
          <w:lang w:val="en-ID"/>
        </w:rPr>
        <w:br/>
        <w:t>Six index teeth representing buccal, labial, and lingual surfaces were examined and scored from 0 to 3 according to Greene and Vermillion criteria.</w:t>
      </w:r>
    </w:p>
    <w:p w14:paraId="75B0A05E" w14:textId="77777777" w:rsidR="00CB0763" w:rsidRPr="00CB0763" w:rsidRDefault="00CB0763" w:rsidP="00A350FE">
      <w:pPr>
        <w:pStyle w:val="NoSpacing"/>
        <w:numPr>
          <w:ilvl w:val="0"/>
          <w:numId w:val="10"/>
        </w:numPr>
        <w:tabs>
          <w:tab w:val="clear" w:pos="720"/>
          <w:tab w:val="num" w:pos="284"/>
        </w:tabs>
        <w:ind w:left="284" w:hanging="284"/>
        <w:rPr>
          <w:rFonts w:ascii="Times New Roman" w:hAnsi="Times New Roman"/>
          <w:sz w:val="24"/>
          <w:szCs w:val="24"/>
          <w:lang w:val="en-ID"/>
        </w:rPr>
      </w:pPr>
      <w:r w:rsidRPr="00CB0763">
        <w:rPr>
          <w:rFonts w:ascii="Times New Roman" w:hAnsi="Times New Roman"/>
          <w:sz w:val="24"/>
          <w:szCs w:val="24"/>
          <w:lang w:val="en-ID"/>
        </w:rPr>
        <w:t>Modified O’Leary Plaque Index</w:t>
      </w:r>
      <w:r w:rsidRPr="00CB0763">
        <w:rPr>
          <w:rFonts w:ascii="Times New Roman" w:hAnsi="Times New Roman"/>
          <w:sz w:val="24"/>
          <w:szCs w:val="24"/>
          <w:lang w:val="en-ID"/>
        </w:rPr>
        <w:br/>
        <w:t>Plaque was disclosed on all teeth; however, only labial/oral surfaces were assessed. These surfaces were selected due to their accessibility and sensitivity as early indicators of oral hygiene status. Each stained surface was scored as 1 and unstained as 0. The percentage score was categorized as follows:</w:t>
      </w:r>
    </w:p>
    <w:p w14:paraId="14052678" w14:textId="77777777" w:rsidR="00CB0763" w:rsidRPr="00CB0763" w:rsidRDefault="00CB0763" w:rsidP="00A350FE">
      <w:pPr>
        <w:pStyle w:val="NoSpacing"/>
        <w:numPr>
          <w:ilvl w:val="0"/>
          <w:numId w:val="11"/>
        </w:numPr>
        <w:tabs>
          <w:tab w:val="clear" w:pos="720"/>
          <w:tab w:val="num" w:pos="284"/>
        </w:tabs>
        <w:ind w:left="284" w:hanging="284"/>
        <w:jc w:val="both"/>
        <w:rPr>
          <w:rFonts w:ascii="Times New Roman" w:hAnsi="Times New Roman"/>
          <w:sz w:val="24"/>
          <w:szCs w:val="24"/>
          <w:lang w:val="en-ID"/>
        </w:rPr>
      </w:pPr>
      <w:r w:rsidRPr="00CB0763">
        <w:rPr>
          <w:rFonts w:ascii="Times New Roman" w:hAnsi="Times New Roman"/>
          <w:sz w:val="24"/>
          <w:szCs w:val="24"/>
          <w:lang w:val="en-ID"/>
        </w:rPr>
        <w:t>&lt;34% = good</w:t>
      </w:r>
    </w:p>
    <w:p w14:paraId="24A187DC" w14:textId="77777777" w:rsidR="00CB0763" w:rsidRPr="00CB0763" w:rsidRDefault="00CB0763" w:rsidP="00A350FE">
      <w:pPr>
        <w:pStyle w:val="NoSpacing"/>
        <w:numPr>
          <w:ilvl w:val="0"/>
          <w:numId w:val="11"/>
        </w:numPr>
        <w:tabs>
          <w:tab w:val="clear" w:pos="720"/>
          <w:tab w:val="num" w:pos="284"/>
        </w:tabs>
        <w:ind w:left="284" w:hanging="284"/>
        <w:jc w:val="both"/>
        <w:rPr>
          <w:rFonts w:ascii="Times New Roman" w:hAnsi="Times New Roman"/>
          <w:sz w:val="24"/>
          <w:szCs w:val="24"/>
          <w:lang w:val="en-ID"/>
        </w:rPr>
      </w:pPr>
      <w:r w:rsidRPr="00CB0763">
        <w:rPr>
          <w:rFonts w:ascii="Times New Roman" w:hAnsi="Times New Roman"/>
          <w:sz w:val="24"/>
          <w:szCs w:val="24"/>
          <w:lang w:val="en-ID"/>
        </w:rPr>
        <w:t>34–67% = moderate</w:t>
      </w:r>
    </w:p>
    <w:p w14:paraId="63E5DA96" w14:textId="77777777" w:rsidR="00CB0763" w:rsidRPr="00CB0763" w:rsidRDefault="00CB0763" w:rsidP="00A350FE">
      <w:pPr>
        <w:pStyle w:val="NoSpacing"/>
        <w:numPr>
          <w:ilvl w:val="0"/>
          <w:numId w:val="11"/>
        </w:numPr>
        <w:tabs>
          <w:tab w:val="clear" w:pos="720"/>
          <w:tab w:val="num" w:pos="284"/>
        </w:tabs>
        <w:ind w:left="284" w:hanging="284"/>
        <w:jc w:val="both"/>
        <w:rPr>
          <w:rFonts w:ascii="Times New Roman" w:hAnsi="Times New Roman"/>
          <w:sz w:val="24"/>
          <w:szCs w:val="24"/>
          <w:lang w:val="en-ID"/>
        </w:rPr>
      </w:pPr>
      <w:r w:rsidRPr="00CB0763">
        <w:rPr>
          <w:rFonts w:ascii="Times New Roman" w:hAnsi="Times New Roman"/>
          <w:sz w:val="24"/>
          <w:szCs w:val="24"/>
          <w:lang w:val="en-ID"/>
        </w:rPr>
        <w:t>68–100% = poor</w:t>
      </w:r>
    </w:p>
    <w:p w14:paraId="03FF9A44" w14:textId="77777777" w:rsidR="00CB0763" w:rsidRPr="00CB0763" w:rsidRDefault="00CB0763" w:rsidP="00CB0763">
      <w:pPr>
        <w:pStyle w:val="NoSpacing"/>
        <w:jc w:val="both"/>
        <w:rPr>
          <w:rFonts w:ascii="Times New Roman" w:hAnsi="Times New Roman"/>
          <w:sz w:val="24"/>
          <w:szCs w:val="24"/>
          <w:lang w:val="en-ID"/>
        </w:rPr>
      </w:pPr>
      <w:r w:rsidRPr="00CB0763">
        <w:rPr>
          <w:rFonts w:ascii="Times New Roman" w:hAnsi="Times New Roman"/>
          <w:sz w:val="24"/>
          <w:szCs w:val="24"/>
          <w:lang w:val="en-ID"/>
        </w:rPr>
        <w:t>Validity and Reliability</w:t>
      </w:r>
    </w:p>
    <w:p w14:paraId="7FCDDA26" w14:textId="77777777" w:rsidR="00CB0763" w:rsidRPr="00CB0763" w:rsidRDefault="00CB0763" w:rsidP="00CB0763">
      <w:pPr>
        <w:pStyle w:val="NoSpacing"/>
        <w:jc w:val="both"/>
        <w:rPr>
          <w:rFonts w:ascii="Times New Roman" w:hAnsi="Times New Roman"/>
          <w:sz w:val="24"/>
          <w:szCs w:val="24"/>
          <w:lang w:val="en-ID"/>
        </w:rPr>
      </w:pPr>
      <w:r w:rsidRPr="00CB0763">
        <w:rPr>
          <w:rFonts w:ascii="Times New Roman" w:hAnsi="Times New Roman"/>
          <w:sz w:val="24"/>
          <w:szCs w:val="24"/>
          <w:lang w:val="en-ID"/>
        </w:rPr>
        <w:t>Content validity of the modified index was evaluated by five experts using Aiken’s V. All items exceeded the minimum threshold value of 0.80. Reliability was examined using the Intraclass Correlation Coefficient (ICC), applying a Shrout and Fleiss two-way random-effects model (average measures). The ICC value of 0.671 indicated moderate inter-rater reliability.</w:t>
      </w:r>
    </w:p>
    <w:p w14:paraId="1736CD88" w14:textId="77777777" w:rsidR="00CB0763" w:rsidRPr="00CB0763" w:rsidRDefault="00CB0763" w:rsidP="00CB0763">
      <w:pPr>
        <w:pStyle w:val="NoSpacing"/>
        <w:spacing w:before="200"/>
        <w:jc w:val="both"/>
        <w:rPr>
          <w:rFonts w:ascii="Times New Roman" w:hAnsi="Times New Roman"/>
          <w:b/>
          <w:bCs/>
          <w:sz w:val="24"/>
          <w:szCs w:val="24"/>
          <w:lang w:val="en-ID"/>
        </w:rPr>
      </w:pPr>
      <w:r w:rsidRPr="00CB0763">
        <w:rPr>
          <w:rFonts w:ascii="Times New Roman" w:hAnsi="Times New Roman"/>
          <w:b/>
          <w:bCs/>
          <w:sz w:val="24"/>
          <w:szCs w:val="24"/>
          <w:lang w:val="en-ID"/>
        </w:rPr>
        <w:t>Data Analysis</w:t>
      </w:r>
    </w:p>
    <w:p w14:paraId="2C779946" w14:textId="77777777" w:rsidR="00CB0763" w:rsidRPr="00CB0763" w:rsidRDefault="00CB0763" w:rsidP="00CB0763">
      <w:pPr>
        <w:pStyle w:val="NoSpacing"/>
        <w:jc w:val="both"/>
        <w:rPr>
          <w:rFonts w:ascii="Times New Roman" w:hAnsi="Times New Roman"/>
          <w:sz w:val="24"/>
          <w:szCs w:val="24"/>
          <w:lang w:val="en-ID"/>
        </w:rPr>
      </w:pPr>
      <w:r w:rsidRPr="00CB0763">
        <w:rPr>
          <w:rFonts w:ascii="Times New Roman" w:hAnsi="Times New Roman"/>
          <w:sz w:val="24"/>
          <w:szCs w:val="24"/>
          <w:lang w:val="en-ID"/>
        </w:rPr>
        <w:t>Descriptive statistics were used to summarize oral hygiene status categories. Differences between the OHI-S and the modified O’Leary plaque index were analyzed using the Wilcoxon signed-rank test with a significance level of α = 0.05. Homogeneity testing was conducted to evaluate distribution equivalence between the two methods.</w:t>
      </w:r>
    </w:p>
    <w:p w14:paraId="5C9C8123" w14:textId="3016EB13" w:rsidR="00125856" w:rsidRDefault="00125856" w:rsidP="00125856">
      <w:pPr>
        <w:pStyle w:val="NoSpacing"/>
        <w:jc w:val="both"/>
        <w:rPr>
          <w:rFonts w:ascii="Times New Roman" w:hAnsi="Times New Roman"/>
          <w:sz w:val="24"/>
          <w:szCs w:val="24"/>
          <w:lang w:val="en-ID"/>
        </w:rPr>
      </w:pPr>
    </w:p>
    <w:p w14:paraId="430F979F" w14:textId="77777777" w:rsidR="00125856" w:rsidRDefault="00125856" w:rsidP="00125856">
      <w:pPr>
        <w:pStyle w:val="NoSpacing"/>
        <w:jc w:val="both"/>
        <w:rPr>
          <w:rFonts w:ascii="Times New Roman" w:hAnsi="Times New Roman"/>
          <w:sz w:val="24"/>
          <w:szCs w:val="24"/>
          <w:lang w:val="en-ID"/>
        </w:rPr>
      </w:pPr>
    </w:p>
    <w:p w14:paraId="5C64D596" w14:textId="77777777" w:rsidR="008E01B7" w:rsidRDefault="008E01B7" w:rsidP="00B31766">
      <w:pPr>
        <w:pStyle w:val="NoSpacing"/>
        <w:rPr>
          <w:rFonts w:ascii="Times New Roman" w:hAnsi="Times New Roman"/>
          <w:b/>
          <w:color w:val="000000"/>
          <w:sz w:val="24"/>
          <w:szCs w:val="24"/>
        </w:rPr>
      </w:pPr>
    </w:p>
    <w:p w14:paraId="73B4D1E9" w14:textId="30CB6008" w:rsidR="001D6C3F" w:rsidRPr="001D6C3F" w:rsidRDefault="001D6C3F" w:rsidP="001D6C3F">
      <w:pPr>
        <w:pStyle w:val="NoSpacing"/>
        <w:jc w:val="both"/>
        <w:rPr>
          <w:rFonts w:ascii="Times New Roman" w:hAnsi="Times New Roman"/>
          <w:b/>
          <w:bCs/>
          <w:color w:val="000000"/>
          <w:sz w:val="24"/>
          <w:szCs w:val="24"/>
          <w:lang w:val="en-ID"/>
        </w:rPr>
      </w:pPr>
      <w:r w:rsidRPr="001D6C3F">
        <w:rPr>
          <w:rFonts w:ascii="Times New Roman" w:hAnsi="Times New Roman"/>
          <w:b/>
          <w:bCs/>
          <w:color w:val="000000"/>
          <w:sz w:val="24"/>
          <w:szCs w:val="24"/>
          <w:lang w:val="en-ID"/>
        </w:rPr>
        <w:t>3</w:t>
      </w:r>
      <w:r w:rsidR="003E3A35">
        <w:rPr>
          <w:rFonts w:ascii="Times New Roman" w:hAnsi="Times New Roman"/>
          <w:b/>
          <w:bCs/>
          <w:color w:val="000000"/>
          <w:sz w:val="24"/>
          <w:szCs w:val="24"/>
          <w:lang w:val="en-ID"/>
        </w:rPr>
        <w:t>.</w:t>
      </w:r>
      <w:r w:rsidRPr="001D6C3F">
        <w:rPr>
          <w:rFonts w:ascii="Times New Roman" w:hAnsi="Times New Roman"/>
          <w:b/>
          <w:bCs/>
          <w:color w:val="000000"/>
          <w:sz w:val="24"/>
          <w:szCs w:val="24"/>
          <w:lang w:val="en-ID"/>
        </w:rPr>
        <w:t xml:space="preserve"> Results</w:t>
      </w:r>
    </w:p>
    <w:p w14:paraId="7AE5D645" w14:textId="77777777" w:rsidR="001D6C3F" w:rsidRPr="001D6C3F" w:rsidRDefault="001D6C3F" w:rsidP="001D6C3F">
      <w:pPr>
        <w:pStyle w:val="NoSpacing"/>
        <w:jc w:val="both"/>
        <w:rPr>
          <w:rFonts w:ascii="Times New Roman" w:hAnsi="Times New Roman"/>
          <w:b/>
          <w:bCs/>
          <w:color w:val="000000"/>
          <w:sz w:val="24"/>
          <w:szCs w:val="24"/>
          <w:lang w:val="en-ID"/>
        </w:rPr>
      </w:pPr>
      <w:r w:rsidRPr="001D6C3F">
        <w:rPr>
          <w:rFonts w:ascii="Times New Roman" w:hAnsi="Times New Roman"/>
          <w:b/>
          <w:bCs/>
          <w:color w:val="000000"/>
          <w:sz w:val="24"/>
          <w:szCs w:val="24"/>
          <w:lang w:val="en-ID"/>
        </w:rPr>
        <w:t>Oral Hygiene Status Using the Standard OHI-S (Debris Index)</w:t>
      </w:r>
    </w:p>
    <w:p w14:paraId="5E5A145E" w14:textId="77777777" w:rsidR="001D6C3F" w:rsidRDefault="001D6C3F" w:rsidP="001D6C3F">
      <w:pPr>
        <w:pStyle w:val="NoSpacing"/>
        <w:jc w:val="both"/>
        <w:rPr>
          <w:rFonts w:ascii="Times New Roman" w:hAnsi="Times New Roman"/>
          <w:color w:val="000000"/>
          <w:sz w:val="24"/>
          <w:szCs w:val="24"/>
          <w:lang w:val="en-ID"/>
        </w:rPr>
      </w:pPr>
      <w:r w:rsidRPr="001D6C3F">
        <w:rPr>
          <w:rFonts w:ascii="Times New Roman" w:hAnsi="Times New Roman"/>
          <w:color w:val="000000"/>
          <w:sz w:val="24"/>
          <w:szCs w:val="24"/>
          <w:lang w:val="en-ID"/>
        </w:rPr>
        <w:t>A total of 192 students were assessed using the standard OHI-S debris index developed by Greene and Vermillion. The distribution of oral hygiene status is presented in Table 1. Most students were classified in the moderate category (45.3%), followed by the good category (38.5%), while the smallest proportion was categorized as poor (16.1%).</w:t>
      </w:r>
    </w:p>
    <w:p w14:paraId="13E75B4F" w14:textId="636CEB74" w:rsidR="003E3A35" w:rsidRDefault="003E3A35" w:rsidP="003E3A35">
      <w:pPr>
        <w:spacing w:after="0" w:line="240" w:lineRule="auto"/>
        <w:jc w:val="both"/>
        <w:rPr>
          <w:rFonts w:ascii="Times New Roman" w:hAnsi="Times New Roman"/>
          <w:b/>
          <w:bCs/>
          <w:sz w:val="20"/>
          <w:szCs w:val="20"/>
          <w:lang w:val="en-ID" w:eastAsia="en-ID"/>
        </w:rPr>
      </w:pPr>
      <w:r w:rsidRPr="00216567">
        <w:rPr>
          <w:rFonts w:ascii="Times New Roman" w:hAnsi="Times New Roman"/>
          <w:b/>
          <w:bCs/>
          <w:sz w:val="20"/>
          <w:szCs w:val="20"/>
          <w:lang w:val="en-ID" w:eastAsia="en-ID"/>
        </w:rPr>
        <w:t>Table 1</w:t>
      </w:r>
    </w:p>
    <w:p w14:paraId="6AB3EC00" w14:textId="6491B474" w:rsidR="003E3A35" w:rsidRPr="003E3A35" w:rsidRDefault="003E3A35" w:rsidP="003E3A35">
      <w:pPr>
        <w:spacing w:after="0" w:line="240" w:lineRule="auto"/>
        <w:jc w:val="both"/>
        <w:rPr>
          <w:rFonts w:ascii="Times New Roman" w:hAnsi="Times New Roman"/>
          <w:b/>
          <w:bCs/>
          <w:sz w:val="20"/>
          <w:szCs w:val="20"/>
          <w:lang w:val="en-ID" w:eastAsia="en-ID"/>
        </w:rPr>
      </w:pPr>
      <w:r>
        <w:rPr>
          <w:rFonts w:ascii="Times New Roman" w:hAnsi="Times New Roman"/>
          <w:noProof/>
          <w:lang w:val="en-ID" w:eastAsia="en-ID"/>
        </w:rPr>
        <w:drawing>
          <wp:anchor distT="0" distB="0" distL="114300" distR="114300" simplePos="0" relativeHeight="251658240" behindDoc="0" locked="0" layoutInCell="1" allowOverlap="1" wp14:anchorId="477DC5B2" wp14:editId="44C4B4E2">
            <wp:simplePos x="0" y="0"/>
            <wp:positionH relativeFrom="margin">
              <wp:align>left</wp:align>
            </wp:positionH>
            <wp:positionV relativeFrom="paragraph">
              <wp:posOffset>195580</wp:posOffset>
            </wp:positionV>
            <wp:extent cx="2674620" cy="1912620"/>
            <wp:effectExtent l="0" t="0" r="0" b="0"/>
            <wp:wrapTopAndBottom/>
            <wp:docPr id="20790295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74620" cy="1912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DC0377" w14:textId="7B8DC22F" w:rsidR="003E3A35" w:rsidRPr="003E3A35" w:rsidRDefault="003E3A35" w:rsidP="003E3A35">
      <w:pPr>
        <w:spacing w:after="0" w:line="240" w:lineRule="auto"/>
        <w:rPr>
          <w:rFonts w:ascii="Times New Roman" w:hAnsi="Times New Roman"/>
          <w:b/>
          <w:bCs/>
          <w:sz w:val="20"/>
          <w:szCs w:val="20"/>
          <w:lang w:val="en-ID" w:eastAsia="en-ID"/>
        </w:rPr>
      </w:pPr>
      <w:r w:rsidRPr="003E3A35">
        <w:rPr>
          <w:rFonts w:ascii="Times New Roman" w:hAnsi="Times New Roman"/>
          <w:b/>
          <w:bCs/>
          <w:i/>
          <w:iCs/>
          <w:sz w:val="20"/>
          <w:szCs w:val="20"/>
          <w:lang w:val="en-ID" w:eastAsia="en-ID"/>
        </w:rPr>
        <w:t>Figure 1. Oral Hygiene Status Using Debris Index (OHI-S)</w:t>
      </w:r>
    </w:p>
    <w:p w14:paraId="2351C1D1" w14:textId="77777777" w:rsidR="003E3A35" w:rsidRPr="001D6C3F" w:rsidRDefault="003E3A35" w:rsidP="001D6C3F">
      <w:pPr>
        <w:pStyle w:val="NoSpacing"/>
        <w:jc w:val="both"/>
        <w:rPr>
          <w:rFonts w:ascii="Times New Roman" w:hAnsi="Times New Roman"/>
          <w:color w:val="000000"/>
          <w:sz w:val="24"/>
          <w:szCs w:val="24"/>
          <w:lang w:val="en-ID"/>
        </w:rPr>
      </w:pPr>
    </w:p>
    <w:p w14:paraId="40CC4B5E" w14:textId="77777777" w:rsidR="001D6C3F" w:rsidRPr="001D6C3F" w:rsidRDefault="001D6C3F" w:rsidP="001D6C3F">
      <w:pPr>
        <w:pStyle w:val="NoSpacing"/>
        <w:jc w:val="both"/>
        <w:rPr>
          <w:rFonts w:ascii="Times New Roman" w:hAnsi="Times New Roman"/>
          <w:b/>
          <w:bCs/>
          <w:color w:val="000000"/>
          <w:sz w:val="24"/>
          <w:szCs w:val="24"/>
          <w:lang w:val="en-ID"/>
        </w:rPr>
      </w:pPr>
      <w:r w:rsidRPr="001D6C3F">
        <w:rPr>
          <w:rFonts w:ascii="Times New Roman" w:hAnsi="Times New Roman"/>
          <w:b/>
          <w:bCs/>
          <w:color w:val="000000"/>
          <w:sz w:val="24"/>
          <w:szCs w:val="24"/>
          <w:lang w:val="en-ID"/>
        </w:rPr>
        <w:t>Oral Hygiene Status Using the Modified O’Leary Plaque Index</w:t>
      </w:r>
    </w:p>
    <w:p w14:paraId="78741A3B" w14:textId="77777777" w:rsidR="001D6C3F" w:rsidRDefault="001D6C3F" w:rsidP="001D6C3F">
      <w:pPr>
        <w:pStyle w:val="NoSpacing"/>
        <w:jc w:val="both"/>
        <w:rPr>
          <w:rFonts w:ascii="Times New Roman" w:hAnsi="Times New Roman"/>
          <w:color w:val="000000"/>
          <w:sz w:val="24"/>
          <w:szCs w:val="24"/>
          <w:lang w:val="en-ID"/>
        </w:rPr>
      </w:pPr>
      <w:r w:rsidRPr="001D6C3F">
        <w:rPr>
          <w:rFonts w:ascii="Times New Roman" w:hAnsi="Times New Roman"/>
          <w:color w:val="000000"/>
          <w:sz w:val="24"/>
          <w:szCs w:val="24"/>
          <w:lang w:val="en-ID"/>
        </w:rPr>
        <w:t>Assessment using the modified O’Leary plaque index yielded a similar distribution (Table 2). The largest proportion of students fell into the moderate category (41.7%), followed by the good category (32.3%), and the poor category (26.0%).</w:t>
      </w:r>
    </w:p>
    <w:p w14:paraId="31EF6949" w14:textId="7CD45E19" w:rsidR="003E3A35" w:rsidRPr="00203409" w:rsidRDefault="003E3A35" w:rsidP="003E3A35">
      <w:pPr>
        <w:spacing w:after="0" w:line="240" w:lineRule="auto"/>
        <w:jc w:val="both"/>
        <w:rPr>
          <w:rFonts w:ascii="Times New Roman" w:hAnsi="Times New Roman"/>
          <w:b/>
          <w:bCs/>
          <w:i/>
          <w:iCs/>
          <w:sz w:val="20"/>
          <w:szCs w:val="20"/>
          <w:lang w:val="en-ID" w:eastAsia="en-ID"/>
        </w:rPr>
      </w:pPr>
      <w:r>
        <w:rPr>
          <w:rFonts w:ascii="Times New Roman" w:hAnsi="Times New Roman"/>
          <w:noProof/>
          <w:lang w:val="en-ID" w:eastAsia="en-ID"/>
        </w:rPr>
        <w:drawing>
          <wp:anchor distT="0" distB="0" distL="114300" distR="114300" simplePos="0" relativeHeight="251659264" behindDoc="0" locked="0" layoutInCell="1" allowOverlap="1" wp14:anchorId="7508C541" wp14:editId="51D73A52">
            <wp:simplePos x="0" y="0"/>
            <wp:positionH relativeFrom="column">
              <wp:posOffset>-11430</wp:posOffset>
            </wp:positionH>
            <wp:positionV relativeFrom="paragraph">
              <wp:posOffset>144780</wp:posOffset>
            </wp:positionV>
            <wp:extent cx="2682240" cy="1767840"/>
            <wp:effectExtent l="0" t="0" r="3810" b="3810"/>
            <wp:wrapTopAndBottom/>
            <wp:docPr id="8158452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82240" cy="176784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b/>
          <w:bCs/>
          <w:i/>
          <w:iCs/>
          <w:sz w:val="20"/>
          <w:szCs w:val="20"/>
          <w:lang w:val="en-ID" w:eastAsia="en-ID"/>
        </w:rPr>
        <w:t xml:space="preserve">Figure 2. </w:t>
      </w:r>
      <w:r w:rsidRPr="00203409">
        <w:rPr>
          <w:rFonts w:ascii="Times New Roman" w:hAnsi="Times New Roman"/>
          <w:b/>
          <w:bCs/>
          <w:i/>
          <w:iCs/>
          <w:sz w:val="20"/>
          <w:szCs w:val="20"/>
          <w:lang w:val="en-ID" w:eastAsia="en-ID"/>
        </w:rPr>
        <w:t>Oral Hygiene Status Using Modified O’Leary Plaque Index</w:t>
      </w:r>
    </w:p>
    <w:p w14:paraId="79625DD4" w14:textId="77777777" w:rsidR="003E3A35" w:rsidRPr="001D6C3F" w:rsidRDefault="003E3A35" w:rsidP="001D6C3F">
      <w:pPr>
        <w:pStyle w:val="NoSpacing"/>
        <w:jc w:val="both"/>
        <w:rPr>
          <w:rFonts w:ascii="Times New Roman" w:hAnsi="Times New Roman"/>
          <w:color w:val="000000"/>
          <w:sz w:val="24"/>
          <w:szCs w:val="24"/>
          <w:lang w:val="en-ID"/>
        </w:rPr>
      </w:pPr>
    </w:p>
    <w:p w14:paraId="191F3568" w14:textId="77777777" w:rsidR="001D6C3F" w:rsidRPr="001D6C3F" w:rsidRDefault="001D6C3F" w:rsidP="001D6C3F">
      <w:pPr>
        <w:pStyle w:val="NoSpacing"/>
        <w:jc w:val="both"/>
        <w:rPr>
          <w:rFonts w:ascii="Times New Roman" w:hAnsi="Times New Roman"/>
          <w:b/>
          <w:bCs/>
          <w:color w:val="000000"/>
          <w:sz w:val="24"/>
          <w:szCs w:val="24"/>
          <w:lang w:val="en-ID"/>
        </w:rPr>
      </w:pPr>
      <w:r w:rsidRPr="001D6C3F">
        <w:rPr>
          <w:rFonts w:ascii="Times New Roman" w:hAnsi="Times New Roman"/>
          <w:b/>
          <w:bCs/>
          <w:color w:val="000000"/>
          <w:sz w:val="24"/>
          <w:szCs w:val="24"/>
          <w:lang w:val="en-ID"/>
        </w:rPr>
        <w:t>Comparative Analysis Between Methods</w:t>
      </w:r>
    </w:p>
    <w:p w14:paraId="5D50A6E1" w14:textId="77777777" w:rsidR="001D6C3F" w:rsidRPr="001D6C3F" w:rsidRDefault="001D6C3F" w:rsidP="001D6C3F">
      <w:pPr>
        <w:pStyle w:val="NoSpacing"/>
        <w:jc w:val="both"/>
        <w:rPr>
          <w:rFonts w:ascii="Times New Roman" w:hAnsi="Times New Roman"/>
          <w:color w:val="000000"/>
          <w:sz w:val="24"/>
          <w:szCs w:val="24"/>
          <w:lang w:val="en-ID"/>
        </w:rPr>
      </w:pPr>
      <w:r w:rsidRPr="001D6C3F">
        <w:rPr>
          <w:rFonts w:ascii="Times New Roman" w:hAnsi="Times New Roman"/>
          <w:color w:val="000000"/>
          <w:sz w:val="24"/>
          <w:szCs w:val="24"/>
          <w:lang w:val="en-ID"/>
        </w:rPr>
        <w:t>A paired comparison using the Wilcoxon signed-rank test was conducted to determine whether significant differences existed between the two assessment methods. The test yielded a p-value of 0.225, indicating no statistically significant difference between the modified O’Leary plaque index and the standard OHI-S at the 95% confidence level (α = 0.05).</w:t>
      </w:r>
    </w:p>
    <w:p w14:paraId="7A1EE63E" w14:textId="77777777" w:rsidR="001D6C3F" w:rsidRPr="001D6C3F" w:rsidRDefault="001D6C3F" w:rsidP="001D6C3F">
      <w:pPr>
        <w:pStyle w:val="NoSpacing"/>
        <w:jc w:val="both"/>
        <w:rPr>
          <w:rFonts w:ascii="Times New Roman" w:hAnsi="Times New Roman"/>
          <w:color w:val="000000"/>
          <w:sz w:val="24"/>
          <w:szCs w:val="24"/>
          <w:lang w:val="en-ID"/>
        </w:rPr>
      </w:pPr>
      <w:r w:rsidRPr="001D6C3F">
        <w:rPr>
          <w:rFonts w:ascii="Times New Roman" w:hAnsi="Times New Roman"/>
          <w:color w:val="000000"/>
          <w:sz w:val="24"/>
          <w:szCs w:val="24"/>
          <w:lang w:val="en-ID"/>
        </w:rPr>
        <w:t>Homogeneity testing further demonstrated that the distribution of hygiene status categories between the two methods was statistically equivalent (p = 0.862).</w:t>
      </w:r>
    </w:p>
    <w:p w14:paraId="0E73D6EE" w14:textId="77777777" w:rsidR="001D6C3F" w:rsidRPr="001D6C3F" w:rsidRDefault="001D6C3F" w:rsidP="001D6C3F">
      <w:pPr>
        <w:pStyle w:val="NoSpacing"/>
        <w:jc w:val="both"/>
        <w:rPr>
          <w:rFonts w:ascii="Times New Roman" w:hAnsi="Times New Roman"/>
          <w:color w:val="000000"/>
          <w:sz w:val="24"/>
          <w:szCs w:val="24"/>
          <w:lang w:val="en-ID"/>
        </w:rPr>
      </w:pPr>
      <w:r w:rsidRPr="001D6C3F">
        <w:rPr>
          <w:rFonts w:ascii="Times New Roman" w:hAnsi="Times New Roman"/>
          <w:color w:val="000000"/>
          <w:sz w:val="24"/>
          <w:szCs w:val="24"/>
          <w:lang w:val="en-ID"/>
        </w:rPr>
        <w:t>Overall, these findings indicate comparable classification outcomes between the modified O’Leary plaque index and the standard OHI-S in assessing oral hygiene status among elementary school students at SDN Pudakpayung 02 Semarang.</w:t>
      </w:r>
    </w:p>
    <w:p w14:paraId="632D80AD" w14:textId="77777777" w:rsidR="00125856" w:rsidRPr="00125856" w:rsidRDefault="00125856" w:rsidP="00125856">
      <w:pPr>
        <w:pStyle w:val="NoSpacing"/>
        <w:jc w:val="both"/>
        <w:rPr>
          <w:rFonts w:ascii="Times New Roman" w:hAnsi="Times New Roman"/>
          <w:color w:val="000000"/>
          <w:sz w:val="24"/>
          <w:szCs w:val="24"/>
        </w:rPr>
      </w:pPr>
    </w:p>
    <w:p w14:paraId="63AE63AF" w14:textId="77777777" w:rsidR="00125856" w:rsidRDefault="00125856" w:rsidP="00125856">
      <w:pPr>
        <w:pStyle w:val="NoSpacing"/>
        <w:jc w:val="both"/>
        <w:rPr>
          <w:rFonts w:ascii="Times New Roman" w:hAnsi="Times New Roman"/>
          <w:color w:val="000000"/>
          <w:sz w:val="24"/>
          <w:szCs w:val="24"/>
        </w:rPr>
      </w:pPr>
    </w:p>
    <w:p w14:paraId="56B60162" w14:textId="77777777" w:rsidR="00C95E6B" w:rsidRDefault="00C95E6B" w:rsidP="00125856">
      <w:pPr>
        <w:pStyle w:val="NoSpacing"/>
        <w:jc w:val="both"/>
        <w:rPr>
          <w:rFonts w:ascii="Times New Roman" w:hAnsi="Times New Roman"/>
          <w:color w:val="000000"/>
          <w:sz w:val="24"/>
          <w:szCs w:val="24"/>
        </w:rPr>
      </w:pPr>
    </w:p>
    <w:p w14:paraId="3BCADDBA" w14:textId="77777777" w:rsidR="00C95E6B" w:rsidRPr="00125856" w:rsidRDefault="00C95E6B" w:rsidP="00125856">
      <w:pPr>
        <w:pStyle w:val="NoSpacing"/>
        <w:jc w:val="both"/>
        <w:rPr>
          <w:rFonts w:ascii="Times New Roman" w:hAnsi="Times New Roman"/>
          <w:color w:val="000000"/>
          <w:sz w:val="24"/>
          <w:szCs w:val="24"/>
        </w:rPr>
      </w:pPr>
    </w:p>
    <w:p w14:paraId="34330D90" w14:textId="3820352E" w:rsidR="00125856" w:rsidRPr="00125856" w:rsidRDefault="00063EAF" w:rsidP="00125856">
      <w:pPr>
        <w:pStyle w:val="NoSpacing"/>
        <w:jc w:val="both"/>
        <w:rPr>
          <w:rFonts w:ascii="Times New Roman" w:hAnsi="Times New Roman"/>
          <w:b/>
          <w:bCs/>
          <w:color w:val="000000"/>
          <w:sz w:val="24"/>
          <w:szCs w:val="24"/>
        </w:rPr>
      </w:pPr>
      <w:r>
        <w:rPr>
          <w:rFonts w:ascii="Times New Roman" w:hAnsi="Times New Roman"/>
          <w:b/>
          <w:bCs/>
          <w:color w:val="000000"/>
          <w:sz w:val="24"/>
          <w:szCs w:val="24"/>
        </w:rPr>
        <w:t xml:space="preserve">4. </w:t>
      </w:r>
      <w:r w:rsidR="00125856" w:rsidRPr="00125856">
        <w:rPr>
          <w:rFonts w:ascii="Times New Roman" w:hAnsi="Times New Roman"/>
          <w:b/>
          <w:bCs/>
          <w:color w:val="000000"/>
          <w:sz w:val="24"/>
          <w:szCs w:val="24"/>
        </w:rPr>
        <w:t>DISCUSSION</w:t>
      </w:r>
    </w:p>
    <w:p w14:paraId="1426260A" w14:textId="77777777" w:rsidR="003E3A35" w:rsidRPr="003E3A35" w:rsidRDefault="003E3A35" w:rsidP="00063EAF">
      <w:pPr>
        <w:pStyle w:val="NoSpacing"/>
        <w:spacing w:before="200"/>
        <w:jc w:val="both"/>
        <w:rPr>
          <w:rFonts w:ascii="Times New Roman" w:hAnsi="Times New Roman"/>
          <w:color w:val="000000"/>
          <w:sz w:val="24"/>
          <w:szCs w:val="24"/>
          <w:lang w:val="en-ID"/>
        </w:rPr>
      </w:pPr>
      <w:r w:rsidRPr="003E3A35">
        <w:rPr>
          <w:rFonts w:ascii="Times New Roman" w:hAnsi="Times New Roman"/>
          <w:color w:val="000000"/>
          <w:sz w:val="24"/>
          <w:szCs w:val="24"/>
          <w:lang w:val="en-ID"/>
        </w:rPr>
        <w:t>The findings of this study demonstrate that the modified O’Leary plaque index provides assessment outcomes comparable to those of the standard OHI-S developed by Greene and Vermillion. Both methods classified the majority of students in the moderate oral hygiene category, with similar proportional distributions. Statistical analysis further confirmed this similarity, as indicated by the non-significant Wilcoxon test result (p = 0.225) and the homogeneity test (p = 0.862). These findings support the diagnostic equivalence of the simplified plaque-based assessment to the conventional debris-based index.</w:t>
      </w:r>
    </w:p>
    <w:p w14:paraId="168E08E7" w14:textId="77777777" w:rsidR="003E3A35" w:rsidRPr="003E3A35" w:rsidRDefault="003E3A35" w:rsidP="003E3A35">
      <w:pPr>
        <w:pStyle w:val="NoSpacing"/>
        <w:jc w:val="both"/>
        <w:rPr>
          <w:rFonts w:ascii="Times New Roman" w:hAnsi="Times New Roman"/>
          <w:color w:val="000000"/>
          <w:sz w:val="24"/>
          <w:szCs w:val="24"/>
          <w:lang w:val="en-ID"/>
        </w:rPr>
      </w:pPr>
      <w:r w:rsidRPr="003E3A35">
        <w:rPr>
          <w:rFonts w:ascii="Times New Roman" w:hAnsi="Times New Roman"/>
          <w:color w:val="000000"/>
          <w:sz w:val="24"/>
          <w:szCs w:val="24"/>
          <w:lang w:val="en-ID"/>
        </w:rPr>
        <w:t>Diagnostic equivalence implies that a simplified method, even when assessing fewer tooth surfaces, can still reliably represent overall oral hygiene status. The OHI-S evaluates debris accumulation on six index teeth, whereas the O’Leary method identifies plaque presence on tooth surfaces. In both approaches, oral hygiene status is inferred from the presence of deposits—debris in the OHI-S and plaque in the O’Leary index.</w:t>
      </w:r>
    </w:p>
    <w:p w14:paraId="61F85364" w14:textId="77777777" w:rsidR="003E3A35" w:rsidRPr="003E3A35" w:rsidRDefault="003E3A35" w:rsidP="003E3A35">
      <w:pPr>
        <w:pStyle w:val="NoSpacing"/>
        <w:jc w:val="both"/>
        <w:rPr>
          <w:rFonts w:ascii="Times New Roman" w:hAnsi="Times New Roman"/>
          <w:color w:val="000000"/>
          <w:sz w:val="24"/>
          <w:szCs w:val="24"/>
          <w:lang w:val="en-ID"/>
        </w:rPr>
      </w:pPr>
      <w:r w:rsidRPr="003E3A35">
        <w:rPr>
          <w:rFonts w:ascii="Times New Roman" w:hAnsi="Times New Roman"/>
          <w:color w:val="000000"/>
          <w:sz w:val="24"/>
          <w:szCs w:val="24"/>
          <w:lang w:val="en-ID"/>
        </w:rPr>
        <w:t>The modified O’Leary plaque index, limited to labial/oral surfaces, simplifies the examination process without substantially reducing informational value. Labial surfaces are anatomically more accessible and generally subject to greater mechanical cleansing from mastication and brushing. Previous studies have shown that plaque formation is influenced by tooth anatomy and accessibility (Krasse &amp; Carlsson, 1970; Kleinberg, 1970). Therefore, the presence of plaque on labial surfaces may indicate broader plaque accumulation in less accessible areas such as lingual or interproximal regions. This clinical rationale supports the use of labial surfaces as representative indicators of oral hygiene status.</w:t>
      </w:r>
    </w:p>
    <w:p w14:paraId="0EA41C7E" w14:textId="77777777" w:rsidR="003E3A35" w:rsidRPr="003E3A35" w:rsidRDefault="003E3A35" w:rsidP="003E3A35">
      <w:pPr>
        <w:pStyle w:val="NoSpacing"/>
        <w:jc w:val="both"/>
        <w:rPr>
          <w:rFonts w:ascii="Times New Roman" w:hAnsi="Times New Roman"/>
          <w:color w:val="000000"/>
          <w:sz w:val="24"/>
          <w:szCs w:val="24"/>
          <w:lang w:val="en-ID"/>
        </w:rPr>
      </w:pPr>
      <w:r w:rsidRPr="003E3A35">
        <w:rPr>
          <w:rFonts w:ascii="Times New Roman" w:hAnsi="Times New Roman"/>
          <w:color w:val="000000"/>
          <w:sz w:val="24"/>
          <w:szCs w:val="24"/>
          <w:lang w:val="en-ID"/>
        </w:rPr>
        <w:t>The results are consistent with previous plaque index research, including the work of Silness and Löe (1964) and Turesky’s modification of the Quigley-Hein index, which demonstrated that selected surface assessment can reflect whole-mouth conditions. The present study extends this concept by validating a labial-surface–restricted adaptation of the O’Leary index in a school-based setting.</w:t>
      </w:r>
    </w:p>
    <w:p w14:paraId="48E5B63C" w14:textId="77777777" w:rsidR="003E3A35" w:rsidRPr="003E3A35" w:rsidRDefault="003E3A35" w:rsidP="003E3A35">
      <w:pPr>
        <w:pStyle w:val="NoSpacing"/>
        <w:jc w:val="both"/>
        <w:rPr>
          <w:rFonts w:ascii="Times New Roman" w:hAnsi="Times New Roman"/>
          <w:color w:val="000000"/>
          <w:sz w:val="24"/>
          <w:szCs w:val="24"/>
          <w:lang w:val="en-ID"/>
        </w:rPr>
      </w:pPr>
      <w:r w:rsidRPr="003E3A35">
        <w:rPr>
          <w:rFonts w:ascii="Times New Roman" w:hAnsi="Times New Roman"/>
          <w:color w:val="000000"/>
          <w:sz w:val="24"/>
          <w:szCs w:val="24"/>
          <w:lang w:val="en-ID"/>
        </w:rPr>
        <w:t>Reliability analysis further strengthens the applicability of the modified index. The ICC value of 0.671 indicates moderate inter-rater reliability, suggesting that the method can be applied consistently across examiners with adequate training. This is particularly relevant because the simplified method is intended for implementation by school-based health cadres who are not formally trained dental professionals.</w:t>
      </w:r>
    </w:p>
    <w:p w14:paraId="2F8CF8EF" w14:textId="77777777" w:rsidR="003E3A35" w:rsidRPr="003E3A35" w:rsidRDefault="003E3A35" w:rsidP="003E3A35">
      <w:pPr>
        <w:pStyle w:val="NoSpacing"/>
        <w:jc w:val="both"/>
        <w:rPr>
          <w:rFonts w:ascii="Times New Roman" w:hAnsi="Times New Roman"/>
          <w:color w:val="000000"/>
          <w:sz w:val="24"/>
          <w:szCs w:val="24"/>
          <w:lang w:val="en-ID"/>
        </w:rPr>
      </w:pPr>
      <w:r w:rsidRPr="003E3A35">
        <w:rPr>
          <w:rFonts w:ascii="Times New Roman" w:hAnsi="Times New Roman"/>
          <w:color w:val="000000"/>
          <w:sz w:val="24"/>
          <w:szCs w:val="24"/>
          <w:lang w:val="en-ID"/>
        </w:rPr>
        <w:t>From a public health perspective, the simplified index offers several advantages. It is practical, time-efficient, and easier to implement in school settings with limited dental workforce availability. The use of plaque disclosure also provides immediate visual feedback, which may enhance oral health education and motivate improved brushing practices among children.</w:t>
      </w:r>
    </w:p>
    <w:p w14:paraId="4E36BA32" w14:textId="77777777" w:rsidR="003E3A35" w:rsidRPr="003E3A35" w:rsidRDefault="003E3A35" w:rsidP="003E3A35">
      <w:pPr>
        <w:pStyle w:val="NoSpacing"/>
        <w:jc w:val="both"/>
        <w:rPr>
          <w:rFonts w:ascii="Times New Roman" w:hAnsi="Times New Roman"/>
          <w:color w:val="000000"/>
          <w:sz w:val="24"/>
          <w:szCs w:val="24"/>
          <w:lang w:val="en-ID"/>
        </w:rPr>
      </w:pPr>
      <w:r w:rsidRPr="003E3A35">
        <w:rPr>
          <w:rFonts w:ascii="Times New Roman" w:hAnsi="Times New Roman"/>
          <w:color w:val="000000"/>
          <w:sz w:val="24"/>
          <w:szCs w:val="24"/>
          <w:lang w:val="en-ID"/>
        </w:rPr>
        <w:t>Nevertheless, several limitations should be acknowledged. The assessment depends on visible plaque staining, which may be influenced by lighting conditions, dye application consistency, and examiner calibration. The reliance on categorical data rather than continuous numerical scores limited deeper statistical interpretation. In addition, focusing solely on labial surfaces may underestimate plaque accumulation on lingual or interproximal areas. The study was conducted at a single school, which may limit broader generalizability.</w:t>
      </w:r>
    </w:p>
    <w:p w14:paraId="2491F40C" w14:textId="77777777" w:rsidR="003E3A35" w:rsidRPr="003E3A35" w:rsidRDefault="003E3A35" w:rsidP="003E3A35">
      <w:pPr>
        <w:pStyle w:val="NoSpacing"/>
        <w:jc w:val="both"/>
        <w:rPr>
          <w:rFonts w:ascii="Times New Roman" w:hAnsi="Times New Roman"/>
          <w:color w:val="000000"/>
          <w:sz w:val="24"/>
          <w:szCs w:val="24"/>
          <w:lang w:val="en-ID"/>
        </w:rPr>
      </w:pPr>
      <w:r w:rsidRPr="003E3A35">
        <w:rPr>
          <w:rFonts w:ascii="Times New Roman" w:hAnsi="Times New Roman"/>
          <w:color w:val="000000"/>
          <w:sz w:val="24"/>
          <w:szCs w:val="24"/>
          <w:lang w:val="en-ID"/>
        </w:rPr>
        <w:t>Despite these limitations, the findings suggest that the modified O’Leary plaque index is a feasible and diagnostically comparable alternative to the standard OHI-S for assessing oral hygiene status among elementary school students.</w:t>
      </w:r>
    </w:p>
    <w:p w14:paraId="0B1B2AF4" w14:textId="2BD48CB1" w:rsidR="00125856" w:rsidRDefault="00125856" w:rsidP="00125856">
      <w:pPr>
        <w:pStyle w:val="NoSpacing"/>
        <w:jc w:val="both"/>
        <w:rPr>
          <w:rFonts w:ascii="Times New Roman" w:hAnsi="Times New Roman"/>
          <w:color w:val="000000"/>
          <w:sz w:val="24"/>
          <w:szCs w:val="24"/>
          <w:lang w:val="en-ID"/>
        </w:rPr>
      </w:pPr>
    </w:p>
    <w:p w14:paraId="4445B7CD" w14:textId="77777777" w:rsidR="009C06BD" w:rsidRDefault="009C06BD" w:rsidP="00125856">
      <w:pPr>
        <w:pStyle w:val="NoSpacing"/>
        <w:jc w:val="both"/>
        <w:rPr>
          <w:rFonts w:ascii="Times New Roman" w:hAnsi="Times New Roman"/>
          <w:color w:val="000000"/>
          <w:sz w:val="24"/>
          <w:szCs w:val="24"/>
          <w:lang w:val="en-ID"/>
        </w:rPr>
      </w:pPr>
    </w:p>
    <w:p w14:paraId="0D1A4B9E" w14:textId="77777777" w:rsidR="009C06BD" w:rsidRDefault="009C06BD" w:rsidP="00125856">
      <w:pPr>
        <w:pStyle w:val="NoSpacing"/>
        <w:jc w:val="both"/>
        <w:rPr>
          <w:rFonts w:ascii="Times New Roman" w:hAnsi="Times New Roman"/>
          <w:color w:val="000000"/>
          <w:sz w:val="24"/>
          <w:szCs w:val="24"/>
          <w:lang w:val="en-ID"/>
        </w:rPr>
      </w:pPr>
    </w:p>
    <w:p w14:paraId="06DF9815" w14:textId="1BF9DEE1" w:rsidR="009C06BD" w:rsidRPr="00125856" w:rsidRDefault="00393A13" w:rsidP="00125856">
      <w:pPr>
        <w:pStyle w:val="NoSpacing"/>
        <w:jc w:val="both"/>
        <w:rPr>
          <w:rFonts w:ascii="Times New Roman" w:hAnsi="Times New Roman"/>
          <w:color w:val="000000"/>
          <w:sz w:val="24"/>
          <w:szCs w:val="24"/>
          <w:lang w:val="en-ID"/>
        </w:rPr>
      </w:pPr>
      <w:r>
        <w:rPr>
          <w:rFonts w:ascii="Times New Roman" w:hAnsi="Times New Roman"/>
          <w:color w:val="000000"/>
          <w:sz w:val="24"/>
          <w:szCs w:val="24"/>
          <w:lang w:val="en-ID"/>
        </w:rPr>
        <w:t xml:space="preserve"> </w:t>
      </w:r>
    </w:p>
    <w:p w14:paraId="0040FB1C" w14:textId="77777777" w:rsidR="00B95BDA" w:rsidRDefault="00B95BDA" w:rsidP="00B31766">
      <w:pPr>
        <w:pStyle w:val="NoSpacing"/>
        <w:rPr>
          <w:rFonts w:ascii="Times New Roman" w:hAnsi="Times New Roman"/>
          <w:b/>
          <w:color w:val="000000"/>
          <w:sz w:val="24"/>
          <w:szCs w:val="24"/>
        </w:rPr>
      </w:pPr>
    </w:p>
    <w:p w14:paraId="1FA1DDA9" w14:textId="0F706C34" w:rsidR="00BE0F17" w:rsidRPr="00C0645A" w:rsidRDefault="00063EAF" w:rsidP="00B31766">
      <w:pPr>
        <w:pStyle w:val="NoSpacing"/>
        <w:rPr>
          <w:rFonts w:ascii="Times New Roman" w:hAnsi="Times New Roman"/>
          <w:b/>
          <w:color w:val="000000"/>
          <w:sz w:val="24"/>
          <w:szCs w:val="24"/>
        </w:rPr>
      </w:pPr>
      <w:r>
        <w:rPr>
          <w:rFonts w:ascii="Times New Roman" w:hAnsi="Times New Roman"/>
          <w:b/>
          <w:color w:val="000000"/>
          <w:sz w:val="24"/>
          <w:szCs w:val="24"/>
        </w:rPr>
        <w:lastRenderedPageBreak/>
        <w:t xml:space="preserve">5. </w:t>
      </w:r>
      <w:r w:rsidR="00BE0F17">
        <w:rPr>
          <w:rFonts w:ascii="Times New Roman" w:hAnsi="Times New Roman"/>
          <w:b/>
          <w:color w:val="000000"/>
          <w:sz w:val="24"/>
          <w:szCs w:val="24"/>
        </w:rPr>
        <w:t xml:space="preserve">CONCLUSIONS </w:t>
      </w:r>
    </w:p>
    <w:p w14:paraId="578396C7" w14:textId="77777777" w:rsidR="00BE0F17" w:rsidRDefault="00BE0F17" w:rsidP="00BE0F17">
      <w:pPr>
        <w:pStyle w:val="NoSpacing"/>
        <w:jc w:val="both"/>
        <w:rPr>
          <w:rFonts w:ascii="Times New Roman" w:hAnsi="Times New Roman"/>
          <w:b/>
          <w:color w:val="000000"/>
          <w:sz w:val="24"/>
          <w:szCs w:val="24"/>
        </w:rPr>
      </w:pPr>
    </w:p>
    <w:p w14:paraId="6FCB8E11" w14:textId="77777777" w:rsidR="00063EAF" w:rsidRPr="00063EAF" w:rsidRDefault="00063EAF" w:rsidP="00063EAF">
      <w:pPr>
        <w:spacing w:after="0" w:line="240" w:lineRule="auto"/>
        <w:jc w:val="both"/>
        <w:rPr>
          <w:rFonts w:ascii="Times New Roman" w:hAnsi="Times New Roman"/>
          <w:bCs/>
          <w:sz w:val="24"/>
          <w:szCs w:val="24"/>
          <w:lang w:val="en-ID"/>
        </w:rPr>
      </w:pPr>
      <w:r w:rsidRPr="00063EAF">
        <w:rPr>
          <w:rFonts w:ascii="Times New Roman" w:hAnsi="Times New Roman"/>
          <w:bCs/>
          <w:sz w:val="24"/>
          <w:szCs w:val="24"/>
          <w:lang w:val="en-ID"/>
        </w:rPr>
        <w:t>This study demonstrates that the modified O’Leary plaque index restricted to labial/oral surfaces produces oral hygiene assessments comparable to those obtained using the standard OHI-S debris index among elementary school students at SDN Pudakpayung 02 Semarang. The absence of statistically significant differences between methods and the homogeneous distribution of hygiene categories indicate diagnostic equivalence. The moderate inter-rater reliability (ICC = 0.671) further supports the consistency of the modified index when applied by trained examiners.</w:t>
      </w:r>
    </w:p>
    <w:p w14:paraId="6F16242C" w14:textId="77777777" w:rsidR="00063EAF" w:rsidRPr="00063EAF" w:rsidRDefault="00063EAF" w:rsidP="00063EAF">
      <w:pPr>
        <w:spacing w:after="0" w:line="240" w:lineRule="auto"/>
        <w:jc w:val="both"/>
        <w:rPr>
          <w:rFonts w:ascii="Times New Roman" w:hAnsi="Times New Roman"/>
          <w:bCs/>
          <w:sz w:val="24"/>
          <w:szCs w:val="24"/>
          <w:lang w:val="en-ID"/>
        </w:rPr>
      </w:pPr>
      <w:r w:rsidRPr="00063EAF">
        <w:rPr>
          <w:rFonts w:ascii="Times New Roman" w:hAnsi="Times New Roman"/>
          <w:bCs/>
          <w:sz w:val="24"/>
          <w:szCs w:val="24"/>
          <w:lang w:val="en-ID"/>
        </w:rPr>
        <w:t>The findings suggest that the simplified modified O’Leary plaque index may serve as a practical alternative for school-based oral hygiene assessment, particularly in settings with limited access to dental professionals.</w:t>
      </w:r>
    </w:p>
    <w:p w14:paraId="0A6CF269" w14:textId="1539C313" w:rsidR="00DC39EC" w:rsidRPr="00F00CDC" w:rsidRDefault="00DC39EC" w:rsidP="00DC39EC">
      <w:pPr>
        <w:spacing w:after="0" w:line="240" w:lineRule="auto"/>
        <w:jc w:val="both"/>
        <w:rPr>
          <w:rFonts w:ascii="Times New Roman" w:hAnsi="Times New Roman"/>
          <w:sz w:val="24"/>
          <w:szCs w:val="24"/>
        </w:rPr>
      </w:pPr>
      <w:r w:rsidRPr="00F00CDC">
        <w:rPr>
          <w:rFonts w:ascii="Times New Roman" w:hAnsi="Times New Roman"/>
          <w:sz w:val="24"/>
          <w:szCs w:val="24"/>
        </w:rPr>
        <w:t xml:space="preserve"> </w:t>
      </w:r>
    </w:p>
    <w:p w14:paraId="24C658A7" w14:textId="7757E6C7" w:rsidR="00BE0F17" w:rsidRPr="00F00CDC" w:rsidRDefault="00BE0F17" w:rsidP="00B031FD">
      <w:pPr>
        <w:pStyle w:val="NoSpacing"/>
        <w:jc w:val="both"/>
        <w:rPr>
          <w:rFonts w:asciiTheme="majorBidi" w:hAnsiTheme="majorBidi" w:cstheme="majorBidi"/>
          <w:b/>
          <w:bCs/>
          <w:color w:val="000000"/>
          <w:sz w:val="24"/>
          <w:szCs w:val="24"/>
          <w:lang w:val="id-ID"/>
        </w:rPr>
      </w:pPr>
    </w:p>
    <w:p w14:paraId="35F2B38D" w14:textId="77777777" w:rsidR="00BE0F17" w:rsidRDefault="00BE0F17" w:rsidP="00BE0F17">
      <w:pPr>
        <w:pStyle w:val="NoSpacing"/>
        <w:rPr>
          <w:rFonts w:asciiTheme="majorBidi" w:hAnsiTheme="majorBidi" w:cstheme="majorBidi"/>
          <w:b/>
          <w:bCs/>
          <w:color w:val="000000"/>
          <w:sz w:val="24"/>
          <w:szCs w:val="24"/>
        </w:rPr>
      </w:pPr>
    </w:p>
    <w:p w14:paraId="53EAC5C3" w14:textId="77777777" w:rsidR="00C95E6B" w:rsidRDefault="00C95E6B" w:rsidP="00B031FD">
      <w:pPr>
        <w:pStyle w:val="NoSpacing"/>
        <w:rPr>
          <w:rFonts w:asciiTheme="majorBidi" w:hAnsiTheme="majorBidi" w:cstheme="majorBidi"/>
          <w:b/>
          <w:bCs/>
          <w:color w:val="000000"/>
          <w:sz w:val="24"/>
          <w:szCs w:val="24"/>
        </w:rPr>
      </w:pPr>
    </w:p>
    <w:p w14:paraId="28F8E4C5" w14:textId="1E46779B" w:rsidR="00BE0F17" w:rsidRPr="00B031FD" w:rsidRDefault="00063EAF" w:rsidP="00B031FD">
      <w:pPr>
        <w:pStyle w:val="NoSpacing"/>
        <w:rPr>
          <w:rFonts w:ascii="Times New Roman" w:hAnsi="Times New Roman"/>
          <w:sz w:val="24"/>
          <w:szCs w:val="24"/>
        </w:rPr>
      </w:pPr>
      <w:r>
        <w:rPr>
          <w:rFonts w:asciiTheme="majorBidi" w:hAnsiTheme="majorBidi" w:cstheme="majorBidi"/>
          <w:b/>
          <w:bCs/>
          <w:color w:val="000000"/>
          <w:sz w:val="24"/>
          <w:szCs w:val="24"/>
        </w:rPr>
        <w:t xml:space="preserve">6. </w:t>
      </w:r>
      <w:r w:rsidR="00BE0F17" w:rsidRPr="00C43CB5">
        <w:rPr>
          <w:rFonts w:asciiTheme="majorBidi" w:hAnsiTheme="majorBidi" w:cstheme="majorBidi"/>
          <w:b/>
          <w:bCs/>
          <w:color w:val="000000"/>
          <w:sz w:val="24"/>
          <w:szCs w:val="24"/>
        </w:rPr>
        <w:t>REFERENCES</w:t>
      </w:r>
    </w:p>
    <w:p w14:paraId="0EAEFDF3" w14:textId="77777777" w:rsidR="00A86DE3" w:rsidRPr="00A86DE3" w:rsidRDefault="00A86DE3" w:rsidP="00A86DE3">
      <w:pPr>
        <w:pStyle w:val="NormalWeb"/>
        <w:ind w:left="567" w:hanging="567"/>
        <w:jc w:val="both"/>
        <w:rPr>
          <w:lang w:val="en-ID"/>
        </w:rPr>
      </w:pPr>
      <w:r w:rsidRPr="00A86DE3">
        <w:rPr>
          <w:lang w:val="en-ID"/>
        </w:rPr>
        <w:t xml:space="preserve">Aiken, L. R. (1985). Three coefficients for analyzing the reliability and validity of ratings. </w:t>
      </w:r>
      <w:r w:rsidRPr="00A86DE3">
        <w:rPr>
          <w:i/>
          <w:iCs/>
          <w:lang w:val="en-ID"/>
        </w:rPr>
        <w:t>Educational and Psychological Measurement, 45</w:t>
      </w:r>
      <w:r w:rsidRPr="00A86DE3">
        <w:rPr>
          <w:lang w:val="en-ID"/>
        </w:rPr>
        <w:t>, 131–141.</w:t>
      </w:r>
    </w:p>
    <w:p w14:paraId="6A511CDB" w14:textId="77777777" w:rsidR="00A86DE3" w:rsidRPr="00A86DE3" w:rsidRDefault="00A86DE3" w:rsidP="00A86DE3">
      <w:pPr>
        <w:pStyle w:val="NormalWeb"/>
        <w:ind w:left="567" w:hanging="567"/>
        <w:jc w:val="both"/>
        <w:rPr>
          <w:lang w:val="en-ID"/>
        </w:rPr>
      </w:pPr>
      <w:r w:rsidRPr="00A86DE3">
        <w:rPr>
          <w:lang w:val="en-ID"/>
        </w:rPr>
        <w:t xml:space="preserve">Anandya, A., Sari Sembiring, L., &amp; Mandalas, H. (2019). Indeks plak dan tingkat keparahan gingivitis anak tunagrahita (intellectual disability) di SLB X Kota Bandung. </w:t>
      </w:r>
      <w:r w:rsidRPr="00A86DE3">
        <w:rPr>
          <w:i/>
          <w:iCs/>
          <w:lang w:val="en-ID"/>
        </w:rPr>
        <w:t>Padjadjaran Journal of Dental Research Student, 3</w:t>
      </w:r>
      <w:r w:rsidRPr="00A86DE3">
        <w:rPr>
          <w:lang w:val="en-ID"/>
        </w:rPr>
        <w:t>(1), 26–32.</w:t>
      </w:r>
    </w:p>
    <w:p w14:paraId="44CCE5A2" w14:textId="77777777" w:rsidR="00A86DE3" w:rsidRPr="00A86DE3" w:rsidRDefault="00A86DE3" w:rsidP="00A86DE3">
      <w:pPr>
        <w:pStyle w:val="NormalWeb"/>
        <w:ind w:left="567" w:hanging="567"/>
        <w:jc w:val="both"/>
        <w:rPr>
          <w:lang w:val="en-ID"/>
        </w:rPr>
      </w:pPr>
      <w:r w:rsidRPr="00A86DE3">
        <w:rPr>
          <w:lang w:val="en-ID"/>
        </w:rPr>
        <w:t xml:space="preserve">Bashirian, S., Shirahmadi, S., Seyedzadeh-Sabounchi, S., Soltanian, A. R., Karimi-shahanjarini, A., &amp; Vahdatinia, F. (2018). Association of caries experience and dental plaque with sociodemographic characteristics in elementary school-aged children: A cross-sectional study. </w:t>
      </w:r>
      <w:r w:rsidRPr="00A86DE3">
        <w:rPr>
          <w:i/>
          <w:iCs/>
          <w:lang w:val="en-ID"/>
        </w:rPr>
        <w:t>BMC Oral Health, 18</w:t>
      </w:r>
      <w:r w:rsidRPr="00A86DE3">
        <w:rPr>
          <w:lang w:val="en-ID"/>
        </w:rPr>
        <w:t xml:space="preserve">(1), 1–12. </w:t>
      </w:r>
      <w:hyperlink r:id="rId8" w:tgtFrame="_new" w:history="1">
        <w:r w:rsidRPr="00A86DE3">
          <w:rPr>
            <w:rStyle w:val="Hyperlink"/>
            <w:lang w:val="en-ID"/>
          </w:rPr>
          <w:t>https://doi.org/10.1186/s12903-017-0464-4</w:t>
        </w:r>
      </w:hyperlink>
    </w:p>
    <w:p w14:paraId="03925D29" w14:textId="77777777" w:rsidR="00A86DE3" w:rsidRPr="00A86DE3" w:rsidRDefault="00A86DE3" w:rsidP="00A86DE3">
      <w:pPr>
        <w:pStyle w:val="NormalWeb"/>
        <w:ind w:left="567" w:hanging="567"/>
        <w:jc w:val="both"/>
        <w:rPr>
          <w:lang w:val="en-ID"/>
        </w:rPr>
      </w:pPr>
      <w:r w:rsidRPr="00A86DE3">
        <w:rPr>
          <w:lang w:val="en-ID"/>
        </w:rPr>
        <w:t xml:space="preserve">Creswell, J. W. (2017). </w:t>
      </w:r>
      <w:r w:rsidRPr="00A86DE3">
        <w:rPr>
          <w:i/>
          <w:iCs/>
          <w:lang w:val="en-ID"/>
        </w:rPr>
        <w:t>Research design: Qualitative, quantitative, and mixed approaches</w:t>
      </w:r>
      <w:r w:rsidRPr="00A86DE3">
        <w:rPr>
          <w:lang w:val="en-ID"/>
        </w:rPr>
        <w:t xml:space="preserve"> (6th ed.). Student Library.</w:t>
      </w:r>
    </w:p>
    <w:p w14:paraId="210C9130" w14:textId="77777777" w:rsidR="00A86DE3" w:rsidRPr="00A86DE3" w:rsidRDefault="00A86DE3" w:rsidP="00A86DE3">
      <w:pPr>
        <w:pStyle w:val="NormalWeb"/>
        <w:ind w:left="567" w:hanging="567"/>
        <w:jc w:val="both"/>
        <w:rPr>
          <w:lang w:val="en-ID"/>
        </w:rPr>
      </w:pPr>
      <w:r w:rsidRPr="00A86DE3">
        <w:rPr>
          <w:lang w:val="en-ID"/>
        </w:rPr>
        <w:t xml:space="preserve">Dan, A. D., &amp; Ghergic, D. L. (2021). Assessment of oral health education with the simplified oral hygiene index in military students – A comparative study. </w:t>
      </w:r>
      <w:r w:rsidRPr="00A86DE3">
        <w:rPr>
          <w:i/>
          <w:iCs/>
          <w:lang w:val="en-ID"/>
        </w:rPr>
        <w:t>Oral Health &amp; Preventive Dentistry, 19</w:t>
      </w:r>
      <w:r w:rsidRPr="00A86DE3">
        <w:rPr>
          <w:lang w:val="en-ID"/>
        </w:rPr>
        <w:t xml:space="preserve">(1), 425–431. </w:t>
      </w:r>
      <w:hyperlink r:id="rId9" w:tgtFrame="_new" w:history="1">
        <w:r w:rsidRPr="00A86DE3">
          <w:rPr>
            <w:rStyle w:val="Hyperlink"/>
            <w:lang w:val="en-ID"/>
          </w:rPr>
          <w:t>https://doi.org/10.3290/j.ohpd.b1993907</w:t>
        </w:r>
      </w:hyperlink>
    </w:p>
    <w:p w14:paraId="7A2AA71D" w14:textId="77777777" w:rsidR="00A86DE3" w:rsidRPr="00A86DE3" w:rsidRDefault="00A86DE3" w:rsidP="00A86DE3">
      <w:pPr>
        <w:pStyle w:val="NormalWeb"/>
        <w:ind w:left="567" w:hanging="567"/>
        <w:jc w:val="both"/>
        <w:rPr>
          <w:lang w:val="en-ID"/>
        </w:rPr>
      </w:pPr>
      <w:r w:rsidRPr="00A86DE3">
        <w:rPr>
          <w:lang w:val="en-ID"/>
        </w:rPr>
        <w:t xml:space="preserve">Erbe, C., Temming, T., Ohlendorf, D., Schmidtmann, I., Ferrari-Peron, P., Mundethu, A., &amp; Wehrbein, H. (2025). Investigation of the inter-rater reliability of three different plaque indices used in patients with fixed orthodontic appliances. </w:t>
      </w:r>
      <w:r w:rsidRPr="00A86DE3">
        <w:rPr>
          <w:i/>
          <w:iCs/>
          <w:lang w:val="en-ID"/>
        </w:rPr>
        <w:t>PLOS ONE, 20</w:t>
      </w:r>
      <w:r w:rsidRPr="00A86DE3">
        <w:rPr>
          <w:lang w:val="en-ID"/>
        </w:rPr>
        <w:t xml:space="preserve">(5), 1–10. </w:t>
      </w:r>
      <w:hyperlink r:id="rId10" w:tgtFrame="_new" w:history="1">
        <w:r w:rsidRPr="00A86DE3">
          <w:rPr>
            <w:rStyle w:val="Hyperlink"/>
            <w:lang w:val="en-ID"/>
          </w:rPr>
          <w:t>https://doi.org/10.1371/journal.pone.0322528</w:t>
        </w:r>
      </w:hyperlink>
    </w:p>
    <w:p w14:paraId="515A0B14" w14:textId="77777777" w:rsidR="00A86DE3" w:rsidRPr="00A86DE3" w:rsidRDefault="00A86DE3" w:rsidP="00A86DE3">
      <w:pPr>
        <w:pStyle w:val="NormalWeb"/>
        <w:ind w:left="567" w:hanging="567"/>
        <w:jc w:val="both"/>
        <w:rPr>
          <w:lang w:val="en-ID"/>
        </w:rPr>
      </w:pPr>
      <w:r w:rsidRPr="00A86DE3">
        <w:rPr>
          <w:lang w:val="en-ID"/>
        </w:rPr>
        <w:t xml:space="preserve">Frencken, J. E., Holmgren, C. J., &amp; Van Palenstein Helderman, W. H. (2002). </w:t>
      </w:r>
      <w:r w:rsidRPr="00A86DE3">
        <w:rPr>
          <w:i/>
          <w:iCs/>
          <w:lang w:val="en-ID"/>
        </w:rPr>
        <w:t>Basic package of oral care (BPOC).</w:t>
      </w:r>
    </w:p>
    <w:p w14:paraId="0667EEBD" w14:textId="77777777" w:rsidR="00A86DE3" w:rsidRPr="00A86DE3" w:rsidRDefault="00A86DE3" w:rsidP="00A86DE3">
      <w:pPr>
        <w:pStyle w:val="NormalWeb"/>
        <w:ind w:left="567" w:hanging="567"/>
        <w:jc w:val="both"/>
        <w:rPr>
          <w:lang w:val="en-ID"/>
        </w:rPr>
      </w:pPr>
      <w:r w:rsidRPr="00A86DE3">
        <w:rPr>
          <w:lang w:val="en-ID"/>
        </w:rPr>
        <w:t xml:space="preserve">Greene, J. G., &amp; Vermillion, J. R. (1960). The simplified oral hygiene index. </w:t>
      </w:r>
      <w:r w:rsidRPr="00A86DE3">
        <w:rPr>
          <w:i/>
          <w:iCs/>
          <w:lang w:val="en-ID"/>
        </w:rPr>
        <w:t>Journal of the American Dental Association, 61</w:t>
      </w:r>
      <w:r w:rsidRPr="00A86DE3">
        <w:rPr>
          <w:lang w:val="en-ID"/>
        </w:rPr>
        <w:t xml:space="preserve">(2), 172–179. </w:t>
      </w:r>
      <w:hyperlink r:id="rId11" w:tgtFrame="_new" w:history="1">
        <w:r w:rsidRPr="00A86DE3">
          <w:rPr>
            <w:rStyle w:val="Hyperlink"/>
            <w:lang w:val="en-ID"/>
          </w:rPr>
          <w:t>https://doi.org/10.14219/jada.archive.1960.0177</w:t>
        </w:r>
      </w:hyperlink>
    </w:p>
    <w:p w14:paraId="5C3E6E6C" w14:textId="77777777" w:rsidR="00A86DE3" w:rsidRPr="00A86DE3" w:rsidRDefault="00A86DE3" w:rsidP="00A86DE3">
      <w:pPr>
        <w:pStyle w:val="NormalWeb"/>
        <w:ind w:left="567" w:hanging="567"/>
        <w:jc w:val="both"/>
        <w:rPr>
          <w:lang w:val="en-ID"/>
        </w:rPr>
      </w:pPr>
      <w:r w:rsidRPr="00A86DE3">
        <w:rPr>
          <w:lang w:val="en-ID"/>
        </w:rPr>
        <w:t xml:space="preserve">Hifza Noor, Malik, A., Aymen, R., Fatima, M., Zahra, M., &amp; Malik, F. S. (2025). Determinants of plaque index among children aged 5–15 years in conventional vs religious schools: A cross-sectional DAG informed study. </w:t>
      </w:r>
      <w:r w:rsidRPr="00A86DE3">
        <w:rPr>
          <w:i/>
          <w:iCs/>
          <w:lang w:val="en-ID"/>
        </w:rPr>
        <w:t>MedRxiv The Preprint Server for Health Sciences</w:t>
      </w:r>
      <w:r w:rsidRPr="00A86DE3">
        <w:rPr>
          <w:lang w:val="en-ID"/>
        </w:rPr>
        <w:t>, 1–22.</w:t>
      </w:r>
    </w:p>
    <w:p w14:paraId="621F140D" w14:textId="77777777" w:rsidR="00A86DE3" w:rsidRPr="00A86DE3" w:rsidRDefault="00A86DE3" w:rsidP="00A86DE3">
      <w:pPr>
        <w:pStyle w:val="NormalWeb"/>
        <w:ind w:left="567" w:hanging="567"/>
        <w:jc w:val="both"/>
        <w:rPr>
          <w:lang w:val="en-ID"/>
        </w:rPr>
      </w:pPr>
      <w:r w:rsidRPr="00A86DE3">
        <w:rPr>
          <w:lang w:val="en-ID"/>
        </w:rPr>
        <w:lastRenderedPageBreak/>
        <w:t xml:space="preserve">Idela, C., Sukanti, E., &amp; Sofian, R. (2025). Education with a reinforcement method for improving tooth brushing skills with a dental and oral hygiene index. </w:t>
      </w:r>
      <w:r w:rsidRPr="00A86DE3">
        <w:rPr>
          <w:i/>
          <w:iCs/>
          <w:lang w:val="en-ID"/>
        </w:rPr>
        <w:t>JDHT Journal of Dental Hygiene and Therapy, 6</w:t>
      </w:r>
      <w:r w:rsidRPr="00A86DE3">
        <w:rPr>
          <w:lang w:val="en-ID"/>
        </w:rPr>
        <w:t xml:space="preserve">(1), 35–40. </w:t>
      </w:r>
      <w:hyperlink r:id="rId12" w:tgtFrame="_new" w:history="1">
        <w:r w:rsidRPr="00A86DE3">
          <w:rPr>
            <w:rStyle w:val="Hyperlink"/>
            <w:lang w:val="en-ID"/>
          </w:rPr>
          <w:t>https://doi.org/10.36082/jdht.v6i1.2188</w:t>
        </w:r>
      </w:hyperlink>
    </w:p>
    <w:p w14:paraId="5D51295D" w14:textId="77777777" w:rsidR="00A86DE3" w:rsidRPr="00A86DE3" w:rsidRDefault="00A86DE3" w:rsidP="00A86DE3">
      <w:pPr>
        <w:pStyle w:val="NormalWeb"/>
        <w:ind w:left="567" w:hanging="567"/>
        <w:jc w:val="both"/>
        <w:rPr>
          <w:lang w:val="en-ID"/>
        </w:rPr>
      </w:pPr>
      <w:r w:rsidRPr="00A86DE3">
        <w:rPr>
          <w:lang w:val="en-ID"/>
        </w:rPr>
        <w:t xml:space="preserve">Indonesian Ministry of Health. (2018). </w:t>
      </w:r>
      <w:r w:rsidRPr="00A86DE3">
        <w:rPr>
          <w:i/>
          <w:iCs/>
          <w:lang w:val="en-ID"/>
        </w:rPr>
        <w:t>Key results of the 2018 Riskesdas report.</w:t>
      </w:r>
      <w:r w:rsidRPr="00A86DE3">
        <w:rPr>
          <w:lang w:val="en-ID"/>
        </w:rPr>
        <w:t xml:space="preserve"> Agency for Health Research and Development.</w:t>
      </w:r>
    </w:p>
    <w:p w14:paraId="0DACAB2E" w14:textId="77777777" w:rsidR="00A86DE3" w:rsidRPr="00A86DE3" w:rsidRDefault="00A86DE3" w:rsidP="00A86DE3">
      <w:pPr>
        <w:pStyle w:val="NormalWeb"/>
        <w:ind w:left="567" w:hanging="567"/>
        <w:jc w:val="both"/>
        <w:rPr>
          <w:lang w:val="en-ID"/>
        </w:rPr>
      </w:pPr>
      <w:r w:rsidRPr="00A86DE3">
        <w:rPr>
          <w:lang w:val="en-ID"/>
        </w:rPr>
        <w:t xml:space="preserve">Indonesian Ministry of Health. (2019). </w:t>
      </w:r>
      <w:r w:rsidRPr="00A86DE3">
        <w:rPr>
          <w:i/>
          <w:iCs/>
          <w:lang w:val="en-ID"/>
        </w:rPr>
        <w:t>Regulation of the Minister of Health of the Republic of Indonesia Number 8 of 2019 concerning community empowerment in the health sector.</w:t>
      </w:r>
    </w:p>
    <w:p w14:paraId="342FC7BF" w14:textId="77777777" w:rsidR="00A86DE3" w:rsidRPr="00A86DE3" w:rsidRDefault="00A86DE3" w:rsidP="00A86DE3">
      <w:pPr>
        <w:pStyle w:val="NormalWeb"/>
        <w:ind w:left="567" w:hanging="567"/>
        <w:jc w:val="both"/>
        <w:rPr>
          <w:lang w:val="en-ID"/>
        </w:rPr>
      </w:pPr>
      <w:r w:rsidRPr="00A86DE3">
        <w:rPr>
          <w:lang w:val="en-ID"/>
        </w:rPr>
        <w:t xml:space="preserve">Jain, K., Gupta, B. D., Gupta, R., Bhargava, A., Chaudhary, S. K., &amp; Chaudhary, H. (2025). Validation of International Caries Detection and Assessment System (ICDAS)-II short version and Community Caries Index for assessing caries and treatment needs in six- to 15-year-old children in Ghaziabad: A cross-sectional study. </w:t>
      </w:r>
      <w:r w:rsidRPr="00A86DE3">
        <w:rPr>
          <w:i/>
          <w:iCs/>
          <w:lang w:val="en-ID"/>
        </w:rPr>
        <w:t>Cureus, 17</w:t>
      </w:r>
      <w:r w:rsidRPr="00A86DE3">
        <w:rPr>
          <w:lang w:val="en-ID"/>
        </w:rPr>
        <w:t xml:space="preserve">(9). </w:t>
      </w:r>
      <w:hyperlink r:id="rId13" w:tgtFrame="_new" w:history="1">
        <w:r w:rsidRPr="00A86DE3">
          <w:rPr>
            <w:rStyle w:val="Hyperlink"/>
            <w:lang w:val="en-ID"/>
          </w:rPr>
          <w:t>https://doi.org/10.7759/cureus.91718</w:t>
        </w:r>
      </w:hyperlink>
    </w:p>
    <w:p w14:paraId="280EC188" w14:textId="77777777" w:rsidR="00A86DE3" w:rsidRPr="00A86DE3" w:rsidRDefault="00A86DE3" w:rsidP="00A86DE3">
      <w:pPr>
        <w:pStyle w:val="NormalWeb"/>
        <w:ind w:left="567" w:hanging="567"/>
        <w:jc w:val="both"/>
        <w:rPr>
          <w:lang w:val="en-ID"/>
        </w:rPr>
      </w:pPr>
      <w:r w:rsidRPr="00A86DE3">
        <w:rPr>
          <w:lang w:val="en-ID"/>
        </w:rPr>
        <w:t xml:space="preserve">Karki, B., Kunwar, S., Gaire, G., Magar, K. R., Bhusal, L., Giri, P., &amp; Subedi, K. (2023). Dental caries among patients visiting the dental outpatient department in a tertiary care centre: A descriptive cross-sectional study. </w:t>
      </w:r>
      <w:r w:rsidRPr="00A86DE3">
        <w:rPr>
          <w:i/>
          <w:iCs/>
          <w:lang w:val="en-ID"/>
        </w:rPr>
        <w:t>Journal of the Nepal Medical Association, 61</w:t>
      </w:r>
      <w:r w:rsidRPr="00A86DE3">
        <w:rPr>
          <w:lang w:val="en-ID"/>
        </w:rPr>
        <w:t xml:space="preserve">(263), 588–591. </w:t>
      </w:r>
      <w:hyperlink r:id="rId14" w:tgtFrame="_new" w:history="1">
        <w:r w:rsidRPr="00A86DE3">
          <w:rPr>
            <w:rStyle w:val="Hyperlink"/>
            <w:lang w:val="en-ID"/>
          </w:rPr>
          <w:t>https://doi.org/10.31729/jnma.8215</w:t>
        </w:r>
      </w:hyperlink>
    </w:p>
    <w:p w14:paraId="59233B66" w14:textId="77777777" w:rsidR="00A86DE3" w:rsidRPr="00A86DE3" w:rsidRDefault="00A86DE3" w:rsidP="00A86DE3">
      <w:pPr>
        <w:pStyle w:val="NormalWeb"/>
        <w:ind w:left="567" w:hanging="567"/>
        <w:jc w:val="both"/>
        <w:rPr>
          <w:lang w:val="en-ID"/>
        </w:rPr>
      </w:pPr>
      <w:r w:rsidRPr="00A86DE3">
        <w:rPr>
          <w:lang w:val="en-ID"/>
        </w:rPr>
        <w:t xml:space="preserve">Kleinberg, I. (1970). Biochemistry of the dental plaque (Vol. 4). Academic Press. </w:t>
      </w:r>
      <w:hyperlink r:id="rId15" w:tgtFrame="_new" w:history="1">
        <w:r w:rsidRPr="00A86DE3">
          <w:rPr>
            <w:rStyle w:val="Hyperlink"/>
            <w:lang w:val="en-ID"/>
          </w:rPr>
          <w:t>https://doi.org/10.1016/B978-0-12-030504-9.50010-X</w:t>
        </w:r>
      </w:hyperlink>
    </w:p>
    <w:p w14:paraId="37AA8C5A" w14:textId="77777777" w:rsidR="00A86DE3" w:rsidRPr="00A86DE3" w:rsidRDefault="00A86DE3" w:rsidP="00A86DE3">
      <w:pPr>
        <w:pStyle w:val="NormalWeb"/>
        <w:ind w:left="567" w:hanging="567"/>
        <w:jc w:val="both"/>
        <w:rPr>
          <w:lang w:val="en-ID"/>
        </w:rPr>
      </w:pPr>
      <w:r w:rsidRPr="00A86DE3">
        <w:rPr>
          <w:lang w:val="en-ID"/>
        </w:rPr>
        <w:t xml:space="preserve">Krasse, B., &amp; Carlsson, J. (1970). Various types of streptococci and experimental caries in hamsters. </w:t>
      </w:r>
      <w:r w:rsidRPr="00A86DE3">
        <w:rPr>
          <w:i/>
          <w:iCs/>
          <w:lang w:val="en-ID"/>
        </w:rPr>
        <w:t>Archives of Oral Biology, 15</w:t>
      </w:r>
      <w:r w:rsidRPr="00A86DE3">
        <w:rPr>
          <w:lang w:val="en-ID"/>
        </w:rPr>
        <w:t xml:space="preserve">(1), 25–32. </w:t>
      </w:r>
      <w:hyperlink r:id="rId16" w:tgtFrame="_new" w:history="1">
        <w:r w:rsidRPr="00A86DE3">
          <w:rPr>
            <w:rStyle w:val="Hyperlink"/>
            <w:lang w:val="en-ID"/>
          </w:rPr>
          <w:t>https://doi.org/10.1016/0003-9969(70)90142-1</w:t>
        </w:r>
      </w:hyperlink>
    </w:p>
    <w:p w14:paraId="24D7196F" w14:textId="77777777" w:rsidR="00A86DE3" w:rsidRPr="00A86DE3" w:rsidRDefault="00A86DE3" w:rsidP="00A86DE3">
      <w:pPr>
        <w:pStyle w:val="NormalWeb"/>
        <w:ind w:left="567" w:hanging="567"/>
        <w:jc w:val="both"/>
        <w:rPr>
          <w:lang w:val="en-ID"/>
        </w:rPr>
      </w:pPr>
      <w:r w:rsidRPr="00A86DE3">
        <w:rPr>
          <w:lang w:val="en-ID"/>
        </w:rPr>
        <w:t xml:space="preserve">Megananda Hiranya Putri, Herijulianti, E., &amp; Nurjannah, N. (2010). </w:t>
      </w:r>
      <w:r w:rsidRPr="00A86DE3">
        <w:rPr>
          <w:i/>
          <w:iCs/>
          <w:lang w:val="en-ID"/>
        </w:rPr>
        <w:t>Preventive science of hard tissue diseases and dental supporting tissues.</w:t>
      </w:r>
      <w:r w:rsidRPr="00A86DE3">
        <w:rPr>
          <w:lang w:val="en-ID"/>
        </w:rPr>
        <w:t xml:space="preserve"> EGC.</w:t>
      </w:r>
    </w:p>
    <w:p w14:paraId="6AF78EC3" w14:textId="77777777" w:rsidR="00A86DE3" w:rsidRPr="00A86DE3" w:rsidRDefault="00A86DE3" w:rsidP="00A86DE3">
      <w:pPr>
        <w:pStyle w:val="NormalWeb"/>
        <w:ind w:left="567" w:hanging="567"/>
        <w:jc w:val="both"/>
        <w:rPr>
          <w:lang w:val="en-ID"/>
        </w:rPr>
      </w:pPr>
      <w:r w:rsidRPr="00A86DE3">
        <w:rPr>
          <w:lang w:val="en-ID"/>
        </w:rPr>
        <w:t xml:space="preserve">Ministry of Health, Republic of Indonesia. (2012). </w:t>
      </w:r>
      <w:r w:rsidRPr="00A86DE3">
        <w:rPr>
          <w:i/>
          <w:iCs/>
          <w:lang w:val="en-ID"/>
        </w:rPr>
        <w:t>Guidelines for school dental health efforts (UKGS).</w:t>
      </w:r>
    </w:p>
    <w:p w14:paraId="362CCE12" w14:textId="77777777" w:rsidR="00A86DE3" w:rsidRPr="00A86DE3" w:rsidRDefault="00A86DE3" w:rsidP="00A86DE3">
      <w:pPr>
        <w:pStyle w:val="NormalWeb"/>
        <w:ind w:left="567" w:hanging="567"/>
        <w:jc w:val="both"/>
        <w:rPr>
          <w:lang w:val="en-ID"/>
        </w:rPr>
      </w:pPr>
      <w:r w:rsidRPr="00A86DE3">
        <w:rPr>
          <w:lang w:val="en-ID"/>
        </w:rPr>
        <w:t xml:space="preserve">Ministry of Health. (2012). </w:t>
      </w:r>
      <w:r w:rsidRPr="00A86DE3">
        <w:rPr>
          <w:i/>
          <w:iCs/>
          <w:lang w:val="en-ID"/>
        </w:rPr>
        <w:t>Oral health service programme plan.</w:t>
      </w:r>
    </w:p>
    <w:p w14:paraId="6FEA4C7F" w14:textId="77777777" w:rsidR="00A86DE3" w:rsidRPr="00A86DE3" w:rsidRDefault="00A86DE3" w:rsidP="00A86DE3">
      <w:pPr>
        <w:pStyle w:val="NormalWeb"/>
        <w:ind w:left="567" w:hanging="567"/>
        <w:jc w:val="both"/>
        <w:rPr>
          <w:lang w:val="en-ID"/>
        </w:rPr>
      </w:pPr>
      <w:r w:rsidRPr="00A86DE3">
        <w:rPr>
          <w:lang w:val="en-ID"/>
        </w:rPr>
        <w:t xml:space="preserve">Nio, B. K. (1987). </w:t>
      </w:r>
      <w:r w:rsidRPr="00A86DE3">
        <w:rPr>
          <w:i/>
          <w:iCs/>
          <w:lang w:val="en-ID"/>
        </w:rPr>
        <w:t>Preventive dentistry part 2.</w:t>
      </w:r>
      <w:r w:rsidRPr="00A86DE3">
        <w:rPr>
          <w:lang w:val="en-ID"/>
        </w:rPr>
        <w:t xml:space="preserve"> Dental Health Foundation.</w:t>
      </w:r>
    </w:p>
    <w:p w14:paraId="0A859AAD" w14:textId="77777777" w:rsidR="00A86DE3" w:rsidRPr="00A86DE3" w:rsidRDefault="00A86DE3" w:rsidP="00A86DE3">
      <w:pPr>
        <w:pStyle w:val="NormalWeb"/>
        <w:ind w:left="567" w:hanging="567"/>
        <w:jc w:val="both"/>
        <w:rPr>
          <w:lang w:val="en-ID"/>
        </w:rPr>
      </w:pPr>
      <w:r w:rsidRPr="00A86DE3">
        <w:rPr>
          <w:lang w:val="en-ID"/>
        </w:rPr>
        <w:t xml:space="preserve">Number, C. C., &amp; Banadough, C. A. (1991). Psychometric theory. </w:t>
      </w:r>
      <w:r w:rsidRPr="00A86DE3">
        <w:rPr>
          <w:i/>
          <w:iCs/>
          <w:lang w:val="en-ID"/>
        </w:rPr>
        <w:t>Citation Classics, 13</w:t>
      </w:r>
      <w:r w:rsidRPr="00A86DE3">
        <w:rPr>
          <w:lang w:val="en-ID"/>
        </w:rPr>
        <w:t>(48).</w:t>
      </w:r>
    </w:p>
    <w:p w14:paraId="428BA01C" w14:textId="77777777" w:rsidR="00A86DE3" w:rsidRPr="00A86DE3" w:rsidRDefault="00A86DE3" w:rsidP="00A86DE3">
      <w:pPr>
        <w:pStyle w:val="NormalWeb"/>
        <w:ind w:left="567" w:hanging="567"/>
        <w:jc w:val="both"/>
        <w:rPr>
          <w:lang w:val="en-ID"/>
        </w:rPr>
      </w:pPr>
      <w:r w:rsidRPr="00A86DE3">
        <w:rPr>
          <w:lang w:val="en-ID"/>
        </w:rPr>
        <w:t xml:space="preserve">O’Leary, T. J., Drake, R. B., &amp; Naylor, J. E. (1972). The plaque control record. </w:t>
      </w:r>
      <w:r w:rsidRPr="00A86DE3">
        <w:rPr>
          <w:i/>
          <w:iCs/>
          <w:lang w:val="en-ID"/>
        </w:rPr>
        <w:t>Journal of Periodontology, 43</w:t>
      </w:r>
      <w:r w:rsidRPr="00A86DE3">
        <w:rPr>
          <w:lang w:val="en-ID"/>
        </w:rPr>
        <w:t>(1), 38–.</w:t>
      </w:r>
    </w:p>
    <w:p w14:paraId="018A3408" w14:textId="77777777" w:rsidR="00A86DE3" w:rsidRPr="00A86DE3" w:rsidRDefault="00A86DE3" w:rsidP="00A86DE3">
      <w:pPr>
        <w:pStyle w:val="NormalWeb"/>
        <w:ind w:left="567" w:hanging="567"/>
        <w:jc w:val="both"/>
        <w:rPr>
          <w:lang w:val="en-ID"/>
        </w:rPr>
      </w:pPr>
      <w:r w:rsidRPr="00A86DE3">
        <w:rPr>
          <w:lang w:val="en-ID"/>
        </w:rPr>
        <w:t xml:space="preserve">Pratiwi, N. L. (2004). </w:t>
      </w:r>
      <w:r w:rsidRPr="00A86DE3">
        <w:rPr>
          <w:i/>
          <w:iCs/>
          <w:lang w:val="en-ID"/>
        </w:rPr>
        <w:t>The influence of self-efficacy through cognitive, motivational and affective abilities of health cadres on dental health behaviour</w:t>
      </w:r>
      <w:r w:rsidRPr="00A86DE3">
        <w:rPr>
          <w:lang w:val="en-ID"/>
        </w:rPr>
        <w:t xml:space="preserve"> (Doctoral dissertation). Universitas Airlangga.</w:t>
      </w:r>
    </w:p>
    <w:p w14:paraId="2DFAD2ED" w14:textId="77777777" w:rsidR="00A86DE3" w:rsidRPr="00A86DE3" w:rsidRDefault="00A86DE3" w:rsidP="00A86DE3">
      <w:pPr>
        <w:pStyle w:val="NormalWeb"/>
        <w:ind w:left="567" w:hanging="567"/>
        <w:jc w:val="both"/>
        <w:rPr>
          <w:lang w:val="en-ID"/>
        </w:rPr>
      </w:pPr>
      <w:r w:rsidRPr="00A86DE3">
        <w:rPr>
          <w:lang w:val="en-ID"/>
        </w:rPr>
        <w:t xml:space="preserve">Republic of Indonesia State Secretariat. (2009). </w:t>
      </w:r>
      <w:r w:rsidRPr="00A86DE3">
        <w:rPr>
          <w:i/>
          <w:iCs/>
          <w:lang w:val="en-ID"/>
        </w:rPr>
        <w:t>Law of the Republic of Indonesia Number 36 of 2009.</w:t>
      </w:r>
    </w:p>
    <w:p w14:paraId="0A7A9489" w14:textId="77777777" w:rsidR="00A86DE3" w:rsidRPr="00A86DE3" w:rsidRDefault="00A86DE3" w:rsidP="00A86DE3">
      <w:pPr>
        <w:pStyle w:val="NormalWeb"/>
        <w:ind w:left="567" w:hanging="567"/>
        <w:jc w:val="both"/>
        <w:rPr>
          <w:lang w:val="en-ID"/>
        </w:rPr>
      </w:pPr>
      <w:r w:rsidRPr="00A86DE3">
        <w:rPr>
          <w:lang w:val="en-ID"/>
        </w:rPr>
        <w:t xml:space="preserve">Setiabudi, T. O., &amp; Nasution, F. H. (2022). Oral hygiene assessment of dental students using the oral rating index (ORI). </w:t>
      </w:r>
      <w:r w:rsidRPr="00A86DE3">
        <w:rPr>
          <w:i/>
          <w:iCs/>
          <w:lang w:val="en-ID"/>
        </w:rPr>
        <w:t>Dental Journal, 55</w:t>
      </w:r>
      <w:r w:rsidRPr="00A86DE3">
        <w:rPr>
          <w:lang w:val="en-ID"/>
        </w:rPr>
        <w:t xml:space="preserve">(3), 142–147. </w:t>
      </w:r>
      <w:hyperlink r:id="rId17" w:tgtFrame="_new" w:history="1">
        <w:r w:rsidRPr="00A86DE3">
          <w:rPr>
            <w:rStyle w:val="Hyperlink"/>
            <w:lang w:val="en-ID"/>
          </w:rPr>
          <w:t>https://doi.org/10.20473/J.DJMKG.V55.I3.P142-147</w:t>
        </w:r>
      </w:hyperlink>
    </w:p>
    <w:p w14:paraId="1BA100DC" w14:textId="77777777" w:rsidR="00A86DE3" w:rsidRPr="00A86DE3" w:rsidRDefault="00A86DE3" w:rsidP="00A86DE3">
      <w:pPr>
        <w:pStyle w:val="NormalWeb"/>
        <w:ind w:left="567" w:hanging="567"/>
        <w:jc w:val="both"/>
        <w:rPr>
          <w:lang w:val="en-ID"/>
        </w:rPr>
      </w:pPr>
      <w:r w:rsidRPr="00A86DE3">
        <w:rPr>
          <w:lang w:val="en-ID"/>
        </w:rPr>
        <w:lastRenderedPageBreak/>
        <w:t xml:space="preserve">Sukumaran, N., Sharma, V., &amp; Bhat, P. K. (2020). Dental caries, body mass index, and socioeconomic status among preschoolers in private preschools and Anganwadi centers in Bengaluru city: A comparative study. </w:t>
      </w:r>
      <w:r w:rsidRPr="00A86DE3">
        <w:rPr>
          <w:i/>
          <w:iCs/>
          <w:lang w:val="en-ID"/>
        </w:rPr>
        <w:t>International Journal of Clinical Pediatric Dentistry, 13</w:t>
      </w:r>
      <w:r w:rsidRPr="00A86DE3">
        <w:rPr>
          <w:lang w:val="en-ID"/>
        </w:rPr>
        <w:t xml:space="preserve">(6), 630–634. </w:t>
      </w:r>
      <w:hyperlink r:id="rId18" w:tgtFrame="_new" w:history="1">
        <w:r w:rsidRPr="00A86DE3">
          <w:rPr>
            <w:rStyle w:val="Hyperlink"/>
            <w:lang w:val="en-ID"/>
          </w:rPr>
          <w:t>https://doi.org/10.5005/jp-journals-10005-1848</w:t>
        </w:r>
      </w:hyperlink>
    </w:p>
    <w:p w14:paraId="0AAAB2C8" w14:textId="77777777" w:rsidR="00A86DE3" w:rsidRPr="00A86DE3" w:rsidRDefault="00A86DE3" w:rsidP="00A86DE3">
      <w:pPr>
        <w:pStyle w:val="NormalWeb"/>
        <w:ind w:left="567" w:hanging="567"/>
        <w:jc w:val="both"/>
        <w:rPr>
          <w:lang w:val="en-ID"/>
        </w:rPr>
      </w:pPr>
      <w:r w:rsidRPr="00A86DE3">
        <w:rPr>
          <w:lang w:val="en-ID"/>
        </w:rPr>
        <w:t>Sutomo, B. (2022). Oral health promotion model through empowerment of dental health cadres in the community dental health effort (UKGM) programme.</w:t>
      </w:r>
    </w:p>
    <w:p w14:paraId="51995CFD" w14:textId="77777777" w:rsidR="00A86DE3" w:rsidRPr="00A86DE3" w:rsidRDefault="00A86DE3" w:rsidP="00A86DE3">
      <w:pPr>
        <w:pStyle w:val="NormalWeb"/>
        <w:ind w:left="567" w:hanging="567"/>
        <w:jc w:val="both"/>
        <w:rPr>
          <w:lang w:val="en-ID"/>
        </w:rPr>
      </w:pPr>
      <w:r w:rsidRPr="00A86DE3">
        <w:rPr>
          <w:lang w:val="en-ID"/>
        </w:rPr>
        <w:t xml:space="preserve">Taboada-Aranza, O., &amp; Rodríguez-Nieto, K. (2018). Prevalence of plaque and dental decay in the first permanent molar in a school population of south Mexico City. </w:t>
      </w:r>
      <w:r w:rsidRPr="00A86DE3">
        <w:rPr>
          <w:i/>
          <w:iCs/>
          <w:lang w:val="en-ID"/>
        </w:rPr>
        <w:t>Boletín Médico del Hospital Infantil de México, 75</w:t>
      </w:r>
      <w:r w:rsidRPr="00A86DE3">
        <w:rPr>
          <w:lang w:val="en-ID"/>
        </w:rPr>
        <w:t xml:space="preserve">(2), 99–104. </w:t>
      </w:r>
      <w:hyperlink r:id="rId19" w:tgtFrame="_new" w:history="1">
        <w:r w:rsidRPr="00A86DE3">
          <w:rPr>
            <w:rStyle w:val="Hyperlink"/>
            <w:lang w:val="en-ID"/>
          </w:rPr>
          <w:t>https://doi.org/10.24875/BMHIME.M18000030</w:t>
        </w:r>
      </w:hyperlink>
    </w:p>
    <w:p w14:paraId="03912C32" w14:textId="77777777" w:rsidR="00A86DE3" w:rsidRPr="00A86DE3" w:rsidRDefault="00A86DE3" w:rsidP="00A86DE3">
      <w:pPr>
        <w:pStyle w:val="NormalWeb"/>
        <w:ind w:left="567" w:hanging="567"/>
        <w:jc w:val="both"/>
        <w:rPr>
          <w:lang w:val="en-ID"/>
        </w:rPr>
      </w:pPr>
      <w:r w:rsidRPr="00A86DE3">
        <w:rPr>
          <w:lang w:val="en-ID"/>
        </w:rPr>
        <w:t xml:space="preserve">Tusi, S. K., Momeni, Z., Hamdollahpoor, H., Parviz, N., &amp; Ghorbani, M. (2025). Evaluating the effectiveness of various teaching methods on dental plaque removal in children: A quasi-experimental study. </w:t>
      </w:r>
      <w:r w:rsidRPr="00A86DE3">
        <w:rPr>
          <w:i/>
          <w:iCs/>
          <w:lang w:val="en-ID"/>
        </w:rPr>
        <w:t>BMC Pediatrics, 25</w:t>
      </w:r>
      <w:r w:rsidRPr="00A86DE3">
        <w:rPr>
          <w:lang w:val="en-ID"/>
        </w:rPr>
        <w:t xml:space="preserve">(1). </w:t>
      </w:r>
      <w:hyperlink r:id="rId20" w:tgtFrame="_new" w:history="1">
        <w:r w:rsidRPr="00A86DE3">
          <w:rPr>
            <w:rStyle w:val="Hyperlink"/>
            <w:lang w:val="en-ID"/>
          </w:rPr>
          <w:t>https://doi.org/10.1186/s12887-025-05438-6</w:t>
        </w:r>
      </w:hyperlink>
    </w:p>
    <w:p w14:paraId="73592086" w14:textId="77777777" w:rsidR="00A86DE3" w:rsidRPr="00A86DE3" w:rsidRDefault="00A86DE3" w:rsidP="00A86DE3">
      <w:pPr>
        <w:pStyle w:val="NormalWeb"/>
        <w:ind w:left="567" w:hanging="567"/>
        <w:jc w:val="both"/>
        <w:rPr>
          <w:lang w:val="en-ID"/>
        </w:rPr>
      </w:pPr>
      <w:r w:rsidRPr="00A86DE3">
        <w:rPr>
          <w:lang w:val="en-ID"/>
        </w:rPr>
        <w:t xml:space="preserve">Vijyakumar, M., Ashari, A., Yazid, F., Rani, H., &amp; Kuppusamy, E. (2024). Reliability of smartphone images to assess plaque score among preschool children: A pilot study. </w:t>
      </w:r>
      <w:r w:rsidRPr="00A86DE3">
        <w:rPr>
          <w:i/>
          <w:iCs/>
          <w:lang w:val="en-ID"/>
        </w:rPr>
        <w:t>Journal of Clinical Pediatric Dentistry, 48</w:t>
      </w:r>
      <w:r w:rsidRPr="00A86DE3">
        <w:rPr>
          <w:lang w:val="en-ID"/>
        </w:rPr>
        <w:t xml:space="preserve">(2), 143–148. </w:t>
      </w:r>
      <w:hyperlink r:id="rId21" w:tgtFrame="_new" w:history="1">
        <w:r w:rsidRPr="00A86DE3">
          <w:rPr>
            <w:rStyle w:val="Hyperlink"/>
            <w:lang w:val="en-ID"/>
          </w:rPr>
          <w:t>https://doi.org/10.22514/jocpd.2024.042</w:t>
        </w:r>
      </w:hyperlink>
    </w:p>
    <w:p w14:paraId="078EFA81" w14:textId="77777777" w:rsidR="00A86DE3" w:rsidRPr="00063EAF" w:rsidRDefault="00A86DE3" w:rsidP="00063EAF">
      <w:pPr>
        <w:pStyle w:val="NormalWeb"/>
        <w:ind w:left="567" w:hanging="567"/>
        <w:jc w:val="both"/>
      </w:pPr>
    </w:p>
    <w:p w14:paraId="2A96516C" w14:textId="5FE63419" w:rsidR="00F74C73" w:rsidRPr="00063EAF" w:rsidRDefault="00F74C73" w:rsidP="00063EAF">
      <w:pPr>
        <w:widowControl w:val="0"/>
        <w:autoSpaceDE w:val="0"/>
        <w:autoSpaceDN w:val="0"/>
        <w:adjustRightInd w:val="0"/>
        <w:spacing w:after="0" w:line="240" w:lineRule="auto"/>
        <w:ind w:left="1276" w:hanging="1276"/>
        <w:jc w:val="both"/>
      </w:pPr>
    </w:p>
    <w:sectPr w:rsidR="00F74C73" w:rsidRPr="00063EAF" w:rsidSect="00BE0F17">
      <w:type w:val="continuous"/>
      <w:pgSz w:w="11907" w:h="16839" w:code="9"/>
      <w:pgMar w:top="1418"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27EE"/>
    <w:multiLevelType w:val="multilevel"/>
    <w:tmpl w:val="2424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D7033"/>
    <w:multiLevelType w:val="multilevel"/>
    <w:tmpl w:val="2ECC9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370E50"/>
    <w:multiLevelType w:val="hybridMultilevel"/>
    <w:tmpl w:val="75CA2216"/>
    <w:lvl w:ilvl="0" w:tplc="3AA0584A">
      <w:start w:val="1"/>
      <w:numFmt w:val="decimal"/>
      <w:lvlText w:val="[%1]"/>
      <w:lvlJc w:val="left"/>
      <w:pPr>
        <w:ind w:left="360" w:hanging="360"/>
      </w:pPr>
    </w:lvl>
    <w:lvl w:ilvl="1" w:tplc="38090019">
      <w:start w:val="1"/>
      <w:numFmt w:val="lowerLetter"/>
      <w:lvlText w:val="%2."/>
      <w:lvlJc w:val="left"/>
      <w:pPr>
        <w:ind w:left="1080" w:hanging="360"/>
      </w:pPr>
    </w:lvl>
    <w:lvl w:ilvl="2" w:tplc="3809001B">
      <w:start w:val="1"/>
      <w:numFmt w:val="lowerRoman"/>
      <w:lvlText w:val="%3."/>
      <w:lvlJc w:val="right"/>
      <w:pPr>
        <w:ind w:left="1800" w:hanging="180"/>
      </w:pPr>
    </w:lvl>
    <w:lvl w:ilvl="3" w:tplc="3809000F">
      <w:start w:val="1"/>
      <w:numFmt w:val="decimal"/>
      <w:lvlText w:val="%4."/>
      <w:lvlJc w:val="left"/>
      <w:pPr>
        <w:ind w:left="2520" w:hanging="360"/>
      </w:pPr>
    </w:lvl>
    <w:lvl w:ilvl="4" w:tplc="38090019">
      <w:start w:val="1"/>
      <w:numFmt w:val="lowerLetter"/>
      <w:lvlText w:val="%5."/>
      <w:lvlJc w:val="left"/>
      <w:pPr>
        <w:ind w:left="3240" w:hanging="360"/>
      </w:pPr>
    </w:lvl>
    <w:lvl w:ilvl="5" w:tplc="3809001B">
      <w:start w:val="1"/>
      <w:numFmt w:val="lowerRoman"/>
      <w:lvlText w:val="%6."/>
      <w:lvlJc w:val="right"/>
      <w:pPr>
        <w:ind w:left="3960" w:hanging="180"/>
      </w:pPr>
    </w:lvl>
    <w:lvl w:ilvl="6" w:tplc="3809000F">
      <w:start w:val="1"/>
      <w:numFmt w:val="decimal"/>
      <w:lvlText w:val="%7."/>
      <w:lvlJc w:val="left"/>
      <w:pPr>
        <w:ind w:left="4680" w:hanging="360"/>
      </w:pPr>
    </w:lvl>
    <w:lvl w:ilvl="7" w:tplc="38090019">
      <w:start w:val="1"/>
      <w:numFmt w:val="lowerLetter"/>
      <w:lvlText w:val="%8."/>
      <w:lvlJc w:val="left"/>
      <w:pPr>
        <w:ind w:left="5400" w:hanging="360"/>
      </w:pPr>
    </w:lvl>
    <w:lvl w:ilvl="8" w:tplc="3809001B">
      <w:start w:val="1"/>
      <w:numFmt w:val="lowerRoman"/>
      <w:lvlText w:val="%9."/>
      <w:lvlJc w:val="right"/>
      <w:pPr>
        <w:ind w:left="6120" w:hanging="180"/>
      </w:pPr>
    </w:lvl>
  </w:abstractNum>
  <w:abstractNum w:abstractNumId="3" w15:restartNumberingAfterBreak="0">
    <w:nsid w:val="2E702E3F"/>
    <w:multiLevelType w:val="hybridMultilevel"/>
    <w:tmpl w:val="E8DA7EE6"/>
    <w:lvl w:ilvl="0" w:tplc="04210001">
      <w:start w:val="1"/>
      <w:numFmt w:val="bullet"/>
      <w:lvlText w:val=""/>
      <w:lvlJc w:val="left"/>
      <w:pPr>
        <w:ind w:left="1004" w:hanging="360"/>
      </w:pPr>
      <w:rPr>
        <w:rFonts w:ascii="Symbol" w:hAnsi="Symbol" w:hint="default"/>
      </w:rPr>
    </w:lvl>
    <w:lvl w:ilvl="1" w:tplc="04210003" w:tentative="1">
      <w:start w:val="1"/>
      <w:numFmt w:val="bullet"/>
      <w:lvlText w:val="o"/>
      <w:lvlJc w:val="left"/>
      <w:pPr>
        <w:ind w:left="1724" w:hanging="360"/>
      </w:pPr>
      <w:rPr>
        <w:rFonts w:ascii="Courier New" w:hAnsi="Courier New" w:cs="Courier New" w:hint="default"/>
      </w:rPr>
    </w:lvl>
    <w:lvl w:ilvl="2" w:tplc="04210005" w:tentative="1">
      <w:start w:val="1"/>
      <w:numFmt w:val="bullet"/>
      <w:lvlText w:val=""/>
      <w:lvlJc w:val="left"/>
      <w:pPr>
        <w:ind w:left="2444" w:hanging="360"/>
      </w:pPr>
      <w:rPr>
        <w:rFonts w:ascii="Wingdings" w:hAnsi="Wingdings" w:hint="default"/>
      </w:rPr>
    </w:lvl>
    <w:lvl w:ilvl="3" w:tplc="04210001" w:tentative="1">
      <w:start w:val="1"/>
      <w:numFmt w:val="bullet"/>
      <w:lvlText w:val=""/>
      <w:lvlJc w:val="left"/>
      <w:pPr>
        <w:ind w:left="3164" w:hanging="360"/>
      </w:pPr>
      <w:rPr>
        <w:rFonts w:ascii="Symbol" w:hAnsi="Symbol" w:hint="default"/>
      </w:rPr>
    </w:lvl>
    <w:lvl w:ilvl="4" w:tplc="04210003" w:tentative="1">
      <w:start w:val="1"/>
      <w:numFmt w:val="bullet"/>
      <w:lvlText w:val="o"/>
      <w:lvlJc w:val="left"/>
      <w:pPr>
        <w:ind w:left="3884" w:hanging="360"/>
      </w:pPr>
      <w:rPr>
        <w:rFonts w:ascii="Courier New" w:hAnsi="Courier New" w:cs="Courier New" w:hint="default"/>
      </w:rPr>
    </w:lvl>
    <w:lvl w:ilvl="5" w:tplc="04210005" w:tentative="1">
      <w:start w:val="1"/>
      <w:numFmt w:val="bullet"/>
      <w:lvlText w:val=""/>
      <w:lvlJc w:val="left"/>
      <w:pPr>
        <w:ind w:left="4604" w:hanging="360"/>
      </w:pPr>
      <w:rPr>
        <w:rFonts w:ascii="Wingdings" w:hAnsi="Wingdings" w:hint="default"/>
      </w:rPr>
    </w:lvl>
    <w:lvl w:ilvl="6" w:tplc="04210001" w:tentative="1">
      <w:start w:val="1"/>
      <w:numFmt w:val="bullet"/>
      <w:lvlText w:val=""/>
      <w:lvlJc w:val="left"/>
      <w:pPr>
        <w:ind w:left="5324" w:hanging="360"/>
      </w:pPr>
      <w:rPr>
        <w:rFonts w:ascii="Symbol" w:hAnsi="Symbol" w:hint="default"/>
      </w:rPr>
    </w:lvl>
    <w:lvl w:ilvl="7" w:tplc="04210003" w:tentative="1">
      <w:start w:val="1"/>
      <w:numFmt w:val="bullet"/>
      <w:lvlText w:val="o"/>
      <w:lvlJc w:val="left"/>
      <w:pPr>
        <w:ind w:left="6044" w:hanging="360"/>
      </w:pPr>
      <w:rPr>
        <w:rFonts w:ascii="Courier New" w:hAnsi="Courier New" w:cs="Courier New" w:hint="default"/>
      </w:rPr>
    </w:lvl>
    <w:lvl w:ilvl="8" w:tplc="04210005" w:tentative="1">
      <w:start w:val="1"/>
      <w:numFmt w:val="bullet"/>
      <w:lvlText w:val=""/>
      <w:lvlJc w:val="left"/>
      <w:pPr>
        <w:ind w:left="6764" w:hanging="360"/>
      </w:pPr>
      <w:rPr>
        <w:rFonts w:ascii="Wingdings" w:hAnsi="Wingdings" w:hint="default"/>
      </w:rPr>
    </w:lvl>
  </w:abstractNum>
  <w:abstractNum w:abstractNumId="4" w15:restartNumberingAfterBreak="0">
    <w:nsid w:val="53787660"/>
    <w:multiLevelType w:val="hybridMultilevel"/>
    <w:tmpl w:val="258006C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BE94FDC"/>
    <w:multiLevelType w:val="multilevel"/>
    <w:tmpl w:val="E098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0414A4"/>
    <w:multiLevelType w:val="multilevel"/>
    <w:tmpl w:val="0CF6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105D9C"/>
    <w:multiLevelType w:val="hybridMultilevel"/>
    <w:tmpl w:val="15B4F692"/>
    <w:lvl w:ilvl="0" w:tplc="DCFC4782">
      <w:start w:val="1"/>
      <w:numFmt w:val="decimal"/>
      <w:lvlText w:val="%1."/>
      <w:lvlJc w:val="left"/>
      <w:pPr>
        <w:ind w:left="720" w:hanging="360"/>
      </w:pPr>
      <w:rPr>
        <w:rFonts w:hint="default"/>
        <w:b w:val="0"/>
        <w:bCs/>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74535845"/>
    <w:multiLevelType w:val="hybridMultilevel"/>
    <w:tmpl w:val="2158B1D8"/>
    <w:lvl w:ilvl="0" w:tplc="F27E6E94">
      <w:start w:val="1"/>
      <w:numFmt w:val="lowerLetter"/>
      <w:lvlText w:val="(%1)"/>
      <w:lvlJc w:val="left"/>
      <w:pPr>
        <w:tabs>
          <w:tab w:val="num" w:pos="720"/>
        </w:tabs>
        <w:ind w:left="720" w:hanging="360"/>
      </w:pPr>
      <w:rPr>
        <w:rFonts w:hint="default"/>
        <w:b/>
      </w:rPr>
    </w:lvl>
    <w:lvl w:ilvl="1" w:tplc="8FAC64E6" w:tentative="1">
      <w:start w:val="1"/>
      <w:numFmt w:val="lowerLetter"/>
      <w:lvlText w:val="%2."/>
      <w:lvlJc w:val="left"/>
      <w:pPr>
        <w:tabs>
          <w:tab w:val="num" w:pos="1440"/>
        </w:tabs>
        <w:ind w:left="1440" w:hanging="360"/>
      </w:pPr>
    </w:lvl>
    <w:lvl w:ilvl="2" w:tplc="2B663194" w:tentative="1">
      <w:start w:val="1"/>
      <w:numFmt w:val="lowerRoman"/>
      <w:lvlText w:val="%3."/>
      <w:lvlJc w:val="right"/>
      <w:pPr>
        <w:tabs>
          <w:tab w:val="num" w:pos="2160"/>
        </w:tabs>
        <w:ind w:left="2160" w:hanging="180"/>
      </w:pPr>
    </w:lvl>
    <w:lvl w:ilvl="3" w:tplc="521445AA" w:tentative="1">
      <w:start w:val="1"/>
      <w:numFmt w:val="decimal"/>
      <w:lvlText w:val="%4."/>
      <w:lvlJc w:val="left"/>
      <w:pPr>
        <w:tabs>
          <w:tab w:val="num" w:pos="2880"/>
        </w:tabs>
        <w:ind w:left="2880" w:hanging="360"/>
      </w:pPr>
    </w:lvl>
    <w:lvl w:ilvl="4" w:tplc="002E3268" w:tentative="1">
      <w:start w:val="1"/>
      <w:numFmt w:val="lowerLetter"/>
      <w:lvlText w:val="%5."/>
      <w:lvlJc w:val="left"/>
      <w:pPr>
        <w:tabs>
          <w:tab w:val="num" w:pos="3600"/>
        </w:tabs>
        <w:ind w:left="3600" w:hanging="360"/>
      </w:pPr>
    </w:lvl>
    <w:lvl w:ilvl="5" w:tplc="26FCE498" w:tentative="1">
      <w:start w:val="1"/>
      <w:numFmt w:val="lowerRoman"/>
      <w:lvlText w:val="%6."/>
      <w:lvlJc w:val="right"/>
      <w:pPr>
        <w:tabs>
          <w:tab w:val="num" w:pos="4320"/>
        </w:tabs>
        <w:ind w:left="4320" w:hanging="180"/>
      </w:pPr>
    </w:lvl>
    <w:lvl w:ilvl="6" w:tplc="4EB4D7D4" w:tentative="1">
      <w:start w:val="1"/>
      <w:numFmt w:val="decimal"/>
      <w:lvlText w:val="%7."/>
      <w:lvlJc w:val="left"/>
      <w:pPr>
        <w:tabs>
          <w:tab w:val="num" w:pos="5040"/>
        </w:tabs>
        <w:ind w:left="5040" w:hanging="360"/>
      </w:pPr>
    </w:lvl>
    <w:lvl w:ilvl="7" w:tplc="914CAC86" w:tentative="1">
      <w:start w:val="1"/>
      <w:numFmt w:val="lowerLetter"/>
      <w:lvlText w:val="%8."/>
      <w:lvlJc w:val="left"/>
      <w:pPr>
        <w:tabs>
          <w:tab w:val="num" w:pos="5760"/>
        </w:tabs>
        <w:ind w:left="5760" w:hanging="360"/>
      </w:pPr>
    </w:lvl>
    <w:lvl w:ilvl="8" w:tplc="0E14654C" w:tentative="1">
      <w:start w:val="1"/>
      <w:numFmt w:val="lowerRoman"/>
      <w:lvlText w:val="%9."/>
      <w:lvlJc w:val="right"/>
      <w:pPr>
        <w:tabs>
          <w:tab w:val="num" w:pos="6480"/>
        </w:tabs>
        <w:ind w:left="6480" w:hanging="180"/>
      </w:pPr>
    </w:lvl>
  </w:abstractNum>
  <w:abstractNum w:abstractNumId="9" w15:restartNumberingAfterBreak="0">
    <w:nsid w:val="78E40B80"/>
    <w:multiLevelType w:val="multilevel"/>
    <w:tmpl w:val="B16A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991766">
    <w:abstractNumId w:val="8"/>
  </w:num>
  <w:num w:numId="2" w16cid:durableId="198278014">
    <w:abstractNumId w:val="6"/>
  </w:num>
  <w:num w:numId="3" w16cid:durableId="409085496">
    <w:abstractNumId w:val="3"/>
  </w:num>
  <w:num w:numId="4" w16cid:durableId="1607037541">
    <w:abstractNumId w:val="7"/>
  </w:num>
  <w:num w:numId="5" w16cid:durableId="1587111794">
    <w:abstractNumId w:val="9"/>
  </w:num>
  <w:num w:numId="6" w16cid:durableId="960377596">
    <w:abstractNumId w:val="0"/>
  </w:num>
  <w:num w:numId="7" w16cid:durableId="17493829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82096398">
    <w:abstractNumId w:val="2"/>
  </w:num>
  <w:num w:numId="9" w16cid:durableId="74399166">
    <w:abstractNumId w:val="4"/>
  </w:num>
  <w:num w:numId="10" w16cid:durableId="1386761246">
    <w:abstractNumId w:val="1"/>
  </w:num>
  <w:num w:numId="11" w16cid:durableId="21001782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F17"/>
    <w:rsid w:val="00063EAF"/>
    <w:rsid w:val="000A2469"/>
    <w:rsid w:val="000E2B0E"/>
    <w:rsid w:val="000E3461"/>
    <w:rsid w:val="000F691C"/>
    <w:rsid w:val="00120E7C"/>
    <w:rsid w:val="00125856"/>
    <w:rsid w:val="001B0728"/>
    <w:rsid w:val="001D6C3F"/>
    <w:rsid w:val="001F5EC8"/>
    <w:rsid w:val="00261E8E"/>
    <w:rsid w:val="002C7CA7"/>
    <w:rsid w:val="002D719C"/>
    <w:rsid w:val="00357E41"/>
    <w:rsid w:val="003672BC"/>
    <w:rsid w:val="00371E88"/>
    <w:rsid w:val="00374935"/>
    <w:rsid w:val="00393A13"/>
    <w:rsid w:val="003E3A35"/>
    <w:rsid w:val="004706F7"/>
    <w:rsid w:val="00494826"/>
    <w:rsid w:val="00496B4E"/>
    <w:rsid w:val="004A096C"/>
    <w:rsid w:val="004A278E"/>
    <w:rsid w:val="004F6E69"/>
    <w:rsid w:val="00515883"/>
    <w:rsid w:val="0055319E"/>
    <w:rsid w:val="005E4D67"/>
    <w:rsid w:val="005F3191"/>
    <w:rsid w:val="00620DAA"/>
    <w:rsid w:val="00653CF9"/>
    <w:rsid w:val="00665AD5"/>
    <w:rsid w:val="006B25E1"/>
    <w:rsid w:val="006C09F0"/>
    <w:rsid w:val="0070426F"/>
    <w:rsid w:val="007E5429"/>
    <w:rsid w:val="00857025"/>
    <w:rsid w:val="00861A74"/>
    <w:rsid w:val="008E01B7"/>
    <w:rsid w:val="008F7C95"/>
    <w:rsid w:val="00902556"/>
    <w:rsid w:val="00970F91"/>
    <w:rsid w:val="00993F39"/>
    <w:rsid w:val="009977A5"/>
    <w:rsid w:val="009C06BD"/>
    <w:rsid w:val="009C5431"/>
    <w:rsid w:val="00A00585"/>
    <w:rsid w:val="00A029B1"/>
    <w:rsid w:val="00A30145"/>
    <w:rsid w:val="00A350FE"/>
    <w:rsid w:val="00A60A79"/>
    <w:rsid w:val="00A86DE3"/>
    <w:rsid w:val="00AA6F2C"/>
    <w:rsid w:val="00AE5E23"/>
    <w:rsid w:val="00AF44BE"/>
    <w:rsid w:val="00B031FD"/>
    <w:rsid w:val="00B31766"/>
    <w:rsid w:val="00B95BDA"/>
    <w:rsid w:val="00BA7DF6"/>
    <w:rsid w:val="00BD7062"/>
    <w:rsid w:val="00BE0F17"/>
    <w:rsid w:val="00BF3560"/>
    <w:rsid w:val="00C054A4"/>
    <w:rsid w:val="00C3675F"/>
    <w:rsid w:val="00C56126"/>
    <w:rsid w:val="00C72522"/>
    <w:rsid w:val="00C7376E"/>
    <w:rsid w:val="00C85FBF"/>
    <w:rsid w:val="00C95E6B"/>
    <w:rsid w:val="00CB0763"/>
    <w:rsid w:val="00CD20B9"/>
    <w:rsid w:val="00D26B98"/>
    <w:rsid w:val="00D837B6"/>
    <w:rsid w:val="00DC39EC"/>
    <w:rsid w:val="00E106BD"/>
    <w:rsid w:val="00E167C3"/>
    <w:rsid w:val="00E410D5"/>
    <w:rsid w:val="00E57652"/>
    <w:rsid w:val="00EB3518"/>
    <w:rsid w:val="00EB718E"/>
    <w:rsid w:val="00ED5B9A"/>
    <w:rsid w:val="00EF7B51"/>
    <w:rsid w:val="00F00CDC"/>
    <w:rsid w:val="00F4102C"/>
    <w:rsid w:val="00F661DE"/>
    <w:rsid w:val="00F74C7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E4512"/>
  <w15:chartTrackingRefBased/>
  <w15:docId w15:val="{1FF16535-0E0A-4476-ADD4-142482048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F17"/>
    <w:pPr>
      <w:spacing w:after="200" w:line="276" w:lineRule="auto"/>
    </w:pPr>
    <w:rPr>
      <w:rFonts w:ascii="Calibri" w:eastAsia="Times New Roman" w:hAnsi="Calibri" w:cs="Times New Roman"/>
      <w:kern w:val="0"/>
      <w:lang w:val="en-US" w:bidi="en-US"/>
      <w14:ligatures w14:val="none"/>
    </w:rPr>
  </w:style>
  <w:style w:type="paragraph" w:styleId="Heading1">
    <w:name w:val="heading 1"/>
    <w:basedOn w:val="Normal"/>
    <w:next w:val="Normal"/>
    <w:link w:val="Heading1Char"/>
    <w:uiPriority w:val="9"/>
    <w:qFormat/>
    <w:rsid w:val="00BE0F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0F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0F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0F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0F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0F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F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F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F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F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0F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0F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0F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0F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0F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F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F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F17"/>
    <w:rPr>
      <w:rFonts w:eastAsiaTheme="majorEastAsia" w:cstheme="majorBidi"/>
      <w:color w:val="272727" w:themeColor="text1" w:themeTint="D8"/>
    </w:rPr>
  </w:style>
  <w:style w:type="paragraph" w:styleId="Title">
    <w:name w:val="Title"/>
    <w:basedOn w:val="Normal"/>
    <w:next w:val="Normal"/>
    <w:link w:val="TitleChar"/>
    <w:uiPriority w:val="10"/>
    <w:qFormat/>
    <w:rsid w:val="00BE0F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F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F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F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F17"/>
    <w:pPr>
      <w:spacing w:before="160"/>
      <w:jc w:val="center"/>
    </w:pPr>
    <w:rPr>
      <w:i/>
      <w:iCs/>
      <w:color w:val="404040" w:themeColor="text1" w:themeTint="BF"/>
    </w:rPr>
  </w:style>
  <w:style w:type="character" w:customStyle="1" w:styleId="QuoteChar">
    <w:name w:val="Quote Char"/>
    <w:basedOn w:val="DefaultParagraphFont"/>
    <w:link w:val="Quote"/>
    <w:uiPriority w:val="29"/>
    <w:rsid w:val="00BE0F17"/>
    <w:rPr>
      <w:i/>
      <w:iCs/>
      <w:color w:val="404040" w:themeColor="text1" w:themeTint="BF"/>
    </w:rPr>
  </w:style>
  <w:style w:type="paragraph" w:styleId="ListParagraph">
    <w:name w:val="List Paragraph"/>
    <w:basedOn w:val="Normal"/>
    <w:uiPriority w:val="34"/>
    <w:qFormat/>
    <w:rsid w:val="00BE0F17"/>
    <w:pPr>
      <w:ind w:left="720"/>
      <w:contextualSpacing/>
    </w:pPr>
  </w:style>
  <w:style w:type="character" w:styleId="IntenseEmphasis">
    <w:name w:val="Intense Emphasis"/>
    <w:basedOn w:val="DefaultParagraphFont"/>
    <w:uiPriority w:val="21"/>
    <w:qFormat/>
    <w:rsid w:val="00BE0F17"/>
    <w:rPr>
      <w:i/>
      <w:iCs/>
      <w:color w:val="2F5496" w:themeColor="accent1" w:themeShade="BF"/>
    </w:rPr>
  </w:style>
  <w:style w:type="paragraph" w:styleId="IntenseQuote">
    <w:name w:val="Intense Quote"/>
    <w:basedOn w:val="Normal"/>
    <w:next w:val="Normal"/>
    <w:link w:val="IntenseQuoteChar"/>
    <w:uiPriority w:val="30"/>
    <w:qFormat/>
    <w:rsid w:val="00BE0F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0F17"/>
    <w:rPr>
      <w:i/>
      <w:iCs/>
      <w:color w:val="2F5496" w:themeColor="accent1" w:themeShade="BF"/>
    </w:rPr>
  </w:style>
  <w:style w:type="character" w:styleId="IntenseReference">
    <w:name w:val="Intense Reference"/>
    <w:basedOn w:val="DefaultParagraphFont"/>
    <w:uiPriority w:val="32"/>
    <w:qFormat/>
    <w:rsid w:val="00BE0F17"/>
    <w:rPr>
      <w:b/>
      <w:bCs/>
      <w:smallCaps/>
      <w:color w:val="2F5496" w:themeColor="accent1" w:themeShade="BF"/>
      <w:spacing w:val="5"/>
    </w:rPr>
  </w:style>
  <w:style w:type="character" w:styleId="Emphasis">
    <w:name w:val="Emphasis"/>
    <w:uiPriority w:val="20"/>
    <w:qFormat/>
    <w:rsid w:val="00BE0F17"/>
    <w:rPr>
      <w:b/>
      <w:bCs/>
      <w:i/>
      <w:iCs/>
      <w:spacing w:val="10"/>
      <w:bdr w:val="none" w:sz="0" w:space="0" w:color="auto"/>
      <w:shd w:val="clear" w:color="auto" w:fill="auto"/>
    </w:rPr>
  </w:style>
  <w:style w:type="paragraph" w:styleId="NoSpacing">
    <w:name w:val="No Spacing"/>
    <w:basedOn w:val="Normal"/>
    <w:uiPriority w:val="1"/>
    <w:qFormat/>
    <w:rsid w:val="00BE0F17"/>
    <w:pPr>
      <w:spacing w:after="0" w:line="240" w:lineRule="auto"/>
    </w:pPr>
  </w:style>
  <w:style w:type="character" w:styleId="Hyperlink">
    <w:name w:val="Hyperlink"/>
    <w:basedOn w:val="DefaultParagraphFont"/>
    <w:uiPriority w:val="99"/>
    <w:unhideWhenUsed/>
    <w:rsid w:val="00BE0F17"/>
    <w:rPr>
      <w:color w:val="0000FF"/>
      <w:u w:val="single"/>
    </w:rPr>
  </w:style>
  <w:style w:type="paragraph" w:styleId="BodyText">
    <w:name w:val="Body Text"/>
    <w:basedOn w:val="Normal"/>
    <w:link w:val="BodyTextChar"/>
    <w:rsid w:val="00BE0F17"/>
    <w:pPr>
      <w:spacing w:after="120" w:line="240" w:lineRule="auto"/>
    </w:pPr>
    <w:rPr>
      <w:rFonts w:ascii="Times New Roman" w:hAnsi="Times New Roman"/>
      <w:sz w:val="20"/>
      <w:szCs w:val="20"/>
      <w:lang w:val="id-ID" w:eastAsia="id-ID" w:bidi="ar-SA"/>
    </w:rPr>
  </w:style>
  <w:style w:type="character" w:customStyle="1" w:styleId="BodyTextChar">
    <w:name w:val="Body Text Char"/>
    <w:basedOn w:val="DefaultParagraphFont"/>
    <w:link w:val="BodyText"/>
    <w:rsid w:val="00BE0F17"/>
    <w:rPr>
      <w:rFonts w:ascii="Times New Roman" w:eastAsia="Times New Roman" w:hAnsi="Times New Roman" w:cs="Times New Roman"/>
      <w:kern w:val="0"/>
      <w:sz w:val="20"/>
      <w:szCs w:val="20"/>
      <w:lang w:val="id-ID" w:eastAsia="id-ID"/>
      <w14:ligatures w14:val="none"/>
    </w:rPr>
  </w:style>
  <w:style w:type="paragraph" w:customStyle="1" w:styleId="Text">
    <w:name w:val="Text"/>
    <w:basedOn w:val="Normal"/>
    <w:rsid w:val="00BE0F17"/>
    <w:pPr>
      <w:widowControl w:val="0"/>
      <w:autoSpaceDE w:val="0"/>
      <w:autoSpaceDN w:val="0"/>
      <w:spacing w:after="0" w:line="252" w:lineRule="auto"/>
      <w:ind w:firstLine="202"/>
      <w:jc w:val="both"/>
    </w:pPr>
    <w:rPr>
      <w:rFonts w:ascii="Times New Roman" w:eastAsia="Batang" w:hAnsi="Times New Roman"/>
      <w:sz w:val="20"/>
      <w:szCs w:val="20"/>
      <w:lang w:eastAsia="ko-KR" w:bidi="ar-SA"/>
    </w:rPr>
  </w:style>
  <w:style w:type="table" w:styleId="TableGrid">
    <w:name w:val="Table Grid"/>
    <w:basedOn w:val="TableNormal"/>
    <w:uiPriority w:val="59"/>
    <w:rsid w:val="00BE0F17"/>
    <w:pPr>
      <w:spacing w:after="0" w:line="240" w:lineRule="auto"/>
    </w:pPr>
    <w:rPr>
      <w:rFonts w:ascii="Calibri" w:eastAsia="Times New Roman" w:hAnsi="Calibri" w:cs="Times New Roman"/>
      <w:kern w:val="0"/>
      <w:sz w:val="20"/>
      <w:szCs w:val="20"/>
      <w:lang w:val="id-ID" w:eastAsia="id-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C85FBF"/>
    <w:pPr>
      <w:spacing w:after="0" w:line="240" w:lineRule="auto"/>
    </w:pPr>
    <w:rPr>
      <w:sz w:val="24"/>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B031FD"/>
    <w:rPr>
      <w:color w:val="605E5C"/>
      <w:shd w:val="clear" w:color="auto" w:fill="E1DFDD"/>
    </w:rPr>
  </w:style>
  <w:style w:type="paragraph" w:styleId="NormalWeb">
    <w:name w:val="Normal (Web)"/>
    <w:basedOn w:val="Normal"/>
    <w:uiPriority w:val="99"/>
    <w:semiHidden/>
    <w:unhideWhenUsed/>
    <w:rsid w:val="00063EAF"/>
    <w:pPr>
      <w:spacing w:before="100" w:beforeAutospacing="1" w:after="100" w:afterAutospacing="1" w:line="240" w:lineRule="auto"/>
    </w:pPr>
    <w:rPr>
      <w:rFonts w:ascii="Times New Roman" w:hAnsi="Times New Roman"/>
      <w:sz w:val="24"/>
      <w:szCs w:val="24"/>
      <w:lang w:val="id-ID" w:eastAsia="id-ID"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86/s12903-017-0464-4" TargetMode="External"/><Relationship Id="rId13" Type="http://schemas.openxmlformats.org/officeDocument/2006/relationships/hyperlink" Target="https://doi.org/10.7759/cureus.91718" TargetMode="External"/><Relationship Id="rId18" Type="http://schemas.openxmlformats.org/officeDocument/2006/relationships/hyperlink" Target="https://doi.org/10.5005/jp-journals-10005-1848" TargetMode="External"/><Relationship Id="rId3" Type="http://schemas.openxmlformats.org/officeDocument/2006/relationships/styles" Target="styles.xml"/><Relationship Id="rId21" Type="http://schemas.openxmlformats.org/officeDocument/2006/relationships/hyperlink" Target="https://doi.org/10.22514/jocpd.2024.042" TargetMode="External"/><Relationship Id="rId7" Type="http://schemas.openxmlformats.org/officeDocument/2006/relationships/image" Target="media/image2.png"/><Relationship Id="rId12" Type="http://schemas.openxmlformats.org/officeDocument/2006/relationships/hyperlink" Target="https://doi.org/10.36082/jdht.v6i1.2188" TargetMode="External"/><Relationship Id="rId17" Type="http://schemas.openxmlformats.org/officeDocument/2006/relationships/hyperlink" Target="https://doi.org/10.20473/J.DJMKG.V55.I3.P142-147" TargetMode="External"/><Relationship Id="rId2" Type="http://schemas.openxmlformats.org/officeDocument/2006/relationships/numbering" Target="numbering.xml"/><Relationship Id="rId16" Type="http://schemas.openxmlformats.org/officeDocument/2006/relationships/hyperlink" Target="https://doi.org/10.1016/0003-9969(70)90142-1" TargetMode="External"/><Relationship Id="rId20" Type="http://schemas.openxmlformats.org/officeDocument/2006/relationships/hyperlink" Target="https://doi.org/10.1186/s12887-025-05438-6"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4219/jada.archive.1960.0177" TargetMode="External"/><Relationship Id="rId5" Type="http://schemas.openxmlformats.org/officeDocument/2006/relationships/webSettings" Target="webSettings.xml"/><Relationship Id="rId15" Type="http://schemas.openxmlformats.org/officeDocument/2006/relationships/hyperlink" Target="https://doi.org/10.1016/B978-0-12-030504-9.50010-X" TargetMode="External"/><Relationship Id="rId23" Type="http://schemas.openxmlformats.org/officeDocument/2006/relationships/theme" Target="theme/theme1.xml"/><Relationship Id="rId10" Type="http://schemas.openxmlformats.org/officeDocument/2006/relationships/hyperlink" Target="https://doi.org/10.1371/journal.pone.0322528" TargetMode="External"/><Relationship Id="rId19" Type="http://schemas.openxmlformats.org/officeDocument/2006/relationships/hyperlink" Target="https://doi.org/10.24875/BMHIME.M18000030" TargetMode="External"/><Relationship Id="rId4" Type="http://schemas.openxmlformats.org/officeDocument/2006/relationships/settings" Target="settings.xml"/><Relationship Id="rId9" Type="http://schemas.openxmlformats.org/officeDocument/2006/relationships/hyperlink" Target="https://doi.org/10.3290/j.ohpd.b1993907" TargetMode="External"/><Relationship Id="rId14" Type="http://schemas.openxmlformats.org/officeDocument/2006/relationships/hyperlink" Target="https://doi.org/10.31729/jnma.8215"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47C904E-4C9E-4F03-B5E9-B98C1661E4BC}">
  <we:reference id="wa104382081" version="1.55.1.0" store="en-US" storeType="OMEX"/>
  <we:alternateReferences>
    <we:reference id="WA104382081" version="1.55.1.0" store=""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819F1-A515-4E98-A45C-14C11D1E39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466</TotalTime>
  <Pages>7</Pages>
  <Words>3084</Words>
  <Characters>17583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 nitro</dc:creator>
  <cp:keywords/>
  <dc:description/>
  <cp:lastModifiedBy>acer nitro</cp:lastModifiedBy>
  <cp:revision>36</cp:revision>
  <dcterms:created xsi:type="dcterms:W3CDTF">2026-02-01T13:07:00Z</dcterms:created>
  <dcterms:modified xsi:type="dcterms:W3CDTF">2026-02-24T05:38:00Z</dcterms:modified>
</cp:coreProperties>
</file>