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547" w:rsidRDefault="002212EE">
      <w:pPr>
        <w:pBdr>
          <w:top w:val="nil"/>
          <w:left w:val="nil"/>
          <w:bottom w:val="nil"/>
          <w:right w:val="nil"/>
          <w:between w:val="nil"/>
        </w:pBdr>
        <w:tabs>
          <w:tab w:val="left" w:pos="960"/>
        </w:tabs>
        <w:spacing w:before="480" w:after="0" w:line="360" w:lineRule="auto"/>
        <w:rPr>
          <w:b/>
          <w:color w:val="000000"/>
          <w:sz w:val="28"/>
          <w:szCs w:val="28"/>
        </w:rPr>
      </w:pPr>
      <w:r>
        <w:rPr>
          <w:b/>
          <w:color w:val="000000"/>
          <w:sz w:val="28"/>
          <w:szCs w:val="28"/>
        </w:rPr>
        <w:tab/>
      </w:r>
      <w:r>
        <w:rPr>
          <w:noProof/>
        </w:rPr>
        <mc:AlternateContent>
          <mc:Choice Requires="wpg">
            <w:drawing>
              <wp:anchor distT="0" distB="0" distL="0" distR="0" simplePos="0" relativeHeight="251658240" behindDoc="1" locked="0" layoutInCell="1" hidden="0" allowOverlap="1">
                <wp:simplePos x="0" y="0"/>
                <wp:positionH relativeFrom="column">
                  <wp:posOffset>38100</wp:posOffset>
                </wp:positionH>
                <wp:positionV relativeFrom="paragraph">
                  <wp:posOffset>-596899</wp:posOffset>
                </wp:positionV>
                <wp:extent cx="5671821" cy="1115060"/>
                <wp:effectExtent l="0" t="0" r="0" b="0"/>
                <wp:wrapNone/>
                <wp:docPr id="1999032397" name="Group 1999032397"/>
                <wp:cNvGraphicFramePr/>
                <a:graphic xmlns:a="http://schemas.openxmlformats.org/drawingml/2006/main">
                  <a:graphicData uri="http://schemas.microsoft.com/office/word/2010/wordprocessingGroup">
                    <wpg:wgp>
                      <wpg:cNvGrpSpPr/>
                      <wpg:grpSpPr>
                        <a:xfrm>
                          <a:off x="0" y="0"/>
                          <a:ext cx="5671821" cy="1115060"/>
                          <a:chOff x="2510075" y="3222450"/>
                          <a:chExt cx="5671850" cy="1286625"/>
                        </a:xfrm>
                      </wpg:grpSpPr>
                      <wpg:grpSp>
                        <wpg:cNvPr id="1" name="Group 1"/>
                        <wpg:cNvGrpSpPr/>
                        <wpg:grpSpPr>
                          <a:xfrm>
                            <a:off x="2510090" y="3222470"/>
                            <a:ext cx="5671821" cy="1115060"/>
                            <a:chOff x="0" y="0"/>
                            <a:chExt cx="5728763" cy="1115060"/>
                          </a:xfrm>
                        </wpg:grpSpPr>
                        <wps:wsp>
                          <wps:cNvPr id="2" name="Rectangle 2"/>
                          <wps:cNvSpPr/>
                          <wps:spPr>
                            <a:xfrm>
                              <a:off x="0" y="0"/>
                              <a:ext cx="5728750" cy="1115050"/>
                            </a:xfrm>
                            <a:prstGeom prst="rect">
                              <a:avLst/>
                            </a:prstGeom>
                            <a:noFill/>
                            <a:ln>
                              <a:noFill/>
                            </a:ln>
                          </wps:spPr>
                          <wps:txbx>
                            <w:txbxContent>
                              <w:p w:rsidR="00560547" w:rsidRDefault="00560547">
                                <w:pPr>
                                  <w:spacing w:after="0"/>
                                  <w:textDirection w:val="btLr"/>
                                </w:pPr>
                              </w:p>
                            </w:txbxContent>
                          </wps:txbx>
                          <wps:bodyPr spcFirstLastPara="1" wrap="square" lIns="91425" tIns="91425" rIns="91425" bIns="91425" anchor="ctr" anchorCtr="0">
                            <a:noAutofit/>
                          </wps:bodyPr>
                        </wps:wsp>
                        <wps:wsp>
                          <wps:cNvPr id="3" name="Rectangle 3"/>
                          <wps:cNvSpPr/>
                          <wps:spPr>
                            <a:xfrm>
                              <a:off x="1038225" y="0"/>
                              <a:ext cx="4690538" cy="1115060"/>
                            </a:xfrm>
                            <a:prstGeom prst="rect">
                              <a:avLst/>
                            </a:prstGeom>
                            <a:solidFill>
                              <a:srgbClr val="D1D3D4"/>
                            </a:solidFill>
                            <a:ln>
                              <a:noFill/>
                            </a:ln>
                          </wps:spPr>
                          <wps:txbx>
                            <w:txbxContent>
                              <w:p w:rsidR="00560547" w:rsidRDefault="002212EE">
                                <w:pPr>
                                  <w:spacing w:before="182"/>
                                  <w:ind w:left="222" w:right="222" w:firstLine="222"/>
                                  <w:jc w:val="center"/>
                                  <w:textDirection w:val="btLr"/>
                                </w:pPr>
                                <w:r>
                                  <w:rPr>
                                    <w:rFonts w:ascii="Twentieth Century" w:eastAsia="Twentieth Century" w:hAnsi="Twentieth Century" w:cs="Twentieth Century"/>
                                    <w:b/>
                                    <w:color w:val="000000"/>
                                    <w:sz w:val="36"/>
                                  </w:rPr>
                                  <w:t xml:space="preserve">JKKI: </w:t>
                                </w:r>
                                <w:proofErr w:type="spellStart"/>
                                <w:r>
                                  <w:rPr>
                                    <w:rFonts w:ascii="Twentieth Century" w:eastAsia="Twentieth Century" w:hAnsi="Twentieth Century" w:cs="Twentieth Century"/>
                                    <w:b/>
                                    <w:color w:val="000000"/>
                                    <w:sz w:val="36"/>
                                  </w:rPr>
                                  <w:t>Jurnal</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Kedokteran</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dan</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Kesehatan</w:t>
                                </w:r>
                                <w:proofErr w:type="spellEnd"/>
                                <w:r>
                                  <w:rPr>
                                    <w:rFonts w:ascii="Twentieth Century" w:eastAsia="Twentieth Century" w:hAnsi="Twentieth Century" w:cs="Twentieth Century"/>
                                    <w:b/>
                                    <w:color w:val="000000"/>
                                    <w:sz w:val="36"/>
                                  </w:rPr>
                                  <w:t xml:space="preserve"> Indonesia</w:t>
                                </w:r>
                              </w:p>
                              <w:p w:rsidR="00560547" w:rsidRDefault="002212EE">
                                <w:pPr>
                                  <w:spacing w:before="22"/>
                                  <w:ind w:left="222" w:right="222" w:firstLine="222"/>
                                  <w:jc w:val="center"/>
                                  <w:textDirection w:val="btLr"/>
                                </w:pPr>
                                <w:r>
                                  <w:rPr>
                                    <w:rFonts w:ascii="Century Gothic" w:eastAsia="Century Gothic" w:hAnsi="Century Gothic" w:cs="Century Gothic"/>
                                    <w:color w:val="000000"/>
                                    <w:sz w:val="28"/>
                                  </w:rPr>
                                  <w:t>Indonesian Journal of Medicine and Health</w:t>
                                </w:r>
                              </w:p>
                              <w:p w:rsidR="00560547" w:rsidRDefault="002212EE">
                                <w:pPr>
                                  <w:spacing w:before="45"/>
                                  <w:ind w:left="222" w:right="222" w:firstLine="222"/>
                                  <w:jc w:val="center"/>
                                  <w:textDirection w:val="btLr"/>
                                </w:pPr>
                                <w:r>
                                  <w:rPr>
                                    <w:color w:val="000000"/>
                                    <w:sz w:val="20"/>
                                  </w:rPr>
                                  <w:t>Journal homepage: https://journal.uii.ac.id/JKKI</w:t>
                                </w:r>
                              </w:p>
                              <w:p w:rsidR="00560547" w:rsidRDefault="002212EE">
                                <w:pPr>
                                  <w:spacing w:before="91"/>
                                  <w:ind w:left="222" w:right="222" w:firstLine="222"/>
                                  <w:jc w:val="center"/>
                                  <w:textDirection w:val="btLr"/>
                                </w:pPr>
                                <w:r>
                                  <w:rPr>
                                    <w:rFonts w:ascii="Cambria Math" w:eastAsia="Cambria Math" w:hAnsi="Cambria Math" w:cs="Cambria Math"/>
                                    <w:color w:val="000000"/>
                                    <w:sz w:val="20"/>
                                  </w:rPr>
                                  <w:t>P-ISSN 2085-4145 | E-ISSN 2527-2950</w:t>
                                </w:r>
                              </w:p>
                            </w:txbxContent>
                          </wps:txbx>
                          <wps:bodyPr spcFirstLastPara="1" wrap="square" lIns="0" tIns="0" rIns="0" bIns="0" anchor="t" anchorCtr="0">
                            <a:noAutofit/>
                          </wps:bodyPr>
                        </wps:wsp>
                        <pic:pic xmlns:pic="http://schemas.openxmlformats.org/drawingml/2006/picture">
                          <pic:nvPicPr>
                            <pic:cNvPr id="10" name="Shape 10" descr="A logo with a person in the middle&#10;&#10;Description automatically generated"/>
                            <pic:cNvPicPr preferRelativeResize="0"/>
                          </pic:nvPicPr>
                          <pic:blipFill rotWithShape="1">
                            <a:blip r:embed="rId9">
                              <a:alphaModFix/>
                            </a:blip>
                            <a:srcRect/>
                            <a:stretch/>
                          </pic:blipFill>
                          <pic:spPr>
                            <a:xfrm>
                              <a:off x="0" y="0"/>
                              <a:ext cx="944880" cy="1115060"/>
                            </a:xfrm>
                            <a:prstGeom prst="rect">
                              <a:avLst/>
                            </a:prstGeom>
                            <a:noFill/>
                            <a:ln>
                              <a:noFill/>
                            </a:ln>
                          </pic:spPr>
                        </pic:pic>
                      </wpg:grpSp>
                    </wpg:wgp>
                  </a:graphicData>
                </a:graphic>
              </wp:anchor>
            </w:drawing>
          </mc:Choice>
          <mc:Fallback>
            <w:pict>
              <v:group id="Group 1999032397" o:spid="_x0000_s1026" style="position:absolute;margin-left:3pt;margin-top:-47pt;width:446.6pt;height:87.8pt;z-index:-251658240;mso-wrap-distance-left:0;mso-wrap-distance-right:0" coordorigin="25100,32224" coordsize="56718,1286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">
                <v:group id="Group 1" o:spid="_x0000_s1027" style="position:absolute;left:25100;top:32224;width:56719;height:11151" coordsize="57287,111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8" style="position:absolute;width:57287;height:111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560547" w:rsidRDefault="00560547">
                          <w:pPr>
                            <w:spacing w:after="0"/>
                            <w:textDirection w:val="btLr"/>
                          </w:pPr>
                        </w:p>
                      </w:txbxContent>
                    </v:textbox>
                  </v:rect>
                  <v:rect id="Rectangle 3" o:spid="_x0000_s1029" style="position:absolute;left:10382;width:46905;height:11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AU6cIA&#10;AADaAAAADwAAAGRycy9kb3ducmV2LnhtbESPS2vDMBCE74H8B7GBXEIsNyUluFZCCBSaYx5Nelys&#10;rW1qrYyk+vHvo0Khx2FmvmHy3WAa0ZHztWUFT0kKgriwuuZSwfXyttyA8AFZY2OZFIzkYbedTnLM&#10;tO35RN05lCJC2GeooAqhzaT0RUUGfWJb4uh9WWcwROlKqR32EW4auUrTF2mw5rhQYUuHiorv849R&#10;0H26w7q94X3Ym9PxY7xSKcNCqfls2L+CCDSE//Bf+10reIbfK/EG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kBTpwgAAANoAAAAPAAAAAAAAAAAAAAAAAJgCAABkcnMvZG93&#10;bnJldi54bWxQSwUGAAAAAAQABAD1AAAAhwMAAAAA&#10;" fillcolor="#d1d3d4" stroked="f">
                    <v:textbox inset="0,0,0,0">
                      <w:txbxContent>
                        <w:p w:rsidR="00560547" w:rsidRDefault="002212EE">
                          <w:pPr>
                            <w:spacing w:before="182"/>
                            <w:ind w:left="222" w:right="222" w:firstLine="222"/>
                            <w:jc w:val="center"/>
                            <w:textDirection w:val="btLr"/>
                          </w:pPr>
                          <w:r>
                            <w:rPr>
                              <w:rFonts w:ascii="Twentieth Century" w:eastAsia="Twentieth Century" w:hAnsi="Twentieth Century" w:cs="Twentieth Century"/>
                              <w:b/>
                              <w:color w:val="000000"/>
                              <w:sz w:val="36"/>
                            </w:rPr>
                            <w:t xml:space="preserve">JKKI: </w:t>
                          </w:r>
                          <w:proofErr w:type="spellStart"/>
                          <w:r>
                            <w:rPr>
                              <w:rFonts w:ascii="Twentieth Century" w:eastAsia="Twentieth Century" w:hAnsi="Twentieth Century" w:cs="Twentieth Century"/>
                              <w:b/>
                              <w:color w:val="000000"/>
                              <w:sz w:val="36"/>
                            </w:rPr>
                            <w:t>Jurnal</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Kedokteran</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dan</w:t>
                          </w:r>
                          <w:proofErr w:type="spellEnd"/>
                          <w:r>
                            <w:rPr>
                              <w:rFonts w:ascii="Twentieth Century" w:eastAsia="Twentieth Century" w:hAnsi="Twentieth Century" w:cs="Twentieth Century"/>
                              <w:b/>
                              <w:color w:val="000000"/>
                              <w:sz w:val="36"/>
                            </w:rPr>
                            <w:t xml:space="preserve"> </w:t>
                          </w:r>
                          <w:proofErr w:type="spellStart"/>
                          <w:r>
                            <w:rPr>
                              <w:rFonts w:ascii="Twentieth Century" w:eastAsia="Twentieth Century" w:hAnsi="Twentieth Century" w:cs="Twentieth Century"/>
                              <w:b/>
                              <w:color w:val="000000"/>
                              <w:sz w:val="36"/>
                            </w:rPr>
                            <w:t>Kesehatan</w:t>
                          </w:r>
                          <w:proofErr w:type="spellEnd"/>
                          <w:r>
                            <w:rPr>
                              <w:rFonts w:ascii="Twentieth Century" w:eastAsia="Twentieth Century" w:hAnsi="Twentieth Century" w:cs="Twentieth Century"/>
                              <w:b/>
                              <w:color w:val="000000"/>
                              <w:sz w:val="36"/>
                            </w:rPr>
                            <w:t xml:space="preserve"> Indonesia</w:t>
                          </w:r>
                        </w:p>
                        <w:p w:rsidR="00560547" w:rsidRDefault="002212EE">
                          <w:pPr>
                            <w:spacing w:before="22"/>
                            <w:ind w:left="222" w:right="222" w:firstLine="222"/>
                            <w:jc w:val="center"/>
                            <w:textDirection w:val="btLr"/>
                          </w:pPr>
                          <w:r>
                            <w:rPr>
                              <w:rFonts w:ascii="Century Gothic" w:eastAsia="Century Gothic" w:hAnsi="Century Gothic" w:cs="Century Gothic"/>
                              <w:color w:val="000000"/>
                              <w:sz w:val="28"/>
                            </w:rPr>
                            <w:t>Indonesian Journal of Medicine and Health</w:t>
                          </w:r>
                        </w:p>
                        <w:p w:rsidR="00560547" w:rsidRDefault="002212EE">
                          <w:pPr>
                            <w:spacing w:before="45"/>
                            <w:ind w:left="222" w:right="222" w:firstLine="222"/>
                            <w:jc w:val="center"/>
                            <w:textDirection w:val="btLr"/>
                          </w:pPr>
                          <w:r>
                            <w:rPr>
                              <w:color w:val="000000"/>
                              <w:sz w:val="20"/>
                            </w:rPr>
                            <w:t>Journal homepage: https://journal.uii.ac.id/JKKI</w:t>
                          </w:r>
                        </w:p>
                        <w:p w:rsidR="00560547" w:rsidRDefault="002212EE">
                          <w:pPr>
                            <w:spacing w:before="91"/>
                            <w:ind w:left="222" w:right="222" w:firstLine="222"/>
                            <w:jc w:val="center"/>
                            <w:textDirection w:val="btLr"/>
                          </w:pPr>
                          <w:r>
                            <w:rPr>
                              <w:rFonts w:ascii="Cambria Math" w:eastAsia="Cambria Math" w:hAnsi="Cambria Math" w:cs="Cambria Math"/>
                              <w:color w:val="000000"/>
                              <w:sz w:val="20"/>
                            </w:rPr>
                            <w:t>P-ISSN 2085-4145 | E-ISSN 2527-2950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0" type="#_x0000_t75" alt="A logo with a person in the middle&#10;&#10;Description automatically generated" style="position:absolute;width:9448;height:1115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NUDDAAAA2wAAAA8AAABkcnMvZG93bnJldi54bWxEj81qAjEQx++FvkOYQm81aQuiW6MUsUWs&#10;e1D7AMNm3CxuJssm1fXtnYPQ2wzz//jNbDGEVp2pT01kC68jA4q4iq7h2sLv4etlAiplZIdtZLJw&#10;pQSL+ePDDAsXL7yj8z7XSkI4FWjB59wVWqfKU8A0ih2x3I6xD5hl7WvterxIeGj1mzFjHbBhafDY&#10;0dJTddr/Bend7DbmffpzWH57E8ar7bRcmdLa56fh8wNUpiH/i+/utRN8oZdfZAA9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781QMMAAADbAAAADwAAAAAAAAAAAAAAAACf&#10;AgAAZHJzL2Rvd25yZXYueG1sUEsFBgAAAAAEAAQA9wAAAI8DAAAAAA==&#10;">
                    <v:imagedata r:id="rId10" o:title="A logo with a person in the middle&#10;&#10;Description automatically generated"/>
                  </v:shape>
                </v:group>
              </v:group>
            </w:pict>
          </mc:Fallback>
        </mc:AlternateContent>
      </w:r>
    </w:p>
    <w:p w:rsidR="00770F6A" w:rsidRPr="00770F6A" w:rsidRDefault="00770F6A" w:rsidP="00770F6A">
      <w:pPr>
        <w:spacing w:after="0"/>
        <w:jc w:val="both"/>
        <w:rPr>
          <w:rFonts w:cs="Aparajita"/>
          <w:b/>
          <w:sz w:val="28"/>
          <w:szCs w:val="28"/>
          <w:lang w:bidi="th-TH"/>
        </w:rPr>
      </w:pPr>
      <w:r w:rsidRPr="00770F6A">
        <w:rPr>
          <w:rFonts w:cs="Aparajita"/>
          <w:b/>
          <w:sz w:val="28"/>
          <w:szCs w:val="28"/>
          <w:lang w:bidi="th-TH"/>
        </w:rPr>
        <w:t xml:space="preserve">Legal </w:t>
      </w:r>
      <w:proofErr w:type="gramStart"/>
      <w:r w:rsidRPr="00770F6A">
        <w:rPr>
          <w:rFonts w:cs="Aparajita"/>
          <w:b/>
          <w:sz w:val="28"/>
          <w:szCs w:val="28"/>
          <w:lang w:bidi="th-TH"/>
        </w:rPr>
        <w:t>And</w:t>
      </w:r>
      <w:proofErr w:type="gramEnd"/>
      <w:r w:rsidRPr="00770F6A">
        <w:rPr>
          <w:rFonts w:cs="Aparajita"/>
          <w:b/>
          <w:sz w:val="28"/>
          <w:szCs w:val="28"/>
          <w:lang w:bidi="th-TH"/>
        </w:rPr>
        <w:t xml:space="preserve"> Ethical Aspects of Forensic Odontology Services in Hospital Management Systems </w:t>
      </w:r>
    </w:p>
    <w:p w:rsidR="00770F6A" w:rsidRDefault="00770F6A" w:rsidP="00770F6A">
      <w:pPr>
        <w:spacing w:after="0"/>
        <w:rPr>
          <w:sz w:val="20"/>
          <w:szCs w:val="20"/>
          <w:vertAlign w:val="superscript"/>
          <w:lang w:bidi="th-TH"/>
        </w:rPr>
      </w:pPr>
      <w:proofErr w:type="spellStart"/>
      <w:r w:rsidRPr="004669B7">
        <w:rPr>
          <w:sz w:val="20"/>
          <w:szCs w:val="20"/>
          <w:lang w:bidi="th-TH"/>
        </w:rPr>
        <w:t>Yessy</w:t>
      </w:r>
      <w:proofErr w:type="spellEnd"/>
      <w:r w:rsidRPr="004669B7">
        <w:rPr>
          <w:sz w:val="20"/>
          <w:szCs w:val="20"/>
          <w:lang w:bidi="th-TH"/>
        </w:rPr>
        <w:t xml:space="preserve"> </w:t>
      </w:r>
      <w:proofErr w:type="spellStart"/>
      <w:r w:rsidRPr="004669B7">
        <w:rPr>
          <w:sz w:val="20"/>
          <w:szCs w:val="20"/>
          <w:lang w:bidi="th-TH"/>
        </w:rPr>
        <w:t>Andriani</w:t>
      </w:r>
      <w:proofErr w:type="spellEnd"/>
      <w:r w:rsidRPr="004669B7">
        <w:rPr>
          <w:sz w:val="20"/>
          <w:szCs w:val="20"/>
          <w:lang w:bidi="th-TH"/>
        </w:rPr>
        <w:t xml:space="preserve"> Fauziah</w:t>
      </w:r>
      <w:r w:rsidRPr="004669B7">
        <w:rPr>
          <w:sz w:val="20"/>
          <w:szCs w:val="20"/>
          <w:vertAlign w:val="superscript"/>
          <w:lang w:bidi="th-TH"/>
        </w:rPr>
        <w:t>1*</w:t>
      </w:r>
      <w:r w:rsidRPr="004669B7">
        <w:rPr>
          <w:sz w:val="20"/>
          <w:szCs w:val="20"/>
          <w:lang w:bidi="th-TH"/>
        </w:rPr>
        <w:t xml:space="preserve">, Eveline </w:t>
      </w:r>
      <w:proofErr w:type="spellStart"/>
      <w:r w:rsidRPr="004669B7">
        <w:rPr>
          <w:sz w:val="20"/>
          <w:szCs w:val="20"/>
          <w:lang w:bidi="th-TH"/>
        </w:rPr>
        <w:t>Yulia</w:t>
      </w:r>
      <w:proofErr w:type="spellEnd"/>
      <w:r w:rsidRPr="004669B7">
        <w:rPr>
          <w:sz w:val="20"/>
          <w:szCs w:val="20"/>
          <w:lang w:bidi="th-TH"/>
        </w:rPr>
        <w:t xml:space="preserve"> Darmadi</w:t>
      </w:r>
      <w:r w:rsidRPr="004669B7">
        <w:rPr>
          <w:sz w:val="20"/>
          <w:szCs w:val="20"/>
          <w:vertAlign w:val="superscript"/>
          <w:lang w:bidi="th-TH"/>
        </w:rPr>
        <w:t>1</w:t>
      </w:r>
      <w:r w:rsidRPr="004669B7">
        <w:rPr>
          <w:sz w:val="20"/>
          <w:szCs w:val="20"/>
          <w:lang w:bidi="th-TH"/>
        </w:rPr>
        <w:t>, Farouk Alghazaly</w:t>
      </w:r>
      <w:r w:rsidRPr="004669B7">
        <w:rPr>
          <w:sz w:val="20"/>
          <w:szCs w:val="20"/>
          <w:vertAlign w:val="superscript"/>
          <w:lang w:bidi="th-TH"/>
        </w:rPr>
        <w:t>2</w:t>
      </w:r>
      <w:r w:rsidRPr="004669B7">
        <w:rPr>
          <w:sz w:val="20"/>
          <w:szCs w:val="20"/>
          <w:lang w:bidi="th-TH"/>
        </w:rPr>
        <w:t xml:space="preserve">, </w:t>
      </w:r>
      <w:proofErr w:type="spellStart"/>
      <w:proofErr w:type="gramStart"/>
      <w:r w:rsidRPr="004669B7">
        <w:rPr>
          <w:sz w:val="20"/>
          <w:szCs w:val="20"/>
          <w:lang w:bidi="th-TH"/>
        </w:rPr>
        <w:t>Dwi</w:t>
      </w:r>
      <w:proofErr w:type="spellEnd"/>
      <w:proofErr w:type="gramEnd"/>
      <w:r w:rsidRPr="004669B7">
        <w:rPr>
          <w:sz w:val="20"/>
          <w:szCs w:val="20"/>
          <w:lang w:bidi="th-TH"/>
        </w:rPr>
        <w:t xml:space="preserve"> Setianingtyas</w:t>
      </w:r>
      <w:r w:rsidRPr="004669B7">
        <w:rPr>
          <w:sz w:val="20"/>
          <w:szCs w:val="20"/>
          <w:vertAlign w:val="superscript"/>
          <w:lang w:bidi="th-TH"/>
        </w:rPr>
        <w:t>3</w:t>
      </w:r>
      <w:r w:rsidRPr="004669B7">
        <w:rPr>
          <w:sz w:val="20"/>
          <w:szCs w:val="20"/>
          <w:lang w:bidi="th-TH"/>
        </w:rPr>
        <w:t>, Dian Agustin Wahjuningrum</w:t>
      </w:r>
      <w:r w:rsidRPr="004669B7">
        <w:rPr>
          <w:sz w:val="20"/>
          <w:szCs w:val="20"/>
          <w:vertAlign w:val="superscript"/>
          <w:lang w:bidi="th-TH"/>
        </w:rPr>
        <w:t>4</w:t>
      </w:r>
      <w:r w:rsidRPr="004669B7">
        <w:rPr>
          <w:sz w:val="20"/>
          <w:szCs w:val="20"/>
          <w:lang w:bidi="th-TH"/>
        </w:rPr>
        <w:t xml:space="preserve">, </w:t>
      </w:r>
      <w:proofErr w:type="spellStart"/>
      <w:r w:rsidRPr="004669B7">
        <w:rPr>
          <w:sz w:val="20"/>
          <w:szCs w:val="20"/>
          <w:lang w:bidi="th-TH"/>
        </w:rPr>
        <w:t>Ajiknya</w:t>
      </w:r>
      <w:proofErr w:type="spellEnd"/>
      <w:r w:rsidRPr="004669B7">
        <w:rPr>
          <w:sz w:val="20"/>
          <w:szCs w:val="20"/>
          <w:lang w:bidi="th-TH"/>
        </w:rPr>
        <w:t xml:space="preserve"> M. Pawar</w:t>
      </w:r>
      <w:r w:rsidRPr="004669B7">
        <w:rPr>
          <w:sz w:val="20"/>
          <w:szCs w:val="20"/>
          <w:vertAlign w:val="superscript"/>
          <w:lang w:bidi="th-TH"/>
        </w:rPr>
        <w:t>5</w:t>
      </w:r>
      <w:r w:rsidRPr="004669B7">
        <w:rPr>
          <w:sz w:val="20"/>
          <w:szCs w:val="20"/>
          <w:lang w:bidi="th-TH"/>
        </w:rPr>
        <w:t xml:space="preserve">, Dany </w:t>
      </w:r>
      <w:proofErr w:type="spellStart"/>
      <w:r w:rsidRPr="004669B7">
        <w:rPr>
          <w:sz w:val="20"/>
          <w:szCs w:val="20"/>
          <w:lang w:bidi="th-TH"/>
        </w:rPr>
        <w:t>Agus</w:t>
      </w:r>
      <w:proofErr w:type="spellEnd"/>
      <w:r w:rsidRPr="004669B7">
        <w:rPr>
          <w:sz w:val="20"/>
          <w:szCs w:val="20"/>
          <w:lang w:bidi="th-TH"/>
        </w:rPr>
        <w:t xml:space="preserve"> Susanto</w:t>
      </w:r>
      <w:r w:rsidRPr="004669B7">
        <w:rPr>
          <w:sz w:val="20"/>
          <w:szCs w:val="20"/>
          <w:vertAlign w:val="superscript"/>
          <w:lang w:bidi="th-TH"/>
        </w:rPr>
        <w:t>6</w:t>
      </w:r>
    </w:p>
    <w:p w:rsidR="00770F6A" w:rsidRPr="004669B7" w:rsidRDefault="00770F6A" w:rsidP="00770F6A">
      <w:pPr>
        <w:spacing w:after="0"/>
        <w:rPr>
          <w:sz w:val="20"/>
          <w:szCs w:val="20"/>
          <w:vertAlign w:val="superscript"/>
          <w:lang w:bidi="th-TH"/>
        </w:rPr>
      </w:pPr>
    </w:p>
    <w:p w:rsidR="00770F6A" w:rsidRPr="00770F6A" w:rsidRDefault="00770F6A" w:rsidP="00770F6A">
      <w:pPr>
        <w:pBdr>
          <w:top w:val="nil"/>
          <w:left w:val="nil"/>
          <w:bottom w:val="nil"/>
          <w:right w:val="nil"/>
          <w:between w:val="nil"/>
        </w:pBdr>
        <w:spacing w:after="80"/>
        <w:rPr>
          <w:color w:val="000000"/>
          <w:sz w:val="20"/>
          <w:szCs w:val="20"/>
          <w:vertAlign w:val="superscript"/>
        </w:rPr>
      </w:pPr>
      <w:r w:rsidRPr="004669B7">
        <w:rPr>
          <w:sz w:val="20"/>
          <w:szCs w:val="20"/>
          <w:vertAlign w:val="superscript"/>
          <w:lang w:bidi="th-TH"/>
        </w:rPr>
        <w:t>1</w:t>
      </w:r>
      <w:r w:rsidRPr="004669B7">
        <w:rPr>
          <w:rFonts w:cs="Aparajita"/>
          <w:sz w:val="20"/>
          <w:szCs w:val="20"/>
          <w:lang w:bidi="th-TH"/>
        </w:rPr>
        <w:t xml:space="preserve">School of Dental Medicine, </w:t>
      </w:r>
      <w:proofErr w:type="spellStart"/>
      <w:r w:rsidRPr="004669B7">
        <w:rPr>
          <w:rFonts w:cs="Aparajita"/>
          <w:sz w:val="20"/>
          <w:szCs w:val="20"/>
          <w:lang w:bidi="th-TH"/>
        </w:rPr>
        <w:t>Universitas</w:t>
      </w:r>
      <w:proofErr w:type="spellEnd"/>
      <w:r w:rsidRPr="004669B7">
        <w:rPr>
          <w:rFonts w:cs="Aparajita"/>
          <w:sz w:val="20"/>
          <w:szCs w:val="20"/>
          <w:lang w:bidi="th-TH"/>
        </w:rPr>
        <w:t xml:space="preserve"> </w:t>
      </w:r>
      <w:proofErr w:type="spellStart"/>
      <w:r w:rsidRPr="004669B7">
        <w:rPr>
          <w:rFonts w:cs="Aparajita"/>
          <w:sz w:val="20"/>
          <w:szCs w:val="20"/>
          <w:lang w:bidi="th-TH"/>
        </w:rPr>
        <w:t>Ciputra</w:t>
      </w:r>
      <w:proofErr w:type="spellEnd"/>
      <w:r w:rsidRPr="004669B7">
        <w:rPr>
          <w:rFonts w:cs="Aparajita"/>
          <w:sz w:val="20"/>
          <w:szCs w:val="20"/>
          <w:lang w:bidi="th-TH"/>
        </w:rPr>
        <w:t>, Surabaya, Indonesia</w:t>
      </w:r>
      <w:r w:rsidRPr="004669B7">
        <w:rPr>
          <w:rFonts w:cs="Aparajita"/>
          <w:sz w:val="20"/>
          <w:szCs w:val="20"/>
          <w:lang w:val="id-ID" w:bidi="th-TH"/>
        </w:rPr>
        <w:t xml:space="preserve"> </w:t>
      </w:r>
    </w:p>
    <w:p w:rsidR="00770F6A" w:rsidRPr="004669B7" w:rsidRDefault="00770F6A" w:rsidP="00770F6A">
      <w:pPr>
        <w:spacing w:after="0"/>
        <w:rPr>
          <w:rFonts w:cs="Aparajita"/>
          <w:sz w:val="20"/>
          <w:szCs w:val="20"/>
          <w:lang w:bidi="th-TH"/>
        </w:rPr>
      </w:pPr>
      <w:r w:rsidRPr="004669B7">
        <w:rPr>
          <w:rFonts w:cs="Aparajita"/>
          <w:sz w:val="20"/>
          <w:szCs w:val="20"/>
          <w:vertAlign w:val="superscript"/>
          <w:lang w:bidi="th-TH"/>
        </w:rPr>
        <w:t xml:space="preserve">2 </w:t>
      </w:r>
      <w:proofErr w:type="gramStart"/>
      <w:r w:rsidRPr="004669B7">
        <w:rPr>
          <w:rFonts w:cs="Aparajita"/>
          <w:sz w:val="20"/>
          <w:szCs w:val="20"/>
          <w:lang w:bidi="th-TH"/>
        </w:rPr>
        <w:t>Faculty</w:t>
      </w:r>
      <w:proofErr w:type="gramEnd"/>
      <w:r w:rsidRPr="004669B7">
        <w:rPr>
          <w:rFonts w:cs="Aparajita"/>
          <w:sz w:val="20"/>
          <w:szCs w:val="20"/>
          <w:lang w:bidi="th-TH"/>
        </w:rPr>
        <w:t xml:space="preserve"> of Dental Medicine, Al-Saeed University, </w:t>
      </w:r>
      <w:proofErr w:type="spellStart"/>
      <w:r w:rsidRPr="004669B7">
        <w:rPr>
          <w:rFonts w:cs="Aparajita"/>
          <w:sz w:val="20"/>
          <w:szCs w:val="20"/>
          <w:lang w:bidi="th-TH"/>
        </w:rPr>
        <w:t>Taiz</w:t>
      </w:r>
      <w:proofErr w:type="spellEnd"/>
      <w:r w:rsidRPr="004669B7">
        <w:rPr>
          <w:rFonts w:cs="Aparajita"/>
          <w:sz w:val="20"/>
          <w:szCs w:val="20"/>
          <w:lang w:bidi="th-TH"/>
        </w:rPr>
        <w:t>, Yemen</w:t>
      </w:r>
    </w:p>
    <w:p w:rsidR="00770F6A" w:rsidRPr="004669B7" w:rsidRDefault="00770F6A" w:rsidP="00770F6A">
      <w:pPr>
        <w:spacing w:after="0"/>
        <w:rPr>
          <w:rFonts w:cs="Arial"/>
          <w:sz w:val="20"/>
          <w:szCs w:val="20"/>
          <w:lang w:bidi="th-TH"/>
        </w:rPr>
      </w:pPr>
      <w:r w:rsidRPr="004669B7">
        <w:rPr>
          <w:rFonts w:cs="Aparajita"/>
          <w:sz w:val="20"/>
          <w:szCs w:val="20"/>
          <w:vertAlign w:val="superscript"/>
          <w:lang w:bidi="th-TH"/>
        </w:rPr>
        <w:t xml:space="preserve">3 </w:t>
      </w:r>
      <w:proofErr w:type="gramStart"/>
      <w:r w:rsidRPr="004669B7">
        <w:rPr>
          <w:rFonts w:cs="Aparajita"/>
          <w:sz w:val="20"/>
          <w:szCs w:val="20"/>
          <w:lang w:bidi="th-TH"/>
        </w:rPr>
        <w:t>Department</w:t>
      </w:r>
      <w:proofErr w:type="gramEnd"/>
      <w:r w:rsidRPr="004669B7">
        <w:rPr>
          <w:rFonts w:cs="Aparajita"/>
          <w:sz w:val="20"/>
          <w:szCs w:val="20"/>
          <w:lang w:bidi="th-TH"/>
        </w:rPr>
        <w:t xml:space="preserve"> of Oral Medicine, Faculty of Dentistry, </w:t>
      </w:r>
      <w:proofErr w:type="spellStart"/>
      <w:r w:rsidRPr="004669B7">
        <w:rPr>
          <w:rFonts w:cs="Aparajita"/>
          <w:sz w:val="20"/>
          <w:szCs w:val="20"/>
          <w:lang w:bidi="th-TH"/>
        </w:rPr>
        <w:t>Universitas</w:t>
      </w:r>
      <w:proofErr w:type="spellEnd"/>
      <w:r w:rsidRPr="004669B7">
        <w:rPr>
          <w:rFonts w:cs="Aparajita"/>
          <w:sz w:val="20"/>
          <w:szCs w:val="20"/>
          <w:lang w:bidi="th-TH"/>
        </w:rPr>
        <w:t xml:space="preserve"> Hang </w:t>
      </w:r>
      <w:proofErr w:type="spellStart"/>
      <w:r w:rsidRPr="004669B7">
        <w:rPr>
          <w:rFonts w:cs="Aparajita"/>
          <w:sz w:val="20"/>
          <w:szCs w:val="20"/>
          <w:lang w:bidi="th-TH"/>
        </w:rPr>
        <w:t>Tuah</w:t>
      </w:r>
      <w:proofErr w:type="spellEnd"/>
      <w:r w:rsidRPr="004669B7">
        <w:rPr>
          <w:rFonts w:cs="Aparajita"/>
          <w:sz w:val="20"/>
          <w:szCs w:val="20"/>
          <w:lang w:bidi="th-TH"/>
        </w:rPr>
        <w:t>, Surabaya, Indonesia</w:t>
      </w:r>
    </w:p>
    <w:p w:rsidR="00770F6A" w:rsidRPr="004669B7" w:rsidRDefault="00770F6A" w:rsidP="00770F6A">
      <w:pPr>
        <w:spacing w:after="0"/>
        <w:rPr>
          <w:rFonts w:cs="Aparajita"/>
          <w:sz w:val="20"/>
          <w:szCs w:val="20"/>
          <w:lang w:bidi="th-TH"/>
        </w:rPr>
      </w:pPr>
      <w:r w:rsidRPr="004669B7">
        <w:rPr>
          <w:rFonts w:cs="Aparajita"/>
          <w:sz w:val="20"/>
          <w:szCs w:val="20"/>
          <w:vertAlign w:val="superscript"/>
          <w:lang w:bidi="th-TH"/>
        </w:rPr>
        <w:t xml:space="preserve">4 </w:t>
      </w:r>
      <w:proofErr w:type="gramStart"/>
      <w:r w:rsidRPr="004669B7">
        <w:rPr>
          <w:rFonts w:cs="Aparajita"/>
          <w:sz w:val="20"/>
          <w:szCs w:val="20"/>
          <w:lang w:bidi="th-TH"/>
        </w:rPr>
        <w:t>Department</w:t>
      </w:r>
      <w:proofErr w:type="gramEnd"/>
      <w:r w:rsidRPr="004669B7">
        <w:rPr>
          <w:rFonts w:cs="Aparajita"/>
          <w:sz w:val="20"/>
          <w:szCs w:val="20"/>
          <w:lang w:bidi="th-TH"/>
        </w:rPr>
        <w:t xml:space="preserve"> of Conservative Dentistry, Faculty of Dental Medicine, </w:t>
      </w:r>
      <w:proofErr w:type="spellStart"/>
      <w:r w:rsidRPr="004669B7">
        <w:rPr>
          <w:rFonts w:cs="Aparajita"/>
          <w:sz w:val="20"/>
          <w:szCs w:val="20"/>
          <w:lang w:bidi="th-TH"/>
        </w:rPr>
        <w:t>Universitas</w:t>
      </w:r>
      <w:proofErr w:type="spellEnd"/>
      <w:r w:rsidRPr="004669B7">
        <w:rPr>
          <w:rFonts w:cs="Aparajita"/>
          <w:sz w:val="20"/>
          <w:szCs w:val="20"/>
          <w:lang w:bidi="th-TH"/>
        </w:rPr>
        <w:t xml:space="preserve"> </w:t>
      </w:r>
      <w:proofErr w:type="spellStart"/>
      <w:r w:rsidRPr="004669B7">
        <w:rPr>
          <w:rFonts w:cs="Aparajita"/>
          <w:sz w:val="20"/>
          <w:szCs w:val="20"/>
          <w:lang w:bidi="th-TH"/>
        </w:rPr>
        <w:t>Airlangga</w:t>
      </w:r>
      <w:proofErr w:type="spellEnd"/>
      <w:r w:rsidRPr="004669B7">
        <w:rPr>
          <w:rFonts w:cs="Aparajita"/>
          <w:sz w:val="20"/>
          <w:szCs w:val="20"/>
          <w:lang w:bidi="th-TH"/>
        </w:rPr>
        <w:t>, Surabaya, Indonesia</w:t>
      </w:r>
    </w:p>
    <w:p w:rsidR="00770F6A" w:rsidRPr="004669B7" w:rsidRDefault="00770F6A" w:rsidP="00770F6A">
      <w:pPr>
        <w:spacing w:after="0"/>
        <w:rPr>
          <w:rFonts w:cs="Aparajita"/>
          <w:sz w:val="20"/>
          <w:szCs w:val="20"/>
          <w:lang w:bidi="th-TH"/>
        </w:rPr>
      </w:pPr>
      <w:proofErr w:type="gramStart"/>
      <w:r w:rsidRPr="004669B7">
        <w:rPr>
          <w:rFonts w:cs="Aparajita"/>
          <w:sz w:val="20"/>
          <w:szCs w:val="20"/>
          <w:vertAlign w:val="superscript"/>
          <w:lang w:bidi="th-TH"/>
        </w:rPr>
        <w:t xml:space="preserve">5 </w:t>
      </w:r>
      <w:r w:rsidRPr="004669B7">
        <w:rPr>
          <w:rFonts w:cs="Aparajita"/>
          <w:sz w:val="20"/>
          <w:szCs w:val="20"/>
          <w:lang w:bidi="th-TH"/>
        </w:rPr>
        <w:t>Conservative Dentistry</w:t>
      </w:r>
      <w:proofErr w:type="gramEnd"/>
      <w:r w:rsidRPr="004669B7">
        <w:rPr>
          <w:rFonts w:cs="Aparajita"/>
          <w:sz w:val="20"/>
          <w:szCs w:val="20"/>
          <w:lang w:bidi="th-TH"/>
        </w:rPr>
        <w:t xml:space="preserve"> and Endodontics, Nair Hospital Dental College, </w:t>
      </w:r>
      <w:proofErr w:type="spellStart"/>
      <w:r w:rsidRPr="004669B7">
        <w:rPr>
          <w:rFonts w:cs="Aparajita"/>
          <w:sz w:val="20"/>
          <w:szCs w:val="20"/>
          <w:lang w:bidi="th-TH"/>
        </w:rPr>
        <w:t>Maharastra</w:t>
      </w:r>
      <w:proofErr w:type="spellEnd"/>
      <w:r w:rsidRPr="004669B7">
        <w:rPr>
          <w:rFonts w:cs="Aparajita"/>
          <w:sz w:val="20"/>
          <w:szCs w:val="20"/>
          <w:lang w:bidi="th-TH"/>
        </w:rPr>
        <w:t>, India</w:t>
      </w:r>
    </w:p>
    <w:p w:rsidR="00560547" w:rsidRDefault="00770F6A" w:rsidP="00770F6A">
      <w:pPr>
        <w:pBdr>
          <w:top w:val="nil"/>
          <w:left w:val="nil"/>
          <w:bottom w:val="nil"/>
          <w:right w:val="nil"/>
          <w:between w:val="nil"/>
        </w:pBdr>
        <w:rPr>
          <w:color w:val="000000"/>
          <w:sz w:val="18"/>
          <w:szCs w:val="18"/>
        </w:rPr>
      </w:pPr>
      <w:r>
        <w:rPr>
          <w:rFonts w:ascii="Arial Narrow" w:hAnsi="Arial Narrow" w:cs="Aparajita"/>
          <w:sz w:val="20"/>
          <w:szCs w:val="20"/>
          <w:vertAlign w:val="superscript"/>
          <w:lang w:bidi="th-TH"/>
        </w:rPr>
        <w:t xml:space="preserve">6 </w:t>
      </w:r>
      <w:proofErr w:type="gramStart"/>
      <w:r>
        <w:rPr>
          <w:rFonts w:ascii="Arial Narrow" w:hAnsi="Arial Narrow" w:cs="Aparajita"/>
          <w:sz w:val="20"/>
          <w:szCs w:val="20"/>
          <w:lang w:bidi="th-TH"/>
        </w:rPr>
        <w:t>Faculty</w:t>
      </w:r>
      <w:proofErr w:type="gramEnd"/>
      <w:r>
        <w:rPr>
          <w:rFonts w:ascii="Arial Narrow" w:hAnsi="Arial Narrow" w:cs="Aparajita"/>
          <w:sz w:val="20"/>
          <w:szCs w:val="20"/>
          <w:lang w:bidi="th-TH"/>
        </w:rPr>
        <w:t xml:space="preserve"> of Law</w:t>
      </w:r>
      <w:r w:rsidRPr="003F0757">
        <w:rPr>
          <w:rFonts w:ascii="Arial Narrow" w:hAnsi="Arial Narrow" w:cs="Aparajita"/>
          <w:sz w:val="20"/>
          <w:szCs w:val="20"/>
          <w:lang w:bidi="th-TH"/>
        </w:rPr>
        <w:t>,</w:t>
      </w:r>
      <w:r>
        <w:rPr>
          <w:rFonts w:ascii="Arial Narrow" w:hAnsi="Arial Narrow" w:cs="Aparajita"/>
          <w:sz w:val="20"/>
          <w:szCs w:val="20"/>
          <w:lang w:bidi="th-TH"/>
        </w:rPr>
        <w:t xml:space="preserve"> </w:t>
      </w:r>
      <w:proofErr w:type="spellStart"/>
      <w:r>
        <w:rPr>
          <w:rFonts w:ascii="Arial Narrow" w:hAnsi="Arial Narrow" w:cs="Aparajita"/>
          <w:sz w:val="20"/>
          <w:szCs w:val="20"/>
          <w:lang w:bidi="th-TH"/>
        </w:rPr>
        <w:t>Universitas</w:t>
      </w:r>
      <w:proofErr w:type="spellEnd"/>
      <w:r>
        <w:rPr>
          <w:rFonts w:ascii="Arial Narrow" w:hAnsi="Arial Narrow" w:cs="Aparajita"/>
          <w:sz w:val="20"/>
          <w:szCs w:val="20"/>
          <w:lang w:bidi="th-TH"/>
        </w:rPr>
        <w:t xml:space="preserve"> 45,</w:t>
      </w:r>
      <w:r w:rsidRPr="003F0757">
        <w:rPr>
          <w:rFonts w:ascii="Arial Narrow" w:hAnsi="Arial Narrow" w:cs="Aparajita"/>
          <w:sz w:val="20"/>
          <w:szCs w:val="20"/>
          <w:lang w:bidi="th-TH"/>
        </w:rPr>
        <w:t xml:space="preserve"> Surabaya, Indonesia</w:t>
      </w:r>
    </w:p>
    <w:tbl>
      <w:tblPr>
        <w:tblStyle w:val="a"/>
        <w:tblW w:w="9072" w:type="dxa"/>
        <w:tblBorders>
          <w:top w:val="nil"/>
          <w:left w:val="nil"/>
          <w:bottom w:val="nil"/>
          <w:right w:val="nil"/>
          <w:insideH w:val="nil"/>
          <w:insideV w:val="nil"/>
        </w:tblBorders>
        <w:tblLayout w:type="fixed"/>
        <w:tblLook w:val="0000" w:firstRow="0" w:lastRow="0" w:firstColumn="0" w:lastColumn="0" w:noHBand="0" w:noVBand="0"/>
      </w:tblPr>
      <w:tblGrid>
        <w:gridCol w:w="4126"/>
        <w:gridCol w:w="4946"/>
      </w:tblGrid>
      <w:tr w:rsidR="00560547">
        <w:trPr>
          <w:trHeight w:val="319"/>
        </w:trPr>
        <w:tc>
          <w:tcPr>
            <w:tcW w:w="4126" w:type="dxa"/>
            <w:tcBorders>
              <w:top w:val="single" w:sz="4" w:space="0" w:color="C8C8C8"/>
              <w:bottom w:val="single" w:sz="4" w:space="0" w:color="C8C8C8"/>
            </w:tcBorders>
          </w:tcPr>
          <w:p w:rsidR="00560547" w:rsidRDefault="002212EE">
            <w:pPr>
              <w:pBdr>
                <w:top w:val="nil"/>
                <w:left w:val="nil"/>
                <w:bottom w:val="nil"/>
                <w:right w:val="nil"/>
                <w:between w:val="nil"/>
              </w:pBdr>
              <w:ind w:left="122"/>
              <w:rPr>
                <w:b/>
                <w:color w:val="000000"/>
                <w:sz w:val="20"/>
                <w:szCs w:val="20"/>
              </w:rPr>
            </w:pPr>
            <w:r>
              <w:rPr>
                <w:b/>
                <w:color w:val="000000"/>
                <w:sz w:val="18"/>
                <w:szCs w:val="18"/>
              </w:rPr>
              <w:t>Article Info:</w:t>
            </w:r>
          </w:p>
        </w:tc>
        <w:tc>
          <w:tcPr>
            <w:tcW w:w="4946" w:type="dxa"/>
            <w:tcBorders>
              <w:top w:val="single" w:sz="4" w:space="0" w:color="C8C8C8"/>
              <w:bottom w:val="single" w:sz="4" w:space="0" w:color="C8C8C8"/>
            </w:tcBorders>
          </w:tcPr>
          <w:p w:rsidR="00560547" w:rsidRDefault="002212EE">
            <w:pPr>
              <w:pBdr>
                <w:top w:val="nil"/>
                <w:left w:val="nil"/>
                <w:bottom w:val="nil"/>
                <w:right w:val="nil"/>
                <w:between w:val="nil"/>
              </w:pBdr>
              <w:ind w:left="122"/>
              <w:rPr>
                <w:b/>
                <w:color w:val="000000"/>
                <w:sz w:val="20"/>
                <w:szCs w:val="20"/>
              </w:rPr>
            </w:pPr>
            <w:r>
              <w:rPr>
                <w:b/>
                <w:color w:val="000000"/>
                <w:sz w:val="18"/>
                <w:szCs w:val="18"/>
              </w:rPr>
              <w:t>Article History:</w:t>
            </w:r>
          </w:p>
        </w:tc>
      </w:tr>
      <w:tr w:rsidR="00560547">
        <w:trPr>
          <w:trHeight w:val="693"/>
        </w:trPr>
        <w:tc>
          <w:tcPr>
            <w:tcW w:w="4126" w:type="dxa"/>
            <w:tcBorders>
              <w:top w:val="single" w:sz="4" w:space="0" w:color="C8C8C8"/>
              <w:bottom w:val="single" w:sz="4" w:space="0" w:color="C8C8C8"/>
            </w:tcBorders>
            <w:shd w:val="clear" w:color="auto" w:fill="ECECEC"/>
          </w:tcPr>
          <w:p w:rsidR="00560547" w:rsidRDefault="002212EE">
            <w:pPr>
              <w:pBdr>
                <w:top w:val="nil"/>
                <w:left w:val="nil"/>
                <w:bottom w:val="nil"/>
                <w:right w:val="nil"/>
                <w:between w:val="nil"/>
              </w:pBdr>
              <w:ind w:left="122"/>
              <w:rPr>
                <w:i/>
                <w:color w:val="000000"/>
                <w:sz w:val="16"/>
                <w:szCs w:val="16"/>
              </w:rPr>
            </w:pPr>
            <w:r>
              <w:rPr>
                <w:b/>
                <w:color w:val="000000"/>
                <w:sz w:val="16"/>
                <w:szCs w:val="16"/>
              </w:rPr>
              <w:t>Keywords</w:t>
            </w:r>
            <w:r>
              <w:rPr>
                <w:color w:val="000000"/>
                <w:sz w:val="16"/>
                <w:szCs w:val="16"/>
              </w:rPr>
              <w:t>:</w:t>
            </w:r>
            <w:r w:rsidR="00111BE6">
              <w:rPr>
                <w:color w:val="000000"/>
                <w:sz w:val="16"/>
                <w:szCs w:val="16"/>
              </w:rPr>
              <w:t xml:space="preserve"> </w:t>
            </w:r>
            <w:r w:rsidR="00111BE6" w:rsidRPr="00CA608A">
              <w:rPr>
                <w:rFonts w:cs="Aparajita"/>
                <w:sz w:val="16"/>
                <w:szCs w:val="16"/>
                <w:lang w:val="en"/>
              </w:rPr>
              <w:t>Legal aspect</w:t>
            </w:r>
            <w:r w:rsidR="00111BE6">
              <w:rPr>
                <w:rFonts w:ascii="Book Antiqua" w:eastAsia="Book Antiqua" w:hAnsi="Book Antiqua" w:cs="Book Antiqua"/>
                <w:color w:val="000000"/>
              </w:rPr>
              <w:t xml:space="preserve"> </w:t>
            </w:r>
            <w:r>
              <w:rPr>
                <w:color w:val="000000"/>
                <w:sz w:val="16"/>
                <w:szCs w:val="16"/>
              </w:rPr>
              <w:t xml:space="preserve"> 1</w:t>
            </w:r>
            <w:r w:rsidR="00111BE6">
              <w:rPr>
                <w:color w:val="000000"/>
                <w:sz w:val="16"/>
                <w:szCs w:val="16"/>
              </w:rPr>
              <w:t xml:space="preserve">; </w:t>
            </w:r>
            <w:r w:rsidR="00111BE6" w:rsidRPr="00CA608A">
              <w:rPr>
                <w:rFonts w:cs="Aparajita"/>
                <w:sz w:val="16"/>
                <w:szCs w:val="16"/>
                <w:lang w:val="en"/>
              </w:rPr>
              <w:t>Ethical aspect</w:t>
            </w:r>
            <w:r>
              <w:rPr>
                <w:color w:val="000000"/>
                <w:sz w:val="16"/>
                <w:szCs w:val="16"/>
              </w:rPr>
              <w:t xml:space="preserve"> 2; </w:t>
            </w:r>
            <w:r w:rsidR="00111BE6" w:rsidRPr="00CA608A">
              <w:rPr>
                <w:rFonts w:cs="Aparajita"/>
                <w:sz w:val="16"/>
                <w:szCs w:val="16"/>
              </w:rPr>
              <w:t>Forensic odontology</w:t>
            </w:r>
            <w:r w:rsidR="00111BE6">
              <w:rPr>
                <w:color w:val="000000"/>
                <w:sz w:val="16"/>
                <w:szCs w:val="16"/>
              </w:rPr>
              <w:t xml:space="preserve"> 3; </w:t>
            </w:r>
            <w:r w:rsidR="00111BE6" w:rsidRPr="00CA608A">
              <w:rPr>
                <w:rFonts w:cs="Aparajita"/>
                <w:sz w:val="16"/>
                <w:szCs w:val="16"/>
              </w:rPr>
              <w:t>Hospital management</w:t>
            </w:r>
            <w:r>
              <w:rPr>
                <w:color w:val="000000"/>
                <w:sz w:val="16"/>
                <w:szCs w:val="16"/>
              </w:rPr>
              <w:t xml:space="preserve"> 4; </w:t>
            </w:r>
            <w:r w:rsidR="00111BE6" w:rsidRPr="00CA608A">
              <w:rPr>
                <w:rFonts w:cs="Aparajita"/>
                <w:sz w:val="16"/>
                <w:szCs w:val="16"/>
              </w:rPr>
              <w:t>Medical law</w:t>
            </w:r>
            <w:r>
              <w:rPr>
                <w:color w:val="000000"/>
                <w:sz w:val="16"/>
                <w:szCs w:val="16"/>
              </w:rPr>
              <w:t xml:space="preserve"> 5</w:t>
            </w:r>
          </w:p>
        </w:tc>
        <w:tc>
          <w:tcPr>
            <w:tcW w:w="4946" w:type="dxa"/>
            <w:tcBorders>
              <w:top w:val="single" w:sz="4" w:space="0" w:color="C8C8C8"/>
              <w:bottom w:val="single" w:sz="4" w:space="0" w:color="C8C8C8"/>
            </w:tcBorders>
            <w:shd w:val="clear" w:color="auto" w:fill="ECECEC"/>
            <w:vAlign w:val="center"/>
          </w:tcPr>
          <w:p w:rsidR="00560547" w:rsidRDefault="002212EE">
            <w:pPr>
              <w:pBdr>
                <w:top w:val="nil"/>
                <w:left w:val="nil"/>
                <w:bottom w:val="nil"/>
                <w:right w:val="nil"/>
                <w:between w:val="nil"/>
              </w:pBdr>
              <w:ind w:left="122"/>
              <w:rPr>
                <w:color w:val="000000"/>
                <w:sz w:val="16"/>
                <w:szCs w:val="16"/>
              </w:rPr>
            </w:pPr>
            <w:r>
              <w:rPr>
                <w:color w:val="000000"/>
                <w:sz w:val="16"/>
                <w:szCs w:val="16"/>
              </w:rPr>
              <w:t xml:space="preserve">Received: </w:t>
            </w:r>
          </w:p>
          <w:p w:rsidR="00560547" w:rsidRDefault="002212EE">
            <w:pPr>
              <w:pBdr>
                <w:top w:val="nil"/>
                <w:left w:val="nil"/>
                <w:bottom w:val="nil"/>
                <w:right w:val="nil"/>
                <w:between w:val="nil"/>
              </w:pBdr>
              <w:ind w:left="122"/>
              <w:rPr>
                <w:color w:val="000000"/>
                <w:sz w:val="16"/>
                <w:szCs w:val="16"/>
              </w:rPr>
            </w:pPr>
            <w:r>
              <w:rPr>
                <w:color w:val="000000"/>
                <w:sz w:val="16"/>
                <w:szCs w:val="16"/>
              </w:rPr>
              <w:t xml:space="preserve">Accepted: </w:t>
            </w:r>
          </w:p>
          <w:p w:rsidR="00560547" w:rsidRDefault="002212EE">
            <w:pPr>
              <w:pBdr>
                <w:top w:val="nil"/>
                <w:left w:val="nil"/>
                <w:bottom w:val="nil"/>
                <w:right w:val="nil"/>
                <w:between w:val="nil"/>
              </w:pBdr>
              <w:ind w:left="122"/>
              <w:rPr>
                <w:i/>
                <w:color w:val="000000"/>
                <w:sz w:val="16"/>
                <w:szCs w:val="16"/>
              </w:rPr>
            </w:pPr>
            <w:r>
              <w:rPr>
                <w:color w:val="000000"/>
                <w:sz w:val="16"/>
                <w:szCs w:val="16"/>
              </w:rPr>
              <w:t xml:space="preserve">Online: </w:t>
            </w:r>
          </w:p>
        </w:tc>
      </w:tr>
      <w:tr w:rsidR="00560547">
        <w:trPr>
          <w:trHeight w:val="435"/>
        </w:trPr>
        <w:tc>
          <w:tcPr>
            <w:tcW w:w="4126" w:type="dxa"/>
            <w:tcBorders>
              <w:top w:val="single" w:sz="4" w:space="0" w:color="C8C8C8"/>
              <w:bottom w:val="single" w:sz="4" w:space="0" w:color="C8C8C8"/>
            </w:tcBorders>
          </w:tcPr>
          <w:p w:rsidR="00560547" w:rsidRPr="00770F6A" w:rsidRDefault="002212EE">
            <w:pPr>
              <w:spacing w:before="4"/>
              <w:ind w:left="117"/>
              <w:rPr>
                <w:b/>
                <w:sz w:val="16"/>
                <w:szCs w:val="16"/>
              </w:rPr>
            </w:pPr>
            <w:r>
              <w:rPr>
                <w:b/>
                <w:sz w:val="16"/>
                <w:szCs w:val="16"/>
              </w:rPr>
              <w:t>*Corresponding author</w:t>
            </w:r>
            <w:r w:rsidRPr="00770F6A">
              <w:rPr>
                <w:b/>
                <w:sz w:val="16"/>
                <w:szCs w:val="16"/>
              </w:rPr>
              <w:t>:</w:t>
            </w:r>
            <w:r w:rsidR="00770F6A" w:rsidRPr="00770F6A">
              <w:rPr>
                <w:b/>
                <w:sz w:val="16"/>
                <w:szCs w:val="16"/>
              </w:rPr>
              <w:t xml:space="preserve"> </w:t>
            </w:r>
            <w:proofErr w:type="spellStart"/>
            <w:r w:rsidR="00770F6A" w:rsidRPr="00770F6A">
              <w:rPr>
                <w:sz w:val="16"/>
                <w:szCs w:val="16"/>
                <w:lang w:bidi="th-TH"/>
              </w:rPr>
              <w:t>Yessy</w:t>
            </w:r>
            <w:proofErr w:type="spellEnd"/>
            <w:r w:rsidR="00770F6A" w:rsidRPr="00770F6A">
              <w:rPr>
                <w:sz w:val="16"/>
                <w:szCs w:val="16"/>
                <w:lang w:bidi="th-TH"/>
              </w:rPr>
              <w:t xml:space="preserve"> </w:t>
            </w:r>
            <w:proofErr w:type="spellStart"/>
            <w:r w:rsidR="00770F6A" w:rsidRPr="00770F6A">
              <w:rPr>
                <w:sz w:val="16"/>
                <w:szCs w:val="16"/>
                <w:lang w:bidi="th-TH"/>
              </w:rPr>
              <w:t>Andriani</w:t>
            </w:r>
            <w:proofErr w:type="spellEnd"/>
            <w:r w:rsidR="00770F6A" w:rsidRPr="00770F6A">
              <w:rPr>
                <w:sz w:val="16"/>
                <w:szCs w:val="16"/>
                <w:lang w:bidi="th-TH"/>
              </w:rPr>
              <w:t xml:space="preserve"> </w:t>
            </w:r>
            <w:proofErr w:type="spellStart"/>
            <w:r w:rsidR="00770F6A" w:rsidRPr="00770F6A">
              <w:rPr>
                <w:sz w:val="16"/>
                <w:szCs w:val="16"/>
                <w:lang w:bidi="th-TH"/>
              </w:rPr>
              <w:t>Fauziah</w:t>
            </w:r>
            <w:proofErr w:type="spellEnd"/>
          </w:p>
          <w:p w:rsidR="00560547" w:rsidRPr="00770F6A" w:rsidRDefault="00770F6A">
            <w:pPr>
              <w:pBdr>
                <w:top w:val="nil"/>
                <w:left w:val="nil"/>
                <w:bottom w:val="nil"/>
                <w:right w:val="nil"/>
                <w:between w:val="nil"/>
              </w:pBdr>
              <w:ind w:left="122"/>
              <w:rPr>
                <w:color w:val="000000"/>
                <w:sz w:val="20"/>
                <w:szCs w:val="20"/>
              </w:rPr>
            </w:pPr>
            <w:r w:rsidRPr="00770F6A">
              <w:rPr>
                <w:rFonts w:cs="Aparajita"/>
                <w:i/>
                <w:sz w:val="16"/>
                <w:szCs w:val="16"/>
              </w:rPr>
              <w:t>yessy.andriani@ciputra.ac.id</w:t>
            </w:r>
            <w:r w:rsidRPr="00770F6A">
              <w:rPr>
                <w:rFonts w:cs="Aparajita"/>
                <w:i/>
                <w:sz w:val="20"/>
                <w:szCs w:val="20"/>
                <w:lang w:bidi="th-TH"/>
              </w:rPr>
              <w:t xml:space="preserve">  </w:t>
            </w:r>
          </w:p>
        </w:tc>
        <w:tc>
          <w:tcPr>
            <w:tcW w:w="4946" w:type="dxa"/>
            <w:tcBorders>
              <w:top w:val="single" w:sz="4" w:space="0" w:color="C8C8C8"/>
              <w:bottom w:val="single" w:sz="4" w:space="0" w:color="C8C8C8"/>
            </w:tcBorders>
            <w:vAlign w:val="center"/>
          </w:tcPr>
          <w:p w:rsidR="00560547" w:rsidRDefault="002212EE">
            <w:pPr>
              <w:pBdr>
                <w:top w:val="nil"/>
                <w:left w:val="nil"/>
                <w:bottom w:val="nil"/>
                <w:right w:val="nil"/>
                <w:between w:val="nil"/>
              </w:pBdr>
              <w:ind w:left="122"/>
              <w:rPr>
                <w:color w:val="000000"/>
                <w:sz w:val="16"/>
                <w:szCs w:val="16"/>
              </w:rPr>
            </w:pPr>
            <w:r>
              <w:rPr>
                <w:color w:val="000000"/>
                <w:sz w:val="16"/>
                <w:szCs w:val="16"/>
              </w:rPr>
              <w:t xml:space="preserve">DOI: </w:t>
            </w:r>
          </w:p>
        </w:tc>
      </w:tr>
      <w:tr w:rsidR="00560547">
        <w:trPr>
          <w:trHeight w:val="365"/>
        </w:trPr>
        <w:tc>
          <w:tcPr>
            <w:tcW w:w="9072" w:type="dxa"/>
            <w:gridSpan w:val="2"/>
            <w:tcBorders>
              <w:top w:val="single" w:sz="4" w:space="0" w:color="C8C8C8"/>
              <w:bottom w:val="single" w:sz="4" w:space="0" w:color="C8C8C8"/>
            </w:tcBorders>
            <w:vAlign w:val="center"/>
          </w:tcPr>
          <w:p w:rsidR="00560547" w:rsidRDefault="002212EE">
            <w:pPr>
              <w:tabs>
                <w:tab w:val="left" w:pos="3408"/>
              </w:tabs>
              <w:jc w:val="right"/>
            </w:pPr>
            <w:r>
              <w:rPr>
                <w:sz w:val="20"/>
                <w:szCs w:val="20"/>
              </w:rPr>
              <w:t>Original Article</w:t>
            </w:r>
          </w:p>
        </w:tc>
      </w:tr>
    </w:tbl>
    <w:p w:rsidR="00560547" w:rsidRDefault="00560547">
      <w:pPr>
        <w:pBdr>
          <w:top w:val="nil"/>
          <w:left w:val="nil"/>
          <w:bottom w:val="nil"/>
          <w:right w:val="nil"/>
          <w:between w:val="nil"/>
        </w:pBdr>
        <w:rPr>
          <w:color w:val="000000"/>
          <w:sz w:val="18"/>
          <w:szCs w:val="18"/>
        </w:rPr>
      </w:pPr>
    </w:p>
    <w:p w:rsidR="00560547" w:rsidRDefault="002212EE">
      <w:pPr>
        <w:pBdr>
          <w:top w:val="nil"/>
          <w:left w:val="nil"/>
          <w:bottom w:val="nil"/>
          <w:right w:val="nil"/>
          <w:between w:val="nil"/>
        </w:pBdr>
        <w:spacing w:after="0" w:line="360" w:lineRule="auto"/>
        <w:jc w:val="center"/>
        <w:rPr>
          <w:b/>
          <w:color w:val="000000"/>
          <w:sz w:val="24"/>
          <w:szCs w:val="24"/>
        </w:rPr>
      </w:pPr>
      <w:r>
        <w:rPr>
          <w:b/>
          <w:color w:val="000000"/>
          <w:sz w:val="24"/>
          <w:szCs w:val="24"/>
        </w:rPr>
        <w:t>ABSTRACT</w:t>
      </w:r>
    </w:p>
    <w:p w:rsidR="008720FA" w:rsidRDefault="008720FA" w:rsidP="008720FA">
      <w:pPr>
        <w:spacing w:after="0"/>
        <w:jc w:val="both"/>
        <w:rPr>
          <w:rFonts w:cs="Aparajita"/>
          <w:sz w:val="18"/>
          <w:szCs w:val="20"/>
          <w:lang w:val="id-ID"/>
        </w:rPr>
      </w:pPr>
      <w:r w:rsidRPr="00157E08">
        <w:rPr>
          <w:rFonts w:cs="Aparajita"/>
          <w:sz w:val="18"/>
          <w:szCs w:val="20"/>
          <w:lang w:val="id-ID"/>
        </w:rPr>
        <w:t>Forensic odontology plays a crucial role in supporting medico-legal processes, particularly in identification and legal investigations within hospital settings. However, the integration of forensic odontology services into hospital management systems raises legal and ethical concerns related to professional responsibility, ethical standards, and institutional accountability. This article aims to analyze the legal and ethical aspects of forensic odontology services within hospital management systems. A normative and ethical literature review approach was employed by examining national health laws, professional ethical codes, hospital regulations, and relevant scientific publications. The analysis was conducted u</w:t>
      </w:r>
      <w:bookmarkStart w:id="0" w:name="_GoBack"/>
      <w:bookmarkEnd w:id="0"/>
      <w:r w:rsidRPr="00157E08">
        <w:rPr>
          <w:rFonts w:cs="Aparajita"/>
          <w:sz w:val="18"/>
          <w:szCs w:val="20"/>
          <w:lang w:val="id-ID"/>
        </w:rPr>
        <w:t>sing statutory interpretation and ethical analysis based on the principles of beneficence, non maleficence, autonomy, and justice. The findings indicate that the absence of explicit legal frameworks and standardized operational guidelines may increase medico-legal risks for dental professionals and hospitals. Ethical challenges mainly arise from potential role conflicts between dentists acting as clinicians and forensic experts, as well as issues related to confidentiality and informed consent. The study highlights the importance of integrating legal clarity and ethical principles into hospital governance to strengthen accountability, protect patient rights, and support the sustainable implementation of forensic odontology services within hospital management systems.</w:t>
      </w:r>
    </w:p>
    <w:p w:rsidR="00560547" w:rsidRDefault="002212EE">
      <w:pPr>
        <w:pBdr>
          <w:top w:val="nil"/>
          <w:left w:val="nil"/>
          <w:bottom w:val="nil"/>
          <w:right w:val="nil"/>
          <w:between w:val="nil"/>
        </w:pBdr>
        <w:jc w:val="both"/>
        <w:rPr>
          <w:color w:val="000000"/>
          <w:sz w:val="20"/>
          <w:szCs w:val="20"/>
        </w:rPr>
      </w:pPr>
      <w:r>
        <w:rPr>
          <w:noProof/>
        </w:rPr>
        <mc:AlternateContent>
          <mc:Choice Requires="wps">
            <w:drawing>
              <wp:anchor distT="0" distB="0" distL="114300" distR="114300" simplePos="0" relativeHeight="251662336" behindDoc="0" locked="0" layoutInCell="1" hidden="0" allowOverlap="1">
                <wp:simplePos x="0" y="0"/>
                <wp:positionH relativeFrom="column">
                  <wp:posOffset>25401</wp:posOffset>
                </wp:positionH>
                <wp:positionV relativeFrom="paragraph">
                  <wp:posOffset>139700</wp:posOffset>
                </wp:positionV>
                <wp:extent cx="0" cy="25400"/>
                <wp:effectExtent l="0" t="0" r="0" b="0"/>
                <wp:wrapNone/>
                <wp:docPr id="1999032396" name="Straight Arrow Connector 1999032396"/>
                <wp:cNvGraphicFramePr/>
                <a:graphic xmlns:a="http://schemas.openxmlformats.org/drawingml/2006/main">
                  <a:graphicData uri="http://schemas.microsoft.com/office/word/2010/wordprocessingShape">
                    <wps:wsp>
                      <wps:cNvCnPr/>
                      <wps:spPr>
                        <a:xfrm>
                          <a:off x="2498660" y="3780000"/>
                          <a:ext cx="5694680" cy="0"/>
                        </a:xfrm>
                        <a:prstGeom prst="straightConnector1">
                          <a:avLst/>
                        </a:prstGeom>
                        <a:noFill/>
                        <a:ln w="12700" cap="flat" cmpd="sng">
                          <a:solidFill>
                            <a:schemeClr val="dk1"/>
                          </a:solidFill>
                          <a:prstDash val="solid"/>
                          <a:miter lim="800000"/>
                          <a:headEnd type="oval" w="med" len="med"/>
                          <a:tailEnd type="oval"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139700</wp:posOffset>
                </wp:positionV>
                <wp:extent cx="0" cy="25400"/>
                <wp:effectExtent b="0" l="0" r="0" t="0"/>
                <wp:wrapNone/>
                <wp:docPr id="199903239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0" cy="25400"/>
                        </a:xfrm>
                        <a:prstGeom prst="rect"/>
                        <a:ln/>
                      </pic:spPr>
                    </pic:pic>
                  </a:graphicData>
                </a:graphic>
              </wp:anchor>
            </w:drawing>
          </mc:Fallback>
        </mc:AlternateContent>
      </w:r>
    </w:p>
    <w:p w:rsidR="00560547" w:rsidRDefault="00560547">
      <w:pPr>
        <w:pBdr>
          <w:top w:val="nil"/>
          <w:left w:val="nil"/>
          <w:bottom w:val="nil"/>
          <w:right w:val="nil"/>
          <w:between w:val="nil"/>
        </w:pBdr>
        <w:jc w:val="both"/>
        <w:rPr>
          <w:color w:val="000000"/>
          <w:sz w:val="20"/>
          <w:szCs w:val="20"/>
        </w:rPr>
      </w:pPr>
    </w:p>
    <w:p w:rsidR="00560547" w:rsidRDefault="002212EE">
      <w:pPr>
        <w:pBdr>
          <w:top w:val="nil"/>
          <w:left w:val="nil"/>
          <w:bottom w:val="nil"/>
          <w:right w:val="nil"/>
          <w:between w:val="nil"/>
        </w:pBdr>
        <w:spacing w:after="0"/>
        <w:rPr>
          <w:b/>
          <w:color w:val="000000"/>
        </w:rPr>
      </w:pPr>
      <w:bookmarkStart w:id="1" w:name="_heading=h.gjdgxs" w:colFirst="0" w:colLast="0"/>
      <w:bookmarkEnd w:id="1"/>
      <w:r>
        <w:rPr>
          <w:b/>
          <w:color w:val="000000"/>
        </w:rPr>
        <w:t>INTRODUCTION</w:t>
      </w:r>
    </w:p>
    <w:p w:rsidR="008720FA" w:rsidRPr="008720FA" w:rsidRDefault="008720FA" w:rsidP="008720FA">
      <w:pPr>
        <w:spacing w:after="0"/>
        <w:ind w:firstLine="567"/>
        <w:jc w:val="both"/>
        <w:rPr>
          <w:rFonts w:cs="Aparajita"/>
          <w:color w:val="000000"/>
        </w:rPr>
      </w:pPr>
      <w:r w:rsidRPr="008720FA">
        <w:rPr>
          <w:rFonts w:cs="Aparajita"/>
        </w:rPr>
        <w:t xml:space="preserve">Forensic odontology, also known as forensic dentistry, represents a critical intersection between dental science and legal investigations </w:t>
      </w:r>
      <w:sdt>
        <w:sdtPr>
          <w:rPr>
            <w:rFonts w:cs="Aparajita"/>
            <w:color w:val="000000"/>
          </w:rPr>
          <w:tag w:val="MENDELEY_CITATION_v3_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"/>
          <w:id w:val="-2065789135"/>
          <w:placeholder>
            <w:docPart w:val="53E50F34746846968C3174778051E743"/>
          </w:placeholder>
        </w:sdtPr>
        <w:sdtContent>
          <w:r w:rsidRPr="008720FA">
            <w:rPr>
              <w:color w:val="000000"/>
            </w:rPr>
            <w:t>(David &amp; Lewis, 2018)</w:t>
          </w:r>
        </w:sdtContent>
      </w:sdt>
      <w:r w:rsidRPr="008720FA">
        <w:rPr>
          <w:rFonts w:cs="Aparajita"/>
        </w:rPr>
        <w:t xml:space="preserve">. This discipline involves the systematic application of dental knowledge for human identification, bite mark analysis, age estimation, assessment of dental injuries, and the presentation of dental evidence in judicial proceedings. By bridging clinical dentistry, forensic science, and medico-legal jurisprudence, forensic odontology contributes significantly to both criminal justice and civil litigation processes </w:t>
      </w:r>
      <w:sdt>
        <w:sdtPr>
          <w:rPr>
            <w:rFonts w:cs="Aparajita"/>
            <w:color w:val="000000"/>
          </w:rPr>
          <w:tag w:val="MENDELEY_CITATION_v3_eyJjaXRhdGlvbklEIjoiTUVOREVMRVlfQ0lUQVRJT05fMDQ5NjZjMDAtZWI5MS00ZTk0LTg0ZWEtZmY4YjJjYWUzNDI3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
          <w:id w:val="1491907468"/>
          <w:placeholder>
            <w:docPart w:val="53E50F34746846968C3174778051E743"/>
          </w:placeholder>
        </w:sdtPr>
        <w:sdtContent>
          <w:r w:rsidRPr="008720FA">
            <w:rPr>
              <w:rFonts w:cs="Aparajita"/>
              <w:color w:val="000000"/>
            </w:rPr>
            <w:t>(</w:t>
          </w:r>
          <w:proofErr w:type="spellStart"/>
          <w:r w:rsidRPr="008720FA">
            <w:rPr>
              <w:rFonts w:cs="Aparajita"/>
              <w:color w:val="000000"/>
            </w:rPr>
            <w:t>Radu</w:t>
          </w:r>
          <w:proofErr w:type="spellEnd"/>
          <w:r w:rsidRPr="008720FA">
            <w:rPr>
              <w:rFonts w:cs="Aparajita"/>
              <w:color w:val="000000"/>
            </w:rPr>
            <w:t xml:space="preserve"> et al., 2025)</w:t>
          </w:r>
        </w:sdtContent>
      </w:sdt>
      <w:r w:rsidRPr="008720FA">
        <w:rPr>
          <w:rFonts w:cs="Aparajita"/>
        </w:rPr>
        <w:t xml:space="preserve">. Teeth and dental structures remain resilient under extreme conditions that often render other biological materials unusable, making them particularly valuable in medico-legal investigations such as disaster victim identification, mass casualty incidents, and criminal cases involving unidentified remains </w:t>
      </w:r>
      <w:sdt>
        <w:sdtPr>
          <w:rPr>
            <w:rFonts w:cs="Aparajita"/>
            <w:color w:val="000000"/>
          </w:rPr>
          <w:tag w:val="MENDELEY_CITATION_v3_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"/>
          <w:id w:val="-1444613088"/>
          <w:placeholder>
            <w:docPart w:val="53E50F34746846968C3174778051E743"/>
          </w:placeholder>
        </w:sdtPr>
        <w:sdtContent>
          <w:r w:rsidRPr="008720FA">
            <w:rPr>
              <w:rFonts w:cs="Aparajita"/>
              <w:color w:val="000000"/>
            </w:rPr>
            <w:t>(</w:t>
          </w:r>
          <w:proofErr w:type="spellStart"/>
          <w:r w:rsidRPr="008720FA">
            <w:rPr>
              <w:rFonts w:cs="Aparajita"/>
              <w:color w:val="000000"/>
            </w:rPr>
            <w:t>Fauziah</w:t>
          </w:r>
          <w:proofErr w:type="spellEnd"/>
          <w:r w:rsidRPr="008720FA">
            <w:rPr>
              <w:rFonts w:cs="Aparajita"/>
              <w:color w:val="000000"/>
            </w:rPr>
            <w:t xml:space="preserve">, </w:t>
          </w:r>
          <w:proofErr w:type="spellStart"/>
          <w:r w:rsidRPr="008720FA">
            <w:rPr>
              <w:rFonts w:cs="Aparajita"/>
              <w:color w:val="000000"/>
            </w:rPr>
            <w:t>Bagus</w:t>
          </w:r>
          <w:proofErr w:type="spellEnd"/>
          <w:r w:rsidRPr="008720FA">
            <w:rPr>
              <w:rFonts w:cs="Aparajita"/>
              <w:color w:val="000000"/>
            </w:rPr>
            <w:t xml:space="preserve"> Narmada, et al., 2025)</w:t>
          </w:r>
        </w:sdtContent>
      </w:sdt>
      <w:r w:rsidRPr="008720FA">
        <w:rPr>
          <w:rFonts w:cs="Aparajita"/>
          <w:color w:val="000000"/>
        </w:rPr>
        <w:t xml:space="preserve">. Within hospital contexts, forensic odontology is increasingly recognized not merely as a specialized scientific discipline but also as an integral operational component that supports medico-legal procedures. The discipline relies heavily on accurate dental records, radiographic imaging, and the documentation of dental treatments. In many forensic scenarios, comparison </w:t>
      </w:r>
      <w:r w:rsidRPr="008720FA">
        <w:rPr>
          <w:rFonts w:cs="Aparajita"/>
          <w:color w:val="000000"/>
        </w:rPr>
        <w:lastRenderedPageBreak/>
        <w:t xml:space="preserve">between </w:t>
      </w:r>
      <w:proofErr w:type="spellStart"/>
      <w:r w:rsidRPr="008720FA">
        <w:rPr>
          <w:rFonts w:cs="Aparajita"/>
          <w:color w:val="000000"/>
        </w:rPr>
        <w:t>antemortem</w:t>
      </w:r>
      <w:proofErr w:type="spellEnd"/>
      <w:r w:rsidRPr="008720FA">
        <w:rPr>
          <w:rFonts w:cs="Aparajita"/>
          <w:color w:val="000000"/>
        </w:rPr>
        <w:t xml:space="preserve"> and postmortem dental data provides a reliable basis for identification that is often more conclusive than alternative biometric methods </w:t>
      </w:r>
      <w:sdt>
        <w:sdtPr>
          <w:rPr>
            <w:rFonts w:cs="Aparajita"/>
            <w:color w:val="000000"/>
          </w:rPr>
          <w:tag w:val="MENDELEY_CITATION_v3_eyJjaXRhdGlvbklEIjoiTUVOREVMRVlfQ0lUQVRJT05fMTE2NmYxZjctZDg0YS00MGIzLWFiNDYtZmU5MmY3MGIxOTI1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628053010"/>
          <w:placeholder>
            <w:docPart w:val="53E50F34746846968C3174778051E743"/>
          </w:placeholder>
        </w:sdtPr>
        <w:sdtContent>
          <w:r w:rsidRPr="008720FA">
            <w:rPr>
              <w:rFonts w:cs="Aparajita"/>
              <w:color w:val="000000"/>
            </w:rPr>
            <w:t>(</w:t>
          </w:r>
          <w:proofErr w:type="spellStart"/>
          <w:r w:rsidRPr="008720FA">
            <w:rPr>
              <w:rFonts w:cs="Aparajita"/>
              <w:color w:val="000000"/>
            </w:rPr>
            <w:t>Pavi</w:t>
          </w:r>
          <w:r w:rsidRPr="008720FA">
            <w:rPr>
              <w:color w:val="000000"/>
            </w:rPr>
            <w:t>č</w:t>
          </w:r>
          <w:r w:rsidRPr="008720FA">
            <w:rPr>
              <w:rFonts w:cs="Aparajita"/>
              <w:color w:val="000000"/>
            </w:rPr>
            <w:t>in</w:t>
          </w:r>
          <w:proofErr w:type="spellEnd"/>
          <w:r w:rsidRPr="008720FA">
            <w:rPr>
              <w:rFonts w:cs="Aparajita"/>
              <w:color w:val="000000"/>
            </w:rPr>
            <w:t xml:space="preserve"> et al., 2021)</w:t>
          </w:r>
        </w:sdtContent>
      </w:sdt>
      <w:r w:rsidRPr="008720FA">
        <w:rPr>
          <w:rFonts w:cs="Aparajita"/>
          <w:color w:val="000000"/>
        </w:rPr>
        <w:t>.</w:t>
      </w:r>
    </w:p>
    <w:p w:rsidR="008720FA" w:rsidRPr="008720FA" w:rsidRDefault="008720FA" w:rsidP="008720FA">
      <w:pPr>
        <w:spacing w:after="0"/>
        <w:ind w:firstLine="567"/>
        <w:jc w:val="both"/>
        <w:rPr>
          <w:rFonts w:cs="Aparajita"/>
        </w:rPr>
      </w:pPr>
      <w:r w:rsidRPr="008720FA">
        <w:rPr>
          <w:rFonts w:cs="Aparajita"/>
        </w:rPr>
        <w:t xml:space="preserve">Forensic odontology services often lack specific operational frameworks within hospital management systems. In many healthcare institutions, </w:t>
      </w:r>
      <w:proofErr w:type="spellStart"/>
      <w:r w:rsidRPr="008720FA">
        <w:rPr>
          <w:rFonts w:cs="Aparajita"/>
        </w:rPr>
        <w:t>odontological</w:t>
      </w:r>
      <w:proofErr w:type="spellEnd"/>
      <w:r w:rsidRPr="008720FA">
        <w:rPr>
          <w:rFonts w:cs="Aparajita"/>
        </w:rPr>
        <w:t xml:space="preserve"> expertise is underutilized, with minimal integration into formal hospital procedures concerning medico-legal cases </w:t>
      </w:r>
      <w:sdt>
        <w:sdtPr>
          <w:rPr>
            <w:rFonts w:cs="Aparajita"/>
            <w:color w:val="000000"/>
          </w:rPr>
          <w:tag w:val="MENDELEY_CITATION_v3_eyJjaXRhdGlvbklEIjoiTUVOREVMRVlfQ0lUQVRJT05fYjMyNzk5M2ItNjkxMy00NTEyLTkxMzQtYTUzYzhiY2RhODMx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117219724"/>
          <w:placeholder>
            <w:docPart w:val="53E50F34746846968C3174778051E743"/>
          </w:placeholder>
        </w:sdtPr>
        <w:sdtContent>
          <w:r w:rsidRPr="008720FA">
            <w:rPr>
              <w:rFonts w:cs="Aparajita"/>
              <w:color w:val="000000"/>
            </w:rPr>
            <w:t>(</w:t>
          </w:r>
          <w:proofErr w:type="spellStart"/>
          <w:r w:rsidRPr="008720FA">
            <w:rPr>
              <w:rFonts w:cs="Aparajita"/>
              <w:color w:val="000000"/>
            </w:rPr>
            <w:t>Pavi</w:t>
          </w:r>
          <w:r w:rsidRPr="008720FA">
            <w:rPr>
              <w:color w:val="000000"/>
            </w:rPr>
            <w:t>č</w:t>
          </w:r>
          <w:r w:rsidRPr="008720FA">
            <w:rPr>
              <w:rFonts w:cs="Aparajita"/>
              <w:color w:val="000000"/>
            </w:rPr>
            <w:t>in</w:t>
          </w:r>
          <w:proofErr w:type="spellEnd"/>
          <w:r w:rsidRPr="008720FA">
            <w:rPr>
              <w:rFonts w:cs="Aparajita"/>
              <w:color w:val="000000"/>
            </w:rPr>
            <w:t xml:space="preserve"> et al., 2021)</w:t>
          </w:r>
        </w:sdtContent>
      </w:sdt>
      <w:r w:rsidRPr="008720FA">
        <w:rPr>
          <w:rFonts w:cs="Aparajita"/>
        </w:rPr>
        <w:t xml:space="preserve">. This limited integration arises from a combination of clinical and administrative constraints, including inadequate legal guidance, the absence of standardized procedures, and unclear ethical expectations for professionals involved in forensic dental examinations. Consequently, hospitals and dental practitioners face increased medico-legal risks related to professional responsibility, documentation practices, data privacy, and the credibility of expert testimony. Although healthcare professionals are legally required to maintain accurate and comprehensive dental records, these records often function beyond clinical purposes as potential medico-legal evidence. Forensic odontology relies on such records for </w:t>
      </w:r>
      <w:proofErr w:type="spellStart"/>
      <w:r w:rsidRPr="008720FA">
        <w:rPr>
          <w:rFonts w:cs="Aparajita"/>
        </w:rPr>
        <w:t>antemortem</w:t>
      </w:r>
      <w:proofErr w:type="spellEnd"/>
      <w:r w:rsidRPr="008720FA">
        <w:rPr>
          <w:rFonts w:cs="Aparajita"/>
        </w:rPr>
        <w:t xml:space="preserve"> and postmortem comparisons that may directly influence judicial outcomes. However, inconsistencies in record keeping or noncompliance with legal documentation standards can substantially weaken the evidentiary value of dental data. This challenge has become more pronounced with the growing adoption of digital records, which introduces additional concerns related to data governance, interoperability, and cybersecurity within healthcare institutions </w:t>
      </w:r>
      <w:sdt>
        <w:sdtPr>
          <w:rPr>
            <w:rFonts w:cs="Aparajita"/>
            <w:color w:val="000000"/>
          </w:rPr>
          <w:tag w:val="MENDELEY_CITATION_v3_eyJjaXRhdGlvbklEIjoiTUVOREVMRVlfQ0lUQVRJT05fNjY1MGU0MTQtMGRjMy00NzZkLWE2NTMtZmEwMjYzMjZjOTll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732150334"/>
          <w:placeholder>
            <w:docPart w:val="53E50F34746846968C3174778051E743"/>
          </w:placeholder>
        </w:sdtPr>
        <w:sdtContent>
          <w:r w:rsidRPr="008720FA">
            <w:rPr>
              <w:rFonts w:cs="Aparajita"/>
              <w:color w:val="000000"/>
            </w:rPr>
            <w:t>(</w:t>
          </w:r>
          <w:proofErr w:type="spellStart"/>
          <w:r w:rsidRPr="008720FA">
            <w:rPr>
              <w:rFonts w:cs="Aparajita"/>
              <w:color w:val="000000"/>
            </w:rPr>
            <w:t>Baqai</w:t>
          </w:r>
          <w:proofErr w:type="spellEnd"/>
          <w:r w:rsidRPr="008720FA">
            <w:rPr>
              <w:rFonts w:cs="Aparajita"/>
              <w:color w:val="000000"/>
            </w:rPr>
            <w:t xml:space="preserve"> et al., 2023)</w:t>
          </w:r>
        </w:sdtContent>
      </w:sdt>
      <w:r w:rsidRPr="008720FA">
        <w:rPr>
          <w:rFonts w:cs="Aparajita"/>
        </w:rPr>
        <w:t>.</w:t>
      </w:r>
    </w:p>
    <w:p w:rsidR="008720FA" w:rsidRPr="008720FA" w:rsidRDefault="008720FA" w:rsidP="008720FA">
      <w:pPr>
        <w:spacing w:after="0"/>
        <w:ind w:firstLine="567"/>
        <w:jc w:val="both"/>
        <w:rPr>
          <w:rFonts w:cs="Aparajita"/>
        </w:rPr>
      </w:pPr>
      <w:r w:rsidRPr="008720FA">
        <w:rPr>
          <w:rFonts w:cs="Aparajita"/>
        </w:rPr>
        <w:t xml:space="preserve">Ethical considerations further complicate the provision of forensic odontology services. Dental professionals must navigate competing obligations to patient confidentiality, informed consent, and the pursuit of justice. The dual roles of clinician and expert witness may generate conflicts, particularly when handling sensitive information or providing testimony that might affect the legal rights of individuals. Ethical codes and standards of professional conduct require forensic </w:t>
      </w:r>
      <w:proofErr w:type="spellStart"/>
      <w:r w:rsidRPr="008720FA">
        <w:rPr>
          <w:rFonts w:cs="Aparajita"/>
        </w:rPr>
        <w:t>odontologists</w:t>
      </w:r>
      <w:proofErr w:type="spellEnd"/>
      <w:r w:rsidRPr="008720FA">
        <w:rPr>
          <w:rFonts w:cs="Aparajita"/>
        </w:rPr>
        <w:t xml:space="preserve"> to uphold principles of beneficence, non-maleficence, autonomy, and justice, ensuring that evidence is collected and presented without bias and that patient rights are protected </w:t>
      </w:r>
      <w:sdt>
        <w:sdtPr>
          <w:rPr>
            <w:rFonts w:cs="Aparajita"/>
            <w:color w:val="000000"/>
          </w:rPr>
          <w:tag w:val="MENDELEY_CITATION_v3_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"/>
          <w:id w:val="-2823694"/>
          <w:placeholder>
            <w:docPart w:val="53E50F34746846968C3174778051E743"/>
          </w:placeholder>
        </w:sdtPr>
        <w:sdtContent>
          <w:r w:rsidRPr="008720FA">
            <w:rPr>
              <w:rFonts w:cs="Aparajita"/>
              <w:color w:val="000000"/>
            </w:rPr>
            <w:t>(</w:t>
          </w:r>
          <w:proofErr w:type="spellStart"/>
          <w:r w:rsidRPr="008720FA">
            <w:rPr>
              <w:rFonts w:cs="Aparajita"/>
              <w:color w:val="000000"/>
            </w:rPr>
            <w:t>Fauziah</w:t>
          </w:r>
          <w:proofErr w:type="spellEnd"/>
          <w:r w:rsidRPr="008720FA">
            <w:rPr>
              <w:rFonts w:cs="Aparajita"/>
              <w:color w:val="000000"/>
            </w:rPr>
            <w:t xml:space="preserve">, </w:t>
          </w:r>
          <w:proofErr w:type="spellStart"/>
          <w:r w:rsidRPr="008720FA">
            <w:rPr>
              <w:rFonts w:cs="Aparajita"/>
              <w:color w:val="000000"/>
            </w:rPr>
            <w:t>Alhadad</w:t>
          </w:r>
          <w:proofErr w:type="spellEnd"/>
          <w:r w:rsidRPr="008720FA">
            <w:rPr>
              <w:rFonts w:cs="Aparajita"/>
              <w:color w:val="000000"/>
            </w:rPr>
            <w:t xml:space="preserve">, et al., </w:t>
          </w:r>
          <w:proofErr w:type="gramStart"/>
          <w:r w:rsidRPr="008720FA">
            <w:rPr>
              <w:rFonts w:cs="Aparajita"/>
              <w:color w:val="000000"/>
            </w:rPr>
            <w:t>2024</w:t>
          </w:r>
          <w:proofErr w:type="gramEnd"/>
          <w:r w:rsidRPr="008720FA">
            <w:rPr>
              <w:rFonts w:cs="Aparajita"/>
              <w:color w:val="000000"/>
            </w:rPr>
            <w:t>)</w:t>
          </w:r>
        </w:sdtContent>
      </w:sdt>
      <w:r w:rsidRPr="008720FA">
        <w:rPr>
          <w:rFonts w:cs="Aparajita"/>
        </w:rPr>
        <w:t>. When ethical guidance is limited or training in forensic practice is insufficient, both clinicians and healthcare institutions may become vulnerable to allegations of ethical misconduct or professional negligence.</w:t>
      </w:r>
    </w:p>
    <w:p w:rsidR="00560547" w:rsidRDefault="008720FA" w:rsidP="008720FA">
      <w:pPr>
        <w:pBdr>
          <w:top w:val="nil"/>
          <w:left w:val="nil"/>
          <w:bottom w:val="nil"/>
          <w:right w:val="nil"/>
          <w:between w:val="nil"/>
        </w:pBdr>
        <w:ind w:firstLine="567"/>
        <w:jc w:val="both"/>
        <w:rPr>
          <w:rFonts w:cs="Aparajita"/>
        </w:rPr>
      </w:pPr>
      <w:r w:rsidRPr="008720FA">
        <w:rPr>
          <w:rFonts w:cs="Aparajita"/>
        </w:rPr>
        <w:t>From the perspective of hospital management, these legal and ethical challenges underscore the necessity of integrated governance structures. Hospitals are expected to embed legal and ethical frameworks into internal policies through clear standard operating procedures, effective compliance mechanisms, and appropriate ethical oversight. Such governance arrangements are essential not only to protect patient rights and uphold scientific integrity, but also to strengthen institutional accountability and mitigate legal risk. Hospitals that fail to establish comprehensive frameworks for forensic odontology services may encounter difficulties in litigation processes, accreditation requirements, and the maintenance of public trust. The interaction between legal mandates and ethical responsibilities becomes increasingly significant in the context of evolving healthcare regulations. Contemporary health laws emphasize patient rights, data protection, and professional liability, reinforcing the need for legally sound and ethically responsible forensic practices within hospital settings. Existing studies tend to address legal or ethical issues separately, with limited integrative analysis that examines their intersection within hospital management systems</w:t>
      </w:r>
      <w:r w:rsidRPr="008720FA">
        <w:rPr>
          <w:rFonts w:cs="Aparajita"/>
          <w:color w:val="000000"/>
        </w:rPr>
        <w:t xml:space="preserve"> </w:t>
      </w:r>
      <w:sdt>
        <w:sdtPr>
          <w:rPr>
            <w:rFonts w:cs="Aparajita"/>
            <w:color w:val="000000"/>
          </w:rPr>
          <w:tag w:val="MENDELEY_CITATION_v3_eyJjaXRhdGlvbklEIjoiTUVOREVMRVlfQ0lUQVRJT05fNmFkZjdhMzctMDBlMS00ZGNkLTllOTEtZWNiNTE5YzVkN2Fl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
          <w:id w:val="-1616823722"/>
          <w:placeholder>
            <w:docPart w:val="D9769F5EF99641CFA87C530C9B9FE4EC"/>
          </w:placeholder>
        </w:sdtPr>
        <w:sdtContent>
          <w:r w:rsidRPr="008720FA">
            <w:rPr>
              <w:rFonts w:cs="Aparajita"/>
              <w:color w:val="000000"/>
            </w:rPr>
            <w:t>(</w:t>
          </w:r>
          <w:proofErr w:type="spellStart"/>
          <w:r w:rsidRPr="008720FA">
            <w:rPr>
              <w:rFonts w:cs="Aparajita"/>
              <w:color w:val="000000"/>
            </w:rPr>
            <w:t>Radu</w:t>
          </w:r>
          <w:proofErr w:type="spellEnd"/>
          <w:r w:rsidRPr="008720FA">
            <w:rPr>
              <w:rFonts w:cs="Aparajita"/>
              <w:color w:val="000000"/>
            </w:rPr>
            <w:t xml:space="preserve"> et al., 2025)</w:t>
          </w:r>
        </w:sdtContent>
      </w:sdt>
      <w:r w:rsidRPr="008720FA">
        <w:rPr>
          <w:rFonts w:cs="Aparajita"/>
        </w:rPr>
        <w:t>. Given these conditions, a comprehensive analysis of legal and ethical aspects of forensic odontology services in hospital management systems is warranted. This article therefore examines the legal and ethical dimensions of forensic odontology services to contribute to improved hospital governance, professional accountability, and patient protection.</w:t>
      </w:r>
    </w:p>
    <w:p w:rsidR="008720FA" w:rsidRPr="008720FA" w:rsidRDefault="008720FA" w:rsidP="008720FA">
      <w:pPr>
        <w:pBdr>
          <w:top w:val="nil"/>
          <w:left w:val="nil"/>
          <w:bottom w:val="nil"/>
          <w:right w:val="nil"/>
          <w:between w:val="nil"/>
        </w:pBdr>
        <w:ind w:firstLine="567"/>
        <w:jc w:val="both"/>
        <w:rPr>
          <w:color w:val="000000"/>
          <w:vertAlign w:val="superscript"/>
        </w:rPr>
      </w:pPr>
    </w:p>
    <w:p w:rsidR="00560547" w:rsidRDefault="008720FA">
      <w:pPr>
        <w:pBdr>
          <w:top w:val="nil"/>
          <w:left w:val="nil"/>
          <w:bottom w:val="nil"/>
          <w:right w:val="nil"/>
          <w:between w:val="nil"/>
        </w:pBdr>
        <w:spacing w:after="0"/>
        <w:rPr>
          <w:b/>
          <w:color w:val="000000"/>
        </w:rPr>
      </w:pPr>
      <w:r>
        <w:rPr>
          <w:b/>
          <w:color w:val="000000"/>
        </w:rPr>
        <w:t xml:space="preserve">RESEARCH </w:t>
      </w:r>
      <w:r w:rsidR="002212EE">
        <w:rPr>
          <w:b/>
          <w:color w:val="000000"/>
        </w:rPr>
        <w:t>METHODS</w:t>
      </w:r>
    </w:p>
    <w:p w:rsidR="008720FA" w:rsidRPr="00FE4B9F" w:rsidRDefault="008720FA" w:rsidP="008720FA">
      <w:pPr>
        <w:spacing w:after="0"/>
        <w:ind w:firstLine="360"/>
        <w:jc w:val="both"/>
        <w:rPr>
          <w:rFonts w:cs="Aparajita"/>
          <w:lang w:val="id-ID" w:bidi="th-TH"/>
        </w:rPr>
      </w:pPr>
      <w:r w:rsidRPr="00FE4B9F">
        <w:rPr>
          <w:rFonts w:cs="Aparajita"/>
          <w:lang w:val="id-ID" w:bidi="th-TH"/>
        </w:rPr>
        <w:t xml:space="preserve">This research employed a normative or library legal approach by analyzing legal literature materials related to forensic odontology services within hospital management systems </w:t>
      </w:r>
      <w:sdt>
        <w:sdtPr>
          <w:rPr>
            <w:rFonts w:cs="Aparajita"/>
            <w:color w:val="000000"/>
            <w:lang w:val="id-ID" w:bidi="th-TH"/>
          </w:rPr>
          <w:tag w:val="MENDELEY_CITATION_v3_eyJjaXRhdGlvbklEIjoiTUVOREVMRVlfQ0lUQVRJT05fNzE3MTBhNjEtNzk3MC00ODFmLWE5ODAtODdhMWIwYmY2OWN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FUkxJTkRVTkdBTiBIVUtVTSBURVJIQURBUCBLRUFNQU5BTiBEQVRBIEtPTlNVTUVOIEZJTkFOQ0lBTCBURUNITk9MT0dZIERJIElORE9ORVNJQ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1239242726"/>
          <w:placeholder>
            <w:docPart w:val="3BAF5089D26740DFA289372380AC7E0E"/>
          </w:placeholder>
        </w:sdtPr>
        <w:sdtContent>
          <w:r w:rsidRPr="00FE4B9F">
            <w:rPr>
              <w:rFonts w:cs="Aparajita"/>
              <w:color w:val="000000"/>
              <w:lang w:val="id-ID" w:bidi="th-TH"/>
            </w:rPr>
            <w:t>(Benuf et al., 2019)</w:t>
          </w:r>
        </w:sdtContent>
      </w:sdt>
      <w:r w:rsidRPr="00FE4B9F">
        <w:rPr>
          <w:rFonts w:cs="Aparajita"/>
          <w:lang w:val="id-ID" w:bidi="th-TH"/>
        </w:rPr>
        <w:t xml:space="preserve">. The approaches used in this research were the legislative approach and the conceptual approach. The legislative approach involved the examination of several regulations </w:t>
      </w:r>
      <w:r w:rsidRPr="00FE4B9F">
        <w:rPr>
          <w:rFonts w:cs="Aparajita"/>
          <w:lang w:val="id-ID" w:bidi="th-TH"/>
        </w:rPr>
        <w:lastRenderedPageBreak/>
        <w:t>relevant to the research topic, including the Act of the Republic of Indonesia Number 17 of 2023 concerning Health, regulations on hospital governance, medical records, and professional accountability. This approach enabled an analysis of legal aspects governing the provision of forensic odontology services and institutional responsibility within hospitals. The conceptual approach analyzed the contextual relationship between relevant legislative regulations and ethical principles in healthcare services. This approach facilitated an understanding of how legal concepts and ethical principles underpin the organization, implementation, and accountability of forensic odontology services in hospital management systems</w:t>
      </w:r>
    </w:p>
    <w:p w:rsidR="00560547" w:rsidRPr="00FE4B9F" w:rsidRDefault="008720FA" w:rsidP="008720FA">
      <w:pPr>
        <w:pBdr>
          <w:top w:val="nil"/>
          <w:left w:val="nil"/>
          <w:bottom w:val="nil"/>
          <w:right w:val="nil"/>
          <w:between w:val="nil"/>
        </w:pBdr>
        <w:ind w:firstLine="567"/>
        <w:jc w:val="both"/>
        <w:rPr>
          <w:color w:val="000000"/>
        </w:rPr>
      </w:pPr>
      <w:r w:rsidRPr="00FE4B9F">
        <w:rPr>
          <w:rFonts w:cs="Aparajita"/>
          <w:lang w:val="id-ID" w:bidi="th-TH"/>
        </w:rPr>
        <w:t>In data collection, this research utilized three sources of legal materials: primary, secondary, and tertiary legal materials. Primary legal materials consisted of statutory regulations related to health services, hospital management, professional practice, and medical ethics, including national health laws and relevant ministerial regulations. Secondary legal materials included legal literature, textbooks, scientific journal articles, policy documents, and expert opinions relevant to forensic odontology, health law, and medical ethics. Tertiary legal materials comprised legal dictionaries, legal encyclopedias, and other reference materials used to clarify legal terminology and concepts. Legal material analysis was conducted using techniques of description, systematization, interpretation, and legal argumentation. These techniques were applied to examine the coherence of legal norms, ethical standards, and hospital governance frameworks in supporting forensic odontology services. This research method provides a systematic framework for analyzing legal and ethical aspects of forensic odontology within hospital management systems and for identifying strategies to strengthen legal certainty, ethical compliance, and institutional accountability.</w:t>
      </w:r>
    </w:p>
    <w:p w:rsidR="00560547" w:rsidRDefault="00560547">
      <w:pPr>
        <w:pBdr>
          <w:top w:val="nil"/>
          <w:left w:val="nil"/>
          <w:bottom w:val="nil"/>
          <w:right w:val="nil"/>
          <w:between w:val="nil"/>
        </w:pBdr>
        <w:ind w:firstLine="567"/>
        <w:jc w:val="both"/>
        <w:rPr>
          <w:color w:val="000000"/>
        </w:rPr>
      </w:pPr>
    </w:p>
    <w:p w:rsidR="00FE4B9F" w:rsidRPr="00FE4B9F" w:rsidRDefault="00FE4B9F" w:rsidP="00FE4B9F">
      <w:pPr>
        <w:spacing w:after="0"/>
        <w:rPr>
          <w:rFonts w:cs="Aparajita"/>
          <w:b/>
          <w:lang w:bidi="th-TH"/>
        </w:rPr>
      </w:pPr>
      <w:r>
        <w:rPr>
          <w:rFonts w:cs="Aparajita"/>
          <w:b/>
          <w:lang w:bidi="th-TH"/>
        </w:rPr>
        <w:t xml:space="preserve">RESULT AND </w:t>
      </w:r>
      <w:proofErr w:type="spellStart"/>
      <w:r>
        <w:rPr>
          <w:rFonts w:cs="Aparajita"/>
          <w:b/>
          <w:lang w:bidi="th-TH"/>
        </w:rPr>
        <w:t>DISCUSSIOn</w:t>
      </w:r>
      <w:proofErr w:type="spellEnd"/>
    </w:p>
    <w:p w:rsidR="00FE4B9F" w:rsidRPr="00FE4B9F" w:rsidRDefault="00FE4B9F" w:rsidP="00FE4B9F">
      <w:pPr>
        <w:spacing w:after="0"/>
        <w:jc w:val="both"/>
        <w:rPr>
          <w:rFonts w:cs="Aparajita"/>
          <w:b/>
          <w:bCs/>
          <w:lang w:val="id-ID"/>
        </w:rPr>
      </w:pPr>
      <w:r w:rsidRPr="00FE4B9F">
        <w:rPr>
          <w:rFonts w:cs="Aparajita"/>
          <w:b/>
          <w:bCs/>
          <w:lang w:val="id-ID"/>
        </w:rPr>
        <w:t>Legal Framework of Forensic Odontology in Hospital Management</w:t>
      </w:r>
    </w:p>
    <w:p w:rsidR="00FE4B9F" w:rsidRPr="00FE4B9F" w:rsidRDefault="00FE4B9F" w:rsidP="00FE4B9F">
      <w:pPr>
        <w:spacing w:after="0"/>
        <w:ind w:firstLine="720"/>
        <w:jc w:val="both"/>
        <w:rPr>
          <w:rFonts w:cs="Aparajita"/>
          <w:lang w:val="id-ID"/>
        </w:rPr>
      </w:pPr>
      <w:r w:rsidRPr="00FE4B9F">
        <w:rPr>
          <w:rFonts w:cs="Aparajita"/>
          <w:lang w:val="id-ID"/>
        </w:rPr>
        <w:t xml:space="preserve">Forensic odontology is grounded not only in scientific and clinical expertise but also within a comprehensive legal framework that defines its legitimacy, scope of application, and responsibilities of professionals and institutions. In hospital settings, this legal framework encompasses national health laws, regulations on medical records and data protection, professional standards, and procedural guidelines that collectively shape how forensic dental services are performed and governed. A robust legal infrastructure ensures that hospitals and dental professionals can provide medico-legal services with clarity on rights, duties, and liability while protecting patient interests and upholding justice </w:t>
      </w:r>
      <w:sdt>
        <w:sdtPr>
          <w:rPr>
            <w:rFonts w:cs="Aparajita"/>
            <w:color w:val="000000"/>
            <w:lang w:val="id-ID"/>
          </w:rPr>
          <w:tag w:val="MENDELEY_CITATION_v3_eyJjaXRhdGlvbklEIjoiTUVOREVMRVlfQ0lUQVRJT05fMTZhYmU2OTYtOThiOS00ODczLWFiYjEtYjYwNWY1YTQyY2Jk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306093543"/>
          <w:placeholder>
            <w:docPart w:val="DF3CFB222AAF4E44BE86D2027FEBB4F0"/>
          </w:placeholder>
        </w:sdtPr>
        <w:sdtContent>
          <w:r w:rsidRPr="00FE4B9F">
            <w:rPr>
              <w:rFonts w:cs="Aparajita"/>
              <w:color w:val="000000"/>
              <w:lang w:val="id-ID"/>
            </w:rPr>
            <w:t>(Benuf et al., 2019)</w:t>
          </w:r>
        </w:sdtContent>
      </w:sdt>
      <w:r w:rsidRPr="00FE4B9F">
        <w:rPr>
          <w:rFonts w:cs="Aparajita"/>
          <w:lang w:val="id-ID"/>
        </w:rPr>
        <w:t>.</w:t>
      </w:r>
    </w:p>
    <w:p w:rsidR="00FE4B9F" w:rsidRPr="00FE4B9F" w:rsidRDefault="00FE4B9F" w:rsidP="00FE4B9F">
      <w:pPr>
        <w:spacing w:after="0"/>
        <w:ind w:firstLine="720"/>
        <w:jc w:val="both"/>
        <w:rPr>
          <w:rFonts w:cs="Aparajita"/>
          <w:lang w:val="id-ID"/>
        </w:rPr>
      </w:pPr>
      <w:r w:rsidRPr="00FE4B9F">
        <w:rPr>
          <w:rFonts w:cs="Aparajita"/>
          <w:lang w:val="id-ID"/>
        </w:rPr>
        <w:t xml:space="preserve">Health legislation plays a central role in providing a clear legal foundation for the inclusion of forensic odontology within hospital management systems. Health laws typically mandate that healthcare providers maintain accurate and comprehensive patient records, including dental records, for clinical care and potential legal use. For example, modern health statutes such as Law Number 17 of 2023 concerning Health in Indonesia emphasize the legal obligation of health practitioners and institutions to document patient care accurately. The statute also reinforces patient rights and institutional accountability, which are essential in medico-legal services where provenance, integrity, and authenticity of dental records may have judicial implications. These provisions create an environment where odontological evidence can be legitimately assessed within medico-legal processes, supporting both clinical and legal outcomes </w:t>
      </w:r>
      <w:sdt>
        <w:sdtPr>
          <w:rPr>
            <w:rFonts w:cs="Aparajita"/>
            <w:color w:val="000000"/>
            <w:lang w:val="id-ID"/>
          </w:rPr>
          <w:tag w:val="MENDELEY_CITATION_v3_eyJjaXRhdGlvbklEIjoiTUVOREVMRVlfQ0lUQVRJT05fYWNhNGFmMmYtZjlmOC00OGJkLTlhNDQtYzQ0ZWYzN2Y0ZTJ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476342247"/>
          <w:placeholder>
            <w:docPart w:val="DF3CFB222AAF4E44BE86D2027FEBB4F0"/>
          </w:placeholder>
        </w:sdtPr>
        <w:sdtContent>
          <w:r w:rsidRPr="00FE4B9F">
            <w:rPr>
              <w:rFonts w:cs="Aparajita"/>
              <w:color w:val="000000"/>
              <w:lang w:val="id-ID"/>
            </w:rPr>
            <w:t>(Benuf et al., 2019)</w:t>
          </w:r>
        </w:sdtContent>
      </w:sdt>
      <w:r w:rsidRPr="00FE4B9F">
        <w:rPr>
          <w:rFonts w:cs="Aparajita"/>
          <w:lang w:val="id-ID"/>
        </w:rPr>
        <w:t>.</w:t>
      </w:r>
    </w:p>
    <w:p w:rsidR="00FE4B9F" w:rsidRPr="00FE4B9F" w:rsidRDefault="00FE4B9F" w:rsidP="00FE4B9F">
      <w:pPr>
        <w:spacing w:after="0"/>
        <w:ind w:firstLine="720"/>
        <w:jc w:val="both"/>
        <w:rPr>
          <w:rFonts w:cs="Aparajita"/>
          <w:lang w:val="id-ID"/>
        </w:rPr>
      </w:pPr>
      <w:r w:rsidRPr="00FE4B9F">
        <w:rPr>
          <w:rFonts w:cs="Aparajita"/>
          <w:lang w:val="id-ID"/>
        </w:rPr>
        <w:t xml:space="preserve">Professional standards and codes of conduct issued by dental associations and health regulatory bodies contribute to the legal architecture of forensic odontology. These standards often articulate the scope of practice, competence requirements, and ethical obligations for dental professionals, including those engaging in forensic work. Because forensic experts may serve as expert witnesses, professional regulations frequently address the legal liability related to testimony and expert reporting. A lack of clarity in these standards could expose hospitals and individual practitioners to medico-legal risk, including allegations of malpractice or misrepresentation </w:t>
      </w:r>
      <w:sdt>
        <w:sdtPr>
          <w:rPr>
            <w:rFonts w:cs="Aparajita"/>
            <w:color w:val="000000"/>
            <w:lang w:val="id-ID"/>
          </w:rPr>
          <w:tag w:val="MENDELEY_CITATION_v3_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"/>
          <w:id w:val="-1608264941"/>
          <w:placeholder>
            <w:docPart w:val="DF3CFB222AAF4E44BE86D2027FEBB4F0"/>
          </w:placeholder>
        </w:sdtPr>
        <w:sdtContent>
          <w:r w:rsidRPr="00FE4B9F">
            <w:rPr>
              <w:color w:val="000000"/>
            </w:rPr>
            <w:t>(</w:t>
          </w:r>
          <w:proofErr w:type="spellStart"/>
          <w:r w:rsidRPr="00FE4B9F">
            <w:rPr>
              <w:color w:val="000000"/>
            </w:rPr>
            <w:t>Nazia</w:t>
          </w:r>
          <w:proofErr w:type="spellEnd"/>
          <w:r w:rsidRPr="00FE4B9F">
            <w:rPr>
              <w:color w:val="000000"/>
            </w:rPr>
            <w:t xml:space="preserve"> </w:t>
          </w:r>
          <w:proofErr w:type="spellStart"/>
          <w:r w:rsidRPr="00FE4B9F">
            <w:rPr>
              <w:color w:val="000000"/>
            </w:rPr>
            <w:t>Zareen</w:t>
          </w:r>
          <w:proofErr w:type="spellEnd"/>
          <w:r w:rsidRPr="00FE4B9F">
            <w:rPr>
              <w:color w:val="000000"/>
            </w:rPr>
            <w:t xml:space="preserve"> &amp; </w:t>
          </w:r>
          <w:proofErr w:type="spellStart"/>
          <w:r w:rsidRPr="00FE4B9F">
            <w:rPr>
              <w:color w:val="000000"/>
            </w:rPr>
            <w:t>Bhoj</w:t>
          </w:r>
          <w:proofErr w:type="spellEnd"/>
          <w:r w:rsidRPr="00FE4B9F">
            <w:rPr>
              <w:color w:val="000000"/>
            </w:rPr>
            <w:t>, 2019)</w:t>
          </w:r>
        </w:sdtContent>
      </w:sdt>
      <w:r w:rsidRPr="00FE4B9F">
        <w:rPr>
          <w:rFonts w:cs="Aparajita"/>
          <w:lang w:val="id-ID"/>
        </w:rPr>
        <w:t>.</w:t>
      </w:r>
    </w:p>
    <w:p w:rsidR="00FE4B9F" w:rsidRDefault="00FE4B9F" w:rsidP="00FE4B9F">
      <w:pPr>
        <w:spacing w:after="0"/>
        <w:ind w:firstLine="720"/>
        <w:jc w:val="both"/>
        <w:rPr>
          <w:rFonts w:cs="Aparajita"/>
        </w:rPr>
      </w:pPr>
      <w:r w:rsidRPr="00FE4B9F">
        <w:rPr>
          <w:rFonts w:cs="Aparajita"/>
          <w:lang w:val="id-ID"/>
        </w:rPr>
        <w:t xml:space="preserve">Data protection and patient privacy laws are closely connected to medico legal </w:t>
      </w:r>
      <w:r w:rsidRPr="00FE4B9F">
        <w:rPr>
          <w:rFonts w:cs="Aparajita"/>
          <w:lang w:val="id-ID"/>
        </w:rPr>
        <w:lastRenderedPageBreak/>
        <w:t xml:space="preserve">procedures and have particular importance in forensic odontology. Legal regulations on personal health information set clear limits on who may access and share medical and dental records. Following these rules helps ensure that the use of sensitive patient data for forensic purposes respects individual rights, especially in situations where explicit informed consent for medico legal use has not been provided. In countries with strong patient privacy protections, access to health records for forensic investigations is allowed only under clearly defined legal conditions, with an emphasis on transparency, accountability, and proper legal process </w:t>
      </w:r>
      <w:sdt>
        <w:sdtPr>
          <w:rPr>
            <w:rFonts w:cs="Aparajita"/>
            <w:color w:val="000000"/>
            <w:lang w:val="id-ID"/>
          </w:rPr>
          <w:tag w:val="MENDELEY_CITATION_v3_eyJjaXRhdGlvbklEIjoiTUVOREVMRVlfQ0lUQVRJT05fZjdkZTY2NzAtZWQxOS00ZTFiLTgzMTEtNjkzZmNjZGRiODk4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1376451303"/>
          <w:placeholder>
            <w:docPart w:val="DF3CFB222AAF4E44BE86D2027FEBB4F0"/>
          </w:placeholder>
        </w:sdtPr>
        <w:sdtContent>
          <w:r w:rsidRPr="00FE4B9F">
            <w:rPr>
              <w:rFonts w:cs="Aparajita"/>
              <w:color w:val="000000"/>
              <w:lang w:val="id-ID"/>
            </w:rPr>
            <w:t>(Baqai et al., 2023)</w:t>
          </w:r>
        </w:sdtContent>
      </w:sdt>
      <w:r w:rsidRPr="00FE4B9F">
        <w:rPr>
          <w:rFonts w:cs="Aparajita"/>
          <w:lang w:val="id-ID"/>
        </w:rPr>
        <w:t>.</w:t>
      </w:r>
    </w:p>
    <w:p w:rsidR="00FE4B9F" w:rsidRPr="00FE4B9F" w:rsidRDefault="00FE4B9F" w:rsidP="00FE4B9F">
      <w:pPr>
        <w:spacing w:after="0"/>
        <w:jc w:val="both"/>
        <w:rPr>
          <w:rFonts w:cs="Aparajita"/>
        </w:rPr>
      </w:pPr>
    </w:p>
    <w:p w:rsidR="00FE4B9F" w:rsidRPr="00FE4B9F" w:rsidRDefault="00FE4B9F" w:rsidP="00FE4B9F">
      <w:pPr>
        <w:spacing w:after="0"/>
        <w:jc w:val="both"/>
        <w:rPr>
          <w:rFonts w:cs="Aparajita"/>
          <w:b/>
          <w:bCs/>
        </w:rPr>
      </w:pPr>
      <w:r w:rsidRPr="00FE4B9F">
        <w:rPr>
          <w:rFonts w:cs="Aparajita"/>
          <w:b/>
          <w:bCs/>
        </w:rPr>
        <w:t>Ethical Considerations in Forensic Odontology Services</w:t>
      </w:r>
    </w:p>
    <w:p w:rsidR="00FE4B9F" w:rsidRPr="00FE4B9F" w:rsidRDefault="00FE4B9F" w:rsidP="00FE4B9F">
      <w:pPr>
        <w:spacing w:after="0"/>
        <w:ind w:firstLine="360"/>
        <w:jc w:val="both"/>
        <w:rPr>
          <w:rFonts w:cs="Aparajita"/>
          <w:lang w:val="id-ID"/>
        </w:rPr>
      </w:pPr>
      <w:r w:rsidRPr="00FE4B9F">
        <w:rPr>
          <w:rFonts w:cs="Aparajita"/>
          <w:lang w:val="id-ID"/>
        </w:rPr>
        <w:t xml:space="preserve">Forensic odontology operates at the intersection of dental science, law, and ethics, requiring practitioners to observe core ethical principles while handling medico-legal cases. Central to ethical practice are four foundational principles: beneficence, non-maleficence, autonomy, and justice. These principles provide an ethical compass that guides decision-making, protects patient rights, and ensures professional integrity during forensic dental examinations and testimony. The ethical framework is especially relevant in forensic contexts where sensitive information is handled, and legal outcomes may hinge on odontological evidence </w:t>
      </w:r>
      <w:sdt>
        <w:sdtPr>
          <w:rPr>
            <w:rFonts w:cs="Aparajita"/>
            <w:color w:val="000000"/>
            <w:lang w:val="id-ID"/>
          </w:rPr>
          <w:tag w:val="MENDELEY_CITATION_v3_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"/>
          <w:id w:val="-799766255"/>
          <w:placeholder>
            <w:docPart w:val="DF3CFB222AAF4E44BE86D2027FEBB4F0"/>
          </w:placeholder>
        </w:sdtPr>
        <w:sdtContent>
          <w:r w:rsidRPr="00FE4B9F">
            <w:rPr>
              <w:rFonts w:cs="Aparajita"/>
              <w:color w:val="000000"/>
              <w:lang w:val="id-ID"/>
            </w:rPr>
            <w:t>(Darmadi et al., 2025)</w:t>
          </w:r>
        </w:sdtContent>
      </w:sdt>
      <w:r w:rsidRPr="00FE4B9F">
        <w:rPr>
          <w:rFonts w:cs="Aparajita"/>
          <w:lang w:val="id-ID"/>
        </w:rPr>
        <w:t xml:space="preserve">. Autonomy acknowledges the right of individuals to make informed decisions about their personal information, including dental records. In the forensic context, autonomy raises crucial questions about consent, whether and how patient consent is obtained for the use of dental information in legal settings. A prominent ethical challenge occurs when historical records are used in forensic comparison without explicit consent for medico-legal purposes. Although legal frameworks often allow the use of medical records in judicial contexts, ethical expectations require clear policies that respect personal autonomy wherever feasible. Studies highlight that failure to address autonomy may compromise ethical legitimacy and patient trust </w:t>
      </w:r>
      <w:sdt>
        <w:sdtPr>
          <w:rPr>
            <w:rFonts w:cs="Aparajita"/>
            <w:color w:val="000000"/>
            <w:lang w:val="id-ID"/>
          </w:rPr>
          <w:tag w:val="MENDELEY_CITATION_v3_eyJjaXRhdGlvbklEIjoiTUVOREVMRVlfQ0lUQVRJT05fOTRkNmFkY2ItNmE3My00OTBiLTllZDMtNjM2YWM2MmY2N2Yy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186875774"/>
          <w:placeholder>
            <w:docPart w:val="DF3CFB222AAF4E44BE86D2027FEBB4F0"/>
          </w:placeholder>
        </w:sdtPr>
        <w:sdtContent>
          <w:r w:rsidRPr="00FE4B9F">
            <w:rPr>
              <w:rFonts w:cs="Aparajita"/>
              <w:color w:val="000000"/>
              <w:lang w:val="id-ID"/>
            </w:rPr>
            <w:t>(Beauchamp, 2019)</w:t>
          </w:r>
        </w:sdtContent>
      </w:sdt>
      <w:r w:rsidRPr="00FE4B9F">
        <w:rPr>
          <w:rFonts w:cs="Aparajita"/>
          <w:lang w:val="id-ID"/>
        </w:rPr>
        <w:t>.</w:t>
      </w:r>
    </w:p>
    <w:p w:rsidR="00FE4B9F" w:rsidRPr="00FE4B9F" w:rsidRDefault="00FE4B9F" w:rsidP="00FE4B9F">
      <w:pPr>
        <w:spacing w:after="0"/>
        <w:ind w:firstLine="360"/>
        <w:jc w:val="both"/>
        <w:rPr>
          <w:rFonts w:cs="Aparajita"/>
          <w:lang w:val="id-ID"/>
        </w:rPr>
      </w:pPr>
      <w:r w:rsidRPr="00FE4B9F">
        <w:rPr>
          <w:rFonts w:cs="Aparajita"/>
          <w:lang w:val="id-ID"/>
        </w:rPr>
        <w:t xml:space="preserve">Beneficence refers to actions that promote the welfare of individuals and society. In forensic odontology, this principle obliges practitioners to contribute positively to the investigation process, support accurate identification, and assist justice systems without compromising professional standards. For example, dental experts may be requested to analyze dental records for disaster victim identification; beneficence requires that such analyses be conducted thoroughly, objectively, and with respect for affected families. Literature suggests that forensic odontologists, by virtue of their expertise, play an important role in public safety and justice when ethical guidelines direct their professional judgment </w:t>
      </w:r>
      <w:sdt>
        <w:sdtPr>
          <w:rPr>
            <w:rFonts w:cs="Aparajita"/>
            <w:color w:val="000000"/>
            <w:lang w:val="id-ID"/>
          </w:rPr>
          <w:tag w:val="MENDELEY_CITATION_v3_eyJjaXRhdGlvbklEIjoiTUVOREVMRVlfQ0lUQVRJT05fNDMxODYyY2YtZGM1Ny00MWIzLWEyODYtYWQ1MzNjZjk4Zjc3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74332355"/>
          <w:placeholder>
            <w:docPart w:val="DF3CFB222AAF4E44BE86D2027FEBB4F0"/>
          </w:placeholder>
        </w:sdtPr>
        <w:sdtContent>
          <w:r w:rsidRPr="00FE4B9F">
            <w:rPr>
              <w:rFonts w:cs="Aparajita"/>
              <w:color w:val="000000"/>
              <w:lang w:val="id-ID"/>
            </w:rPr>
            <w:t>(Beauchamp, 2019)</w:t>
          </w:r>
        </w:sdtContent>
      </w:sdt>
      <w:r w:rsidRPr="00FE4B9F">
        <w:rPr>
          <w:rFonts w:cs="Aparajita"/>
          <w:lang w:val="id-ID"/>
        </w:rPr>
        <w:t>.</w:t>
      </w:r>
    </w:p>
    <w:p w:rsidR="00FE4B9F" w:rsidRPr="00FE4B9F" w:rsidRDefault="00FE4B9F" w:rsidP="00FE4B9F">
      <w:pPr>
        <w:spacing w:after="0"/>
        <w:ind w:firstLine="360"/>
        <w:jc w:val="both"/>
        <w:rPr>
          <w:rFonts w:cs="Aparajita"/>
          <w:lang w:val="id-ID"/>
        </w:rPr>
      </w:pPr>
      <w:r w:rsidRPr="00FE4B9F">
        <w:rPr>
          <w:rFonts w:cs="Aparajita"/>
          <w:lang w:val="id-ID"/>
        </w:rPr>
        <w:t xml:space="preserve">The principle of non-maleficence (to do no harm) demands that forensic dental practice avoids causing unnecessary psychological, legal, or physical harm to individuals whose data are examined. This is particularly important when handling postmortem dental records or comparing antemortem information for legal purposes. Deviation from rigorous ethical practice may lead to erroneous identification, violations of privacy, or legal missteps. Research emphasizes that negligence in documentation or analysis can erode trust and lead to significant emotional harm for families involved in medico-legal cases </w:t>
      </w:r>
      <w:sdt>
        <w:sdtPr>
          <w:rPr>
            <w:rFonts w:cs="Aparajita"/>
            <w:color w:val="000000"/>
            <w:lang w:val="id-ID"/>
          </w:rPr>
          <w:tag w:val="MENDELEY_CITATION_v3_eyJjaXRhdGlvbklEIjoiTUVOREVMRVlfQ0lUQVRJT05fYzI1NTNkMGEtMDEwOC00OWY5LWI4OGItNzYxNjBjZGNkNjIx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299805678"/>
          <w:placeholder>
            <w:docPart w:val="DF3CFB222AAF4E44BE86D2027FEBB4F0"/>
          </w:placeholder>
        </w:sdtPr>
        <w:sdtContent>
          <w:r w:rsidRPr="00FE4B9F">
            <w:rPr>
              <w:rFonts w:cs="Aparajita"/>
              <w:color w:val="000000"/>
              <w:lang w:val="id-ID"/>
            </w:rPr>
            <w:t>(Beauchamp, 2019)</w:t>
          </w:r>
        </w:sdtContent>
      </w:sdt>
      <w:r w:rsidRPr="00FE4B9F">
        <w:rPr>
          <w:rFonts w:cs="Aparajita"/>
          <w:lang w:val="id-ID"/>
        </w:rPr>
        <w:t>.</w:t>
      </w:r>
    </w:p>
    <w:p w:rsidR="00FE4B9F" w:rsidRPr="00FE4B9F" w:rsidRDefault="00FE4B9F" w:rsidP="00FE4B9F">
      <w:pPr>
        <w:spacing w:after="0"/>
        <w:ind w:firstLine="360"/>
        <w:jc w:val="both"/>
        <w:rPr>
          <w:rFonts w:cs="Aparajita"/>
          <w:lang w:val="id-ID"/>
        </w:rPr>
      </w:pPr>
      <w:r w:rsidRPr="00FE4B9F">
        <w:rPr>
          <w:rFonts w:cs="Aparajita"/>
          <w:lang w:val="id-ID"/>
        </w:rPr>
        <w:t xml:space="preserve">Justice pertains to fairness in the distribution of benefits and burdens within society, including equitable treatment of individuals and communities in forensic investigations. Justice demands that odontological evidence be used without bias, ensuring that all groups receive equal consideration regardless of social or demographic factors. Ethical guidance suggests that forensic dental practitioners contribute to unbiased legal procedures, which enhances the fairness and credibility of medico-legal processes </w:t>
      </w:r>
      <w:sdt>
        <w:sdtPr>
          <w:rPr>
            <w:rFonts w:cs="Aparajita"/>
            <w:color w:val="000000"/>
            <w:lang w:val="id-ID"/>
          </w:rPr>
          <w:tag w:val="MENDELEY_CITATION_v3_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"/>
          <w:id w:val="396717311"/>
          <w:placeholder>
            <w:docPart w:val="DF3CFB222AAF4E44BE86D2027FEBB4F0"/>
          </w:placeholder>
        </w:sdtPr>
        <w:sdtContent>
          <w:r w:rsidRPr="00FE4B9F">
            <w:rPr>
              <w:rFonts w:cs="Aparajita"/>
              <w:color w:val="000000"/>
              <w:lang w:val="id-ID"/>
            </w:rPr>
            <w:t>(Ibragimov et al., 2023)</w:t>
          </w:r>
        </w:sdtContent>
      </w:sdt>
      <w:r w:rsidRPr="00FE4B9F">
        <w:rPr>
          <w:rFonts w:cs="Aparajita"/>
          <w:lang w:val="id-ID"/>
        </w:rPr>
        <w:t>.</w:t>
      </w:r>
    </w:p>
    <w:p w:rsidR="00FE4B9F" w:rsidRDefault="00FE4B9F" w:rsidP="00FE4B9F">
      <w:pPr>
        <w:spacing w:after="0"/>
        <w:ind w:firstLine="360"/>
        <w:jc w:val="both"/>
        <w:rPr>
          <w:rFonts w:cs="Aparajita"/>
        </w:rPr>
      </w:pPr>
      <w:r w:rsidRPr="00FE4B9F">
        <w:rPr>
          <w:rFonts w:cs="Aparajita"/>
          <w:lang w:val="id-ID"/>
        </w:rPr>
        <w:t xml:space="preserve">Forensic odontology presents inherent potential conflicts, particularly when a dentist’s role as a clinician intersects with duties as a forensic expert </w:t>
      </w:r>
      <w:sdt>
        <w:sdtPr>
          <w:rPr>
            <w:rFonts w:cs="Aparajita"/>
            <w:color w:val="000000"/>
            <w:lang w:val="id-ID"/>
          </w:rPr>
          <w:tag w:val="MENDELEY_CITATION_v3_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"/>
          <w:id w:val="595532914"/>
          <w:placeholder>
            <w:docPart w:val="DF3CFB222AAF4E44BE86D2027FEBB4F0"/>
          </w:placeholder>
        </w:sdtPr>
        <w:sdtContent>
          <w:r w:rsidRPr="00FE4B9F">
            <w:rPr>
              <w:rFonts w:cs="Aparajita"/>
              <w:color w:val="000000"/>
              <w:lang w:val="id-ID"/>
            </w:rPr>
            <w:t>(Fauziah, Darmadi, et al., 2024)</w:t>
          </w:r>
        </w:sdtContent>
      </w:sdt>
      <w:r w:rsidRPr="00FE4B9F">
        <w:rPr>
          <w:rFonts w:cs="Aparajita"/>
          <w:lang w:val="id-ID"/>
        </w:rPr>
        <w:t xml:space="preserve">. Clinicians may face situations where their ethical obligations to patient care conflict with forensic responsibilities that prioritize legal requirements over clinical confidentiality. For example, a treating dentist may be requested to provide medical records in legal cases involving a former patient. In such situations, the dentist must carefully balance professional </w:t>
      </w:r>
      <w:r w:rsidRPr="00FE4B9F">
        <w:rPr>
          <w:rFonts w:cs="Aparajita"/>
          <w:lang w:val="id-ID"/>
        </w:rPr>
        <w:lastRenderedPageBreak/>
        <w:t xml:space="preserve">responsibilities toward the patient with the obligation to cooperate with legal processes, which requires thoughtful and sensitive ethical judgment. Another ethical concern is the risk of breaches in confidentiality and informed consent, especially in jurisdictions where dental records are accessed without explicit patient consent for forensic use. </w:t>
      </w:r>
    </w:p>
    <w:p w:rsidR="00FE4B9F" w:rsidRPr="00FE4B9F" w:rsidRDefault="00FE4B9F" w:rsidP="00FE4B9F">
      <w:pPr>
        <w:spacing w:after="0"/>
        <w:ind w:firstLine="360"/>
        <w:jc w:val="both"/>
        <w:rPr>
          <w:rFonts w:cs="Aparajita"/>
        </w:rPr>
      </w:pPr>
    </w:p>
    <w:p w:rsidR="00FE4B9F" w:rsidRPr="00FE4B9F" w:rsidRDefault="00FE4B9F" w:rsidP="00FE4B9F">
      <w:pPr>
        <w:spacing w:after="0"/>
        <w:jc w:val="both"/>
        <w:rPr>
          <w:rFonts w:cs="Aparajita"/>
          <w:b/>
          <w:bCs/>
        </w:rPr>
      </w:pPr>
    </w:p>
    <w:p w:rsidR="00FE4B9F" w:rsidRPr="00FE4B9F" w:rsidRDefault="00FE4B9F" w:rsidP="00FE4B9F">
      <w:pPr>
        <w:spacing w:after="0"/>
        <w:jc w:val="both"/>
        <w:rPr>
          <w:rFonts w:cs="Aparajita"/>
          <w:b/>
          <w:bCs/>
        </w:rPr>
      </w:pPr>
      <w:r w:rsidRPr="00FE4B9F">
        <w:rPr>
          <w:rFonts w:cs="Aparajita"/>
          <w:b/>
          <w:bCs/>
        </w:rPr>
        <w:t>Medico-Legal Risks for Hospitals and Dental Professionals</w:t>
      </w:r>
    </w:p>
    <w:p w:rsidR="00FE4B9F" w:rsidRPr="00FE4B9F" w:rsidRDefault="00FE4B9F" w:rsidP="00FE4B9F">
      <w:pPr>
        <w:spacing w:after="0"/>
        <w:ind w:firstLine="360"/>
        <w:jc w:val="both"/>
        <w:rPr>
          <w:rFonts w:cs="Aparajita"/>
          <w:lang w:val="id-ID"/>
        </w:rPr>
      </w:pPr>
      <w:r w:rsidRPr="00FE4B9F">
        <w:rPr>
          <w:rFonts w:cs="Aparajita"/>
          <w:lang w:val="id-ID"/>
        </w:rPr>
        <w:t xml:space="preserve">Medico legal risks are among the most challenging issues faced by modern healthcare systems, with direct implications for patient safety, professional practice, and institutional responsibility. For hospitals and dental professionals alike, these risks often emerge when the care provided does not meet accepted clinical standards, leading to patient harm and potential legal consequences. Medico legal concerns can take many forms, including allegations of clinical negligence, disagreements over informed consent, inadequate documentation, and questions of institutional responsibility </w:t>
      </w:r>
      <w:sdt>
        <w:sdtPr>
          <w:rPr>
            <w:rFonts w:cs="Aparajita"/>
            <w:color w:val="000000"/>
            <w:lang w:val="id-ID"/>
          </w:rPr>
          <w:tag w:val="MENDELEY_CITATION_v3_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"/>
          <w:id w:val="-1702463024"/>
          <w:placeholder>
            <w:docPart w:val="DF3CFB222AAF4E44BE86D2027FEBB4F0"/>
          </w:placeholder>
        </w:sdtPr>
        <w:sdtContent>
          <w:r w:rsidRPr="00FE4B9F">
            <w:rPr>
              <w:rFonts w:cs="Aparajita"/>
              <w:color w:val="000000"/>
              <w:lang w:val="id-ID"/>
            </w:rPr>
            <w:t>(Murray et al., 2025)</w:t>
          </w:r>
        </w:sdtContent>
      </w:sdt>
      <w:r w:rsidRPr="00FE4B9F">
        <w:rPr>
          <w:rFonts w:cs="Aparajita"/>
          <w:lang w:val="id-ID"/>
        </w:rPr>
        <w:t xml:space="preserve">. Addressing these challenges requires strong legal awareness, ethical practice, and well structured risk management systems within healthcare organizations. One of the core medico-legal risks is malpractice, defined legally as harm caused by failure to provide care at the accepted professional standard. In dental settings, malpractice claims most often stem from treatment failures, diagnostic errors, and medication mistakes, with additional contributing factors such as poor communication and inadequate documentation of patient interactions. These deficiencies not only harm patients but also create legal and financial exposure for dentists and associated healthcare facilities. Studies show that treatment failures comprise the majority of dental malpractice claims, followed by medication, diagnosis, and communication issues, underscoring the importance of diligent clinical practice and comprehensive patient engagement </w:t>
      </w:r>
      <w:sdt>
        <w:sdtPr>
          <w:rPr>
            <w:rFonts w:cs="Aparajita"/>
            <w:color w:val="000000"/>
            <w:lang w:val="id-ID"/>
          </w:rPr>
          <w:tag w:val="MENDELEY_CITATION_v3_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"/>
          <w:id w:val="-1402826792"/>
          <w:placeholder>
            <w:docPart w:val="DF3CFB222AAF4E44BE86D2027FEBB4F0"/>
          </w:placeholder>
        </w:sdtPr>
        <w:sdtContent>
          <w:r w:rsidRPr="00FE4B9F">
            <w:rPr>
              <w:rFonts w:cs="Aparajita"/>
              <w:color w:val="000000"/>
              <w:lang w:val="id-ID"/>
            </w:rPr>
            <w:t>(Fauziah, Alhadad, et al., 2025)</w:t>
          </w:r>
        </w:sdtContent>
      </w:sdt>
      <w:r w:rsidRPr="00FE4B9F">
        <w:rPr>
          <w:rFonts w:cs="Aparajita"/>
          <w:lang w:val="id-ID"/>
        </w:rPr>
        <w:t>.</w:t>
      </w:r>
    </w:p>
    <w:p w:rsidR="00FE4B9F" w:rsidRPr="00FE4B9F" w:rsidRDefault="00FE4B9F" w:rsidP="00FE4B9F">
      <w:pPr>
        <w:spacing w:after="0"/>
        <w:ind w:firstLine="360"/>
        <w:jc w:val="both"/>
        <w:rPr>
          <w:rFonts w:cs="Aparajita"/>
          <w:lang w:val="id-ID"/>
        </w:rPr>
      </w:pPr>
      <w:r w:rsidRPr="00FE4B9F">
        <w:rPr>
          <w:rFonts w:cs="Aparajita"/>
          <w:lang w:val="id-ID"/>
        </w:rPr>
        <w:t xml:space="preserve">Hospitals, as larger healthcare institutions, face analogous risks but on a broader scale. Beyond individual clinician performance, hospitals may be legally responsible for systemic failures, such as negligence in staff supervision, inadequate safety protocols, or failure to maintain appropriate institutional safeguards. In many legal systems, hospitals can be held liable under vicarious liability principles, meaning they are accountable for the acts of their employees when delivering care under the institution’s authority. This responsibility is emphasized in recent Indonesian legal frameworks where Law No. 17 of 2023 concerning Health strengthens hospitals’ accountability for malpractice, integrating civil, criminal, and administrative liability for healthcare delivery shortcomings </w:t>
      </w:r>
      <w:sdt>
        <w:sdtPr>
          <w:rPr>
            <w:rFonts w:cs="Aparajita"/>
            <w:color w:val="000000"/>
            <w:lang w:val="id-ID"/>
          </w:rPr>
          <w:tag w:val="MENDELEY_CITATION_v3_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"/>
          <w:id w:val="1320073323"/>
          <w:placeholder>
            <w:docPart w:val="DF3CFB222AAF4E44BE86D2027FEBB4F0"/>
          </w:placeholder>
        </w:sdtPr>
        <w:sdtContent>
          <w:r w:rsidRPr="00FE4B9F">
            <w:rPr>
              <w:rFonts w:cs="Aparajita"/>
              <w:color w:val="000000"/>
              <w:lang w:val="id-ID"/>
            </w:rPr>
            <w:t>(Vitrianingsih et al., 2025)</w:t>
          </w:r>
        </w:sdtContent>
      </w:sdt>
      <w:r w:rsidRPr="00FE4B9F">
        <w:rPr>
          <w:rFonts w:cs="Aparajita"/>
          <w:lang w:val="id-ID"/>
        </w:rPr>
        <w:t xml:space="preserve">.  </w:t>
      </w:r>
    </w:p>
    <w:p w:rsidR="00FE4B9F" w:rsidRPr="00FE4B9F" w:rsidRDefault="00FE4B9F" w:rsidP="00FE4B9F">
      <w:pPr>
        <w:spacing w:after="0"/>
        <w:ind w:firstLine="360"/>
        <w:jc w:val="both"/>
        <w:rPr>
          <w:rFonts w:cs="Aparajita"/>
          <w:lang w:val="id-ID"/>
        </w:rPr>
      </w:pPr>
      <w:r w:rsidRPr="00FE4B9F">
        <w:rPr>
          <w:rFonts w:cs="Aparajita"/>
          <w:lang w:val="id-ID"/>
        </w:rPr>
        <w:t xml:space="preserve">A crucial medico-legal concept is informed consent, which requires that patients receive adequate information about proposed treatments, including potential risks, alternatives, and expected outcomes. Failure to secure valid consent can itself become a basis for legal claims, particularly when harm occurs that the patient was not adequately warned about. In dental malpractice litigation, failure to explain procedures thoroughly has been statistically associated with a higher likelihood of legal liability, emphasizing the legal duty to engage in clear, patient-centered communication </w:t>
      </w:r>
      <w:sdt>
        <w:sdtPr>
          <w:rPr>
            <w:rFonts w:cs="Aparajita"/>
            <w:color w:val="000000"/>
            <w:lang w:val="id-ID"/>
          </w:rPr>
          <w:tag w:val="MENDELEY_CITATION_v3_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"/>
          <w:id w:val="-1393505214"/>
          <w:placeholder>
            <w:docPart w:val="DF3CFB222AAF4E44BE86D2027FEBB4F0"/>
          </w:placeholder>
        </w:sdtPr>
        <w:sdtContent>
          <w:r w:rsidRPr="00FE4B9F">
            <w:rPr>
              <w:rFonts w:cs="Aparajita"/>
              <w:color w:val="000000"/>
              <w:lang w:val="id-ID"/>
            </w:rPr>
            <w:t>(Nijhawan et al., 2013)</w:t>
          </w:r>
        </w:sdtContent>
      </w:sdt>
      <w:r w:rsidRPr="00FE4B9F">
        <w:rPr>
          <w:rFonts w:cs="Aparajita"/>
          <w:lang w:val="id-ID"/>
        </w:rPr>
        <w:t xml:space="preserve">. </w:t>
      </w:r>
    </w:p>
    <w:p w:rsidR="00FE4B9F" w:rsidRPr="00FE4B9F" w:rsidRDefault="00FE4B9F" w:rsidP="00FE4B9F">
      <w:pPr>
        <w:spacing w:after="0"/>
        <w:jc w:val="both"/>
        <w:rPr>
          <w:rFonts w:cs="Aparajita"/>
          <w:b/>
          <w:bCs/>
        </w:rPr>
      </w:pPr>
    </w:p>
    <w:p w:rsidR="00FE4B9F" w:rsidRPr="00FE4B9F" w:rsidRDefault="00FE4B9F" w:rsidP="00FE4B9F">
      <w:pPr>
        <w:spacing w:after="0"/>
        <w:jc w:val="both"/>
        <w:rPr>
          <w:rFonts w:cs="Aparajita"/>
          <w:b/>
          <w:bCs/>
        </w:rPr>
      </w:pPr>
      <w:r w:rsidRPr="00FE4B9F">
        <w:rPr>
          <w:rFonts w:cs="Aparajita"/>
          <w:b/>
          <w:bCs/>
        </w:rPr>
        <w:t>Integration of Forensic Odontology into Hospital Management Systems</w:t>
      </w:r>
    </w:p>
    <w:p w:rsidR="00FE4B9F" w:rsidRPr="00FE4B9F" w:rsidRDefault="00FE4B9F" w:rsidP="00FE4B9F">
      <w:pPr>
        <w:spacing w:after="0"/>
        <w:ind w:firstLine="360"/>
        <w:jc w:val="both"/>
        <w:rPr>
          <w:rFonts w:cs="Aparajita"/>
          <w:lang w:val="id-ID"/>
        </w:rPr>
      </w:pPr>
      <w:r w:rsidRPr="00FE4B9F">
        <w:rPr>
          <w:rFonts w:cs="Aparajita"/>
          <w:lang w:val="id-ID"/>
        </w:rPr>
        <w:t xml:space="preserve">Forensic odontology is a scientific discipline that applies dental knowledge to legal and identification purposes. Traditionally, its role has been strongly associated with disaster victim identification and criminal investigations. However, in modern healthcare environments, forensic odontology has the potential to contribute significantly to hospital management systems by strengthening medical documentation, improving legal preparedness, and supporting patient identification processes. The integration of forensic odontology into hospital management systems represents an important step toward comprehensive and accountable healthcare delivery. One of the most important aspects of this integration is the incorporation of dental records into electronic health records used by hospitals. Dental data such as odontograms, clinical notes, and radiographic images are often stored separately from general medical records. When these data are not integrated, valuable information that could support </w:t>
      </w:r>
      <w:r w:rsidRPr="00FE4B9F">
        <w:rPr>
          <w:rFonts w:cs="Aparajita"/>
          <w:lang w:val="id-ID"/>
        </w:rPr>
        <w:lastRenderedPageBreak/>
        <w:t>identification, continuity of care, or legal investigation may be lost or inaccessible. Integrating dental records into hospital management systems allows structured and standardized documentation that can be retrieved efficiently when required for clinical, administrative, or forensic purposes.</w:t>
      </w:r>
    </w:p>
    <w:p w:rsidR="00FE4B9F" w:rsidRPr="00FE4B9F" w:rsidRDefault="00FE4B9F" w:rsidP="00FE4B9F">
      <w:pPr>
        <w:spacing w:after="0"/>
        <w:ind w:firstLine="360"/>
        <w:jc w:val="both"/>
        <w:rPr>
          <w:rFonts w:cs="Aparajita"/>
          <w:lang w:val="id-ID"/>
        </w:rPr>
      </w:pPr>
      <w:r w:rsidRPr="00FE4B9F">
        <w:rPr>
          <w:rFonts w:cs="Aparajita"/>
          <w:lang w:val="id-ID"/>
        </w:rPr>
        <w:t>Integrated forensic odontological data can enhance patient safety and continuity of care. Complete dental documentation provides healthcare professionals with accurate historical information, particularly in patients who are unconscious, elderly, or unable to communicate. In emergency situations, dental characteristics may assist in confirming identity when other identifiers are unavailable. This integration also strengthens the quality of medical records, which is essential for both clinical decision making and legal accountability. In disaster management contexts, the value of integrated forensic odontology becomes even more evident. Hospitals often serve as primary centers for victim management during mass casualty incidents. When forensic odontological data are embedded within hospital management systems, identification processes can be conducted more efficiently and accurately. Dental records have been shown to be highly reliable for human identification, especially when fingerprints or DNA analysis are not immediately feasible. An integrated system allows hospitals to collaborate effectively with forensic teams and legal authorities during such events.</w:t>
      </w:r>
    </w:p>
    <w:p w:rsidR="00FE4B9F" w:rsidRPr="00FE4B9F" w:rsidRDefault="00FE4B9F" w:rsidP="00FE4B9F">
      <w:pPr>
        <w:spacing w:after="0"/>
        <w:ind w:firstLine="360"/>
        <w:jc w:val="both"/>
        <w:rPr>
          <w:rFonts w:cs="Aparajita"/>
          <w:lang w:val="id-ID"/>
        </w:rPr>
      </w:pPr>
      <w:r w:rsidRPr="00FE4B9F">
        <w:rPr>
          <w:rFonts w:cs="Aparajita"/>
          <w:lang w:val="id-ID"/>
        </w:rPr>
        <w:t>Technological advancements further support the integration of forensic odontology into hospital systems. Digital radiography, three dimensional imaging, and artificial intelligence based analysis enable precise documentation and automated comparison of dental features. When these technologies are connected to hospital information systems, they can support rapid identification, age estimation, and data analysis while maintaining traceability and documentation integrity. Such integration aligns with the broader digital transformation of healthcare systems worldwide. the integration of forensic odontology into hospital management systems faces several challenges. These include lack of standardization in dental record formats, limited technological infrastructure, and insufficient training of healthcare personnel. Additionally, ethical and legal considerations related to data privacy and consent must be addressed. Hospitals must ensure that access to forensic dental data is restricted to authorized personnel and that its use complies with applicable health and data protection regulations.</w:t>
      </w:r>
    </w:p>
    <w:p w:rsidR="00FE4B9F" w:rsidRDefault="00FE4B9F" w:rsidP="00FE4B9F">
      <w:pPr>
        <w:spacing w:after="0"/>
        <w:ind w:firstLine="360"/>
        <w:jc w:val="both"/>
        <w:rPr>
          <w:rFonts w:cs="Aparajita"/>
        </w:rPr>
      </w:pPr>
      <w:r w:rsidRPr="00FE4B9F">
        <w:rPr>
          <w:rFonts w:cs="Aparajita"/>
          <w:lang w:val="id-ID"/>
        </w:rPr>
        <w:t>Integrating forensic odontology into hospital management systems offers substantial benefits for clinical care, disaster response, and legal preparedness. By strengthening documentation, improving identification capabilities, and supporting ethical and legal accountability, this integration enhances the overall quality of healthcare services. With appropriate technological support, regulatory frameworks, and professional training, forensic odontology can become an integral component of modern hospital management systems.</w:t>
      </w:r>
    </w:p>
    <w:p w:rsidR="00FE4B9F" w:rsidRPr="00FE4B9F" w:rsidRDefault="00FE4B9F" w:rsidP="00FE4B9F">
      <w:pPr>
        <w:spacing w:after="0"/>
        <w:ind w:firstLine="360"/>
        <w:jc w:val="both"/>
        <w:rPr>
          <w:rFonts w:cs="Aparajita"/>
        </w:rPr>
      </w:pPr>
    </w:p>
    <w:p w:rsidR="00FE4B9F" w:rsidRPr="00FE4B9F" w:rsidRDefault="00FE4B9F" w:rsidP="00FE4B9F">
      <w:pPr>
        <w:spacing w:after="0"/>
        <w:jc w:val="both"/>
        <w:rPr>
          <w:rFonts w:cs="Aparajita"/>
          <w:b/>
          <w:bCs/>
        </w:rPr>
      </w:pPr>
      <w:r w:rsidRPr="00FE4B9F">
        <w:rPr>
          <w:rFonts w:cs="Aparajita"/>
          <w:b/>
          <w:bCs/>
        </w:rPr>
        <w:t>Implications for Hospital Governance and Policy</w:t>
      </w:r>
    </w:p>
    <w:p w:rsidR="00FE4B9F" w:rsidRPr="00FE4B9F" w:rsidRDefault="00FE4B9F" w:rsidP="00FE4B9F">
      <w:pPr>
        <w:spacing w:after="0"/>
        <w:ind w:firstLine="720"/>
        <w:jc w:val="both"/>
        <w:rPr>
          <w:rFonts w:cs="Aparajita"/>
        </w:rPr>
      </w:pPr>
      <w:r w:rsidRPr="00FE4B9F">
        <w:rPr>
          <w:rFonts w:cs="Aparajita"/>
        </w:rPr>
        <w:t xml:space="preserve">The integration of forensic odontology services into hospital management systems raises important legal and ethical considerations for hospital governance and policy development. Hospital governance refers to the organizational structures, decision making processes, and accountability frameworks that ensure health services are provided in a safe, lawful, and ethically responsible manner. Strong legal compliance and ethical governance not only contribute to better patient outcomes but also protect hospitals from legal disputes and damage to institutional reputation </w:t>
      </w:r>
      <w:sdt>
        <w:sdtPr>
          <w:rPr>
            <w:rFonts w:cs="Aparajita"/>
            <w:color w:val="000000"/>
          </w:rPr>
          <w:tag w:val="MENDELEY_CITATION_v3_eyJjaXRhdGlvbklEIjoiTUVOREVMRVlfQ0lUQVRJT05fNzMwNjcyN2UtZTdmYS00ZjRmLWFhZGMtYjUwZDJhOTIwNmVm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441583241"/>
          <w:placeholder>
            <w:docPart w:val="DF3CFB222AAF4E44BE86D2027FEBB4F0"/>
          </w:placeholder>
        </w:sdtPr>
        <w:sdtContent>
          <w:r w:rsidRPr="00FE4B9F">
            <w:rPr>
              <w:rFonts w:cs="Aparajita"/>
              <w:color w:val="000000"/>
            </w:rPr>
            <w:t>(</w:t>
          </w:r>
          <w:proofErr w:type="spellStart"/>
          <w:r w:rsidRPr="00FE4B9F">
            <w:rPr>
              <w:rFonts w:cs="Aparajita"/>
              <w:color w:val="000000"/>
            </w:rPr>
            <w:t>Baqai</w:t>
          </w:r>
          <w:proofErr w:type="spellEnd"/>
          <w:r w:rsidRPr="00FE4B9F">
            <w:rPr>
              <w:rFonts w:cs="Aparajita"/>
              <w:color w:val="000000"/>
            </w:rPr>
            <w:t xml:space="preserve"> et al., 2023)</w:t>
          </w:r>
        </w:sdtContent>
      </w:sdt>
      <w:r w:rsidRPr="00FE4B9F">
        <w:rPr>
          <w:rFonts w:cs="Aparajita"/>
        </w:rPr>
        <w:t>.</w:t>
      </w:r>
    </w:p>
    <w:p w:rsidR="00FE4B9F" w:rsidRPr="00FE4B9F" w:rsidRDefault="00FE4B9F" w:rsidP="00FE4B9F">
      <w:pPr>
        <w:spacing w:after="0"/>
        <w:ind w:firstLine="720"/>
        <w:jc w:val="both"/>
        <w:rPr>
          <w:rFonts w:cs="Aparajita"/>
        </w:rPr>
      </w:pPr>
      <w:r w:rsidRPr="00FE4B9F">
        <w:rPr>
          <w:rFonts w:cs="Aparajita"/>
        </w:rPr>
        <w:t xml:space="preserve"> The ethical framework is especially relevant in forensic contexts where sensitive information is handled, and legal outcomes may hinge on </w:t>
      </w:r>
      <w:proofErr w:type="spellStart"/>
      <w:r w:rsidRPr="00FE4B9F">
        <w:rPr>
          <w:rFonts w:cs="Aparajita"/>
        </w:rPr>
        <w:t>odontological</w:t>
      </w:r>
      <w:proofErr w:type="spellEnd"/>
      <w:r w:rsidRPr="00FE4B9F">
        <w:rPr>
          <w:rFonts w:cs="Aparajita"/>
        </w:rPr>
        <w:t xml:space="preserve"> evidence. Hospital governance must respond to regulatory demands under national health law frameworks, such as compliance with Law Number 17 of 2023 concerning Health and associated implementing regulations. These legal instruments emphasize accountability, transparency, and patient safety, framing risk management and standard operating procedures (SOPs) as legal obligations rather than managerial preferences. Accordingly, hospitals must adjust internal governance policies, including SOPs for medico-legal evidence handling, documentation, and expert reporting. Clear governance policies ensure that forensic dental evidence is collected, stored, and interpreted in </w:t>
      </w:r>
      <w:r w:rsidRPr="00FE4B9F">
        <w:rPr>
          <w:rFonts w:cs="Aparajita"/>
        </w:rPr>
        <w:lastRenderedPageBreak/>
        <w:t xml:space="preserve">a manner compliant with health law, reducing institutional exposure to litigation and ethical disputes </w:t>
      </w:r>
      <w:sdt>
        <w:sdtPr>
          <w:rPr>
            <w:rFonts w:cs="Aparajita"/>
            <w:color w:val="000000"/>
          </w:rPr>
          <w:tag w:val="MENDELEY_CITATION_v3_eyJjaXRhdGlvbklEIjoiTUVOREVMRVlfQ0lUQVRJT05fNmZhODUxZmEtNGZkMC00MzAwLWI0NGMtNzZlMTBkYmU1ODIy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
          <w:id w:val="93607922"/>
          <w:placeholder>
            <w:docPart w:val="DF3CFB222AAF4E44BE86D2027FEBB4F0"/>
          </w:placeholder>
        </w:sdtPr>
        <w:sdtContent>
          <w:r w:rsidRPr="00FE4B9F">
            <w:rPr>
              <w:rFonts w:cs="Aparajita"/>
              <w:color w:val="000000"/>
            </w:rPr>
            <w:t>(</w:t>
          </w:r>
          <w:proofErr w:type="spellStart"/>
          <w:r w:rsidRPr="00FE4B9F">
            <w:rPr>
              <w:rFonts w:cs="Aparajita"/>
              <w:color w:val="000000"/>
            </w:rPr>
            <w:t>Prayuti</w:t>
          </w:r>
          <w:proofErr w:type="spellEnd"/>
          <w:r w:rsidRPr="00FE4B9F">
            <w:rPr>
              <w:rFonts w:cs="Aparajita"/>
              <w:color w:val="000000"/>
            </w:rPr>
            <w:t>, 2025)</w:t>
          </w:r>
        </w:sdtContent>
      </w:sdt>
      <w:r w:rsidRPr="00FE4B9F">
        <w:rPr>
          <w:rFonts w:cs="Aparajita"/>
        </w:rPr>
        <w:t>.</w:t>
      </w:r>
    </w:p>
    <w:p w:rsidR="00FE4B9F" w:rsidRPr="00FE4B9F" w:rsidRDefault="00FE4B9F" w:rsidP="00FE4B9F">
      <w:pPr>
        <w:spacing w:after="0"/>
        <w:ind w:firstLine="720"/>
        <w:jc w:val="both"/>
        <w:rPr>
          <w:rFonts w:cs="Aparajita"/>
        </w:rPr>
      </w:pPr>
      <w:r w:rsidRPr="00FE4B9F">
        <w:rPr>
          <w:rFonts w:cs="Aparajita"/>
        </w:rPr>
        <w:t xml:space="preserve">Internal governance structures such as hospital by-laws and clinical governance committees are key instruments for translating legal requirements into institutional practice. By-laws specify internal rules guiding staff behavior, service delivery standards, and disciplinary procedures. Their effective implementation strengthens legal certainty for hospital administration and clinicians alike. Hospitals that craft comprehensive internal governance policies are better positioned to align clinical practice with legal and ethical expectations, including those relevant to forensic odontology </w:t>
      </w:r>
      <w:sdt>
        <w:sdtPr>
          <w:rPr>
            <w:rFonts w:cs="Aparajita"/>
            <w:color w:val="000000"/>
          </w:rPr>
          <w:tag w:val="MENDELEY_CITATION_v3_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"/>
          <w:id w:val="-578283184"/>
          <w:placeholder>
            <w:docPart w:val="DF3CFB222AAF4E44BE86D2027FEBB4F0"/>
          </w:placeholder>
        </w:sdtPr>
        <w:sdtContent>
          <w:r w:rsidRPr="00FE4B9F">
            <w:rPr>
              <w:rFonts w:cs="Aparajita"/>
              <w:color w:val="000000"/>
            </w:rPr>
            <w:t>(</w:t>
          </w:r>
          <w:proofErr w:type="spellStart"/>
          <w:r w:rsidRPr="00FE4B9F">
            <w:rPr>
              <w:rFonts w:cs="Aparajita"/>
              <w:color w:val="000000"/>
            </w:rPr>
            <w:t>Jalilvand</w:t>
          </w:r>
          <w:proofErr w:type="spellEnd"/>
          <w:r w:rsidRPr="00FE4B9F">
            <w:rPr>
              <w:rFonts w:cs="Aparajita"/>
              <w:color w:val="000000"/>
            </w:rPr>
            <w:t xml:space="preserve"> et al., 2024)</w:t>
          </w:r>
        </w:sdtContent>
      </w:sdt>
      <w:r w:rsidRPr="00FE4B9F">
        <w:rPr>
          <w:rFonts w:cs="Aparajita"/>
        </w:rPr>
        <w:t xml:space="preserve">. Hospital governance must also embed legal risk management mechanisms into routine practice. This includes orientation on the legal responsibilities of practitioners, consistent and standardized medical record systems, and protocols for evidence handling within forensic contexts. Poor record-keeping practices undermine the reliability of </w:t>
      </w:r>
      <w:proofErr w:type="spellStart"/>
      <w:r w:rsidRPr="00FE4B9F">
        <w:rPr>
          <w:rFonts w:cs="Aparajita"/>
        </w:rPr>
        <w:t>odontological</w:t>
      </w:r>
      <w:proofErr w:type="spellEnd"/>
      <w:r w:rsidRPr="00FE4B9F">
        <w:rPr>
          <w:rFonts w:cs="Aparajita"/>
        </w:rPr>
        <w:t xml:space="preserve"> evidence and have been shown to diminish legal effectiveness in forensic identification. Governance frameworks that incorporate robust legal risk management practices can mitigate potential liabilities arising from improper documentation or failures to adhere to ethical standards </w:t>
      </w:r>
      <w:sdt>
        <w:sdtPr>
          <w:rPr>
            <w:rFonts w:cs="Aparajita"/>
            <w:color w:val="000000"/>
          </w:rPr>
          <w:tag w:val="MENDELEY_CITATION_v3_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"/>
          <w:id w:val="1337116094"/>
          <w:placeholder>
            <w:docPart w:val="DF3CFB222AAF4E44BE86D2027FEBB4F0"/>
          </w:placeholder>
        </w:sdtPr>
        <w:sdtContent>
          <w:r w:rsidRPr="00FE4B9F">
            <w:rPr>
              <w:color w:val="000000"/>
            </w:rPr>
            <w:t>(</w:t>
          </w:r>
          <w:proofErr w:type="spellStart"/>
          <w:r w:rsidRPr="00FE4B9F">
            <w:rPr>
              <w:color w:val="000000"/>
            </w:rPr>
            <w:t>Purbaningrum</w:t>
          </w:r>
          <w:proofErr w:type="spellEnd"/>
          <w:r w:rsidRPr="00FE4B9F">
            <w:rPr>
              <w:color w:val="000000"/>
            </w:rPr>
            <w:t xml:space="preserve"> &amp; </w:t>
          </w:r>
          <w:proofErr w:type="spellStart"/>
          <w:r w:rsidRPr="00FE4B9F">
            <w:rPr>
              <w:color w:val="000000"/>
            </w:rPr>
            <w:t>Dyah</w:t>
          </w:r>
          <w:proofErr w:type="spellEnd"/>
          <w:r w:rsidRPr="00FE4B9F">
            <w:rPr>
              <w:color w:val="000000"/>
            </w:rPr>
            <w:t xml:space="preserve"> </w:t>
          </w:r>
          <w:proofErr w:type="spellStart"/>
          <w:r w:rsidRPr="00FE4B9F">
            <w:rPr>
              <w:color w:val="000000"/>
            </w:rPr>
            <w:t>Suprobowati</w:t>
          </w:r>
          <w:proofErr w:type="spellEnd"/>
          <w:r w:rsidRPr="00FE4B9F">
            <w:rPr>
              <w:color w:val="000000"/>
            </w:rPr>
            <w:t>, 2024)</w:t>
          </w:r>
        </w:sdtContent>
      </w:sdt>
      <w:r w:rsidRPr="00FE4B9F">
        <w:rPr>
          <w:rFonts w:cs="Aparajita"/>
        </w:rPr>
        <w:t>.</w:t>
      </w:r>
    </w:p>
    <w:p w:rsidR="00FE4B9F" w:rsidRPr="00FE4B9F" w:rsidRDefault="00FE4B9F" w:rsidP="00FE4B9F">
      <w:pPr>
        <w:spacing w:after="0"/>
        <w:ind w:firstLine="720"/>
        <w:jc w:val="both"/>
        <w:rPr>
          <w:rFonts w:cs="Aparajita"/>
        </w:rPr>
      </w:pPr>
      <w:r w:rsidRPr="00FE4B9F">
        <w:rPr>
          <w:rFonts w:cs="Aparajita"/>
        </w:rPr>
        <w:t xml:space="preserve">Ethical governance mechanisms are equally essential to policy frameworks. Governance bodies within hospitals, such as ethics committees, play a critical role in ensuring that legal obligations do not overshadow ethical duties to respect patient autonomy, confidentiality, and justice. Institutional policies must codify these ethical principles and provide staff with clear guidance on scenarios where legal requirements intersect with ethical norms. For instance, decisions around sharing </w:t>
      </w:r>
      <w:proofErr w:type="spellStart"/>
      <w:r w:rsidRPr="00FE4B9F">
        <w:rPr>
          <w:rFonts w:cs="Aparajita"/>
        </w:rPr>
        <w:t>odontological</w:t>
      </w:r>
      <w:proofErr w:type="spellEnd"/>
      <w:r w:rsidRPr="00FE4B9F">
        <w:rPr>
          <w:rFonts w:cs="Aparajita"/>
        </w:rPr>
        <w:t xml:space="preserve"> data in forensic investigations require careful balancing of legal imperatives with patient privacy concerns </w:t>
      </w:r>
      <w:sdt>
        <w:sdtPr>
          <w:rPr>
            <w:rFonts w:cs="Aparajita"/>
            <w:color w:val="000000"/>
          </w:rPr>
          <w:tag w:val="MENDELEY_CITATION_v3_eyJjaXRhdGlvbklEIjoiTUVOREVMRVlfQ0lUQVRJT05fZjFjYzc4YzItZDU1MC00NDU0LWE5ZjAtZjQyYjYxNTg1MjM2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
          <w:id w:val="277601893"/>
          <w:placeholder>
            <w:docPart w:val="DF3CFB222AAF4E44BE86D2027FEBB4F0"/>
          </w:placeholder>
        </w:sdtPr>
        <w:sdtContent>
          <w:r w:rsidRPr="00FE4B9F">
            <w:rPr>
              <w:rFonts w:cs="Aparajita"/>
              <w:color w:val="000000"/>
            </w:rPr>
            <w:t>(</w:t>
          </w:r>
          <w:proofErr w:type="spellStart"/>
          <w:r w:rsidRPr="00FE4B9F">
            <w:rPr>
              <w:rFonts w:cs="Aparajita"/>
              <w:color w:val="000000"/>
            </w:rPr>
            <w:t>Prayuti</w:t>
          </w:r>
          <w:proofErr w:type="spellEnd"/>
          <w:r w:rsidRPr="00FE4B9F">
            <w:rPr>
              <w:rFonts w:cs="Aparajita"/>
              <w:color w:val="000000"/>
            </w:rPr>
            <w:t>, 2025)</w:t>
          </w:r>
        </w:sdtContent>
      </w:sdt>
      <w:r w:rsidRPr="00FE4B9F">
        <w:rPr>
          <w:rFonts w:cs="Aparajita"/>
        </w:rPr>
        <w:t xml:space="preserve">. Integrating legal and ethical considerations into hospital policies strengthens organizational accountability and builds confidence among patients, professionals, and other stakeholders. Sound governance practices help preserve the hospital’s credibility and reinforce public trust in medico legal services. Clear accountability mechanisms, including regular audits, open and transparent decision making, and routine policy evaluations, allow hospitals to remain aligned with changing healthcare regulations and evolving ethical standards </w:t>
      </w:r>
      <w:sdt>
        <w:sdtPr>
          <w:rPr>
            <w:rFonts w:cs="Aparajita"/>
            <w:color w:val="000000"/>
          </w:rPr>
          <w:tag w:val="MENDELEY_CITATION_v3_eyJjaXRhdGlvbklEIjoiTUVOREVMRVlfQ0lUQVRJT05fZjU3NWRmMDYtYzQyMi00OGE5LTgxNTYtNTU5MzA5NDY5YTRi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1963340993"/>
          <w:placeholder>
            <w:docPart w:val="DF3CFB222AAF4E44BE86D2027FEBB4F0"/>
          </w:placeholder>
        </w:sdtPr>
        <w:sdtContent>
          <w:r w:rsidRPr="00FE4B9F">
            <w:rPr>
              <w:rFonts w:cs="Aparajita"/>
              <w:color w:val="000000"/>
            </w:rPr>
            <w:t>(</w:t>
          </w:r>
          <w:proofErr w:type="spellStart"/>
          <w:r w:rsidRPr="00FE4B9F">
            <w:rPr>
              <w:rFonts w:cs="Aparajita"/>
              <w:color w:val="000000"/>
            </w:rPr>
            <w:t>Pavi</w:t>
          </w:r>
          <w:r w:rsidRPr="00FE4B9F">
            <w:rPr>
              <w:color w:val="000000"/>
            </w:rPr>
            <w:t>č</w:t>
          </w:r>
          <w:r w:rsidRPr="00FE4B9F">
            <w:rPr>
              <w:rFonts w:cs="Aparajita"/>
              <w:color w:val="000000"/>
            </w:rPr>
            <w:t>in</w:t>
          </w:r>
          <w:proofErr w:type="spellEnd"/>
          <w:r w:rsidRPr="00FE4B9F">
            <w:rPr>
              <w:rFonts w:cs="Aparajita"/>
              <w:color w:val="000000"/>
            </w:rPr>
            <w:t xml:space="preserve"> et al., 2021)</w:t>
          </w:r>
        </w:sdtContent>
      </w:sdt>
      <w:r w:rsidRPr="00FE4B9F">
        <w:rPr>
          <w:rFonts w:cs="Aparajita"/>
        </w:rPr>
        <w:t>.</w:t>
      </w:r>
    </w:p>
    <w:p w:rsidR="00560547" w:rsidRDefault="00560547" w:rsidP="00FE4B9F">
      <w:pPr>
        <w:pBdr>
          <w:top w:val="nil"/>
          <w:left w:val="nil"/>
          <w:bottom w:val="nil"/>
          <w:right w:val="nil"/>
          <w:between w:val="nil"/>
        </w:pBdr>
        <w:jc w:val="both"/>
        <w:rPr>
          <w:color w:val="000000"/>
        </w:rPr>
      </w:pPr>
    </w:p>
    <w:p w:rsidR="00560547" w:rsidRDefault="002212EE">
      <w:pPr>
        <w:pBdr>
          <w:top w:val="nil"/>
          <w:left w:val="nil"/>
          <w:bottom w:val="nil"/>
          <w:right w:val="nil"/>
          <w:between w:val="nil"/>
        </w:pBdr>
        <w:spacing w:after="0"/>
        <w:rPr>
          <w:b/>
          <w:color w:val="000000"/>
        </w:rPr>
      </w:pPr>
      <w:r>
        <w:rPr>
          <w:b/>
          <w:color w:val="000000"/>
        </w:rPr>
        <w:t>CONCLUSION</w:t>
      </w:r>
    </w:p>
    <w:p w:rsidR="00FE4B9F" w:rsidRPr="00FE4B9F" w:rsidRDefault="00FE4B9F" w:rsidP="00FE4B9F">
      <w:pPr>
        <w:spacing w:after="0"/>
        <w:ind w:firstLine="360"/>
        <w:jc w:val="both"/>
        <w:rPr>
          <w:rFonts w:cs="Aparajita"/>
        </w:rPr>
      </w:pPr>
      <w:bookmarkStart w:id="2" w:name="_heading=h.3znysh7" w:colFirst="0" w:colLast="0"/>
      <w:bookmarkEnd w:id="2"/>
      <w:r w:rsidRPr="00FE4B9F">
        <w:rPr>
          <w:rFonts w:cs="Aparajita"/>
        </w:rPr>
        <w:t>Forensic odontology services are shown to play an essential role in supporting medico legal processes within hospital management systems, with the findings indicating that the absence of clear legal frameworks and standardized operational guidance may increase medico legal risks for both dental professionals and hospitals. The implications of these findings emphasize the importance of integrating legal certainty and ethical principles such as beneficence, non-maleficence, autonomy, and justice into hospital governance through clear policies, standard operating procedures, and ethical oversight mechanisms in order to strengthen institutional accountability and protect patient rights. This study is limited by its normative and literature-based approach, which does not include empirical data from hospital settings and therefore may not fully capture practical challenges in the implementation of forensic odontology services. Future research is recommended to involve empirical and mixed method studies that explore institutional practices, stakeholder perspectives, and policy effectiveness to further support the development of comprehensive legal and ethical frameworks for forensic odontology services within hospital management systems.</w:t>
      </w:r>
    </w:p>
    <w:p w:rsidR="00560547" w:rsidRDefault="00560547">
      <w:pPr>
        <w:jc w:val="both"/>
        <w:rPr>
          <w:b/>
        </w:rPr>
      </w:pPr>
    </w:p>
    <w:p w:rsidR="00560547" w:rsidRDefault="002212EE">
      <w:pPr>
        <w:pBdr>
          <w:top w:val="nil"/>
          <w:left w:val="nil"/>
          <w:bottom w:val="nil"/>
          <w:right w:val="nil"/>
          <w:between w:val="nil"/>
        </w:pBdr>
        <w:spacing w:after="0"/>
        <w:rPr>
          <w:b/>
          <w:color w:val="000000"/>
        </w:rPr>
      </w:pPr>
      <w:bookmarkStart w:id="3" w:name="_heading=h.26in1rg" w:colFirst="0" w:colLast="0"/>
      <w:bookmarkStart w:id="4" w:name="_heading=h.3dy6vkm" w:colFirst="0" w:colLast="0"/>
      <w:bookmarkEnd w:id="3"/>
      <w:bookmarkEnd w:id="4"/>
      <w:r>
        <w:rPr>
          <w:b/>
          <w:color w:val="000000"/>
        </w:rPr>
        <w:t>REFERENCES</w:t>
      </w:r>
    </w:p>
    <w:p w:rsidR="00FE4B9F" w:rsidRPr="002D47B2" w:rsidRDefault="00FE4B9F" w:rsidP="002D47B2">
      <w:pPr>
        <w:pStyle w:val="ListParagraph"/>
        <w:numPr>
          <w:ilvl w:val="0"/>
          <w:numId w:val="5"/>
        </w:numPr>
        <w:rPr>
          <w:rFonts w:ascii="Aparajita" w:hAnsi="Aparajita" w:cs="Aparajita"/>
          <w:color w:val="000000"/>
          <w:sz w:val="24"/>
          <w:szCs w:val="24"/>
        </w:rPr>
      </w:pPr>
      <w:proofErr w:type="spellStart"/>
      <w:r w:rsidRPr="002D47B2">
        <w:rPr>
          <w:rFonts w:ascii="Aparajita" w:hAnsi="Aparajita" w:cs="Aparajita"/>
          <w:color w:val="000000"/>
          <w:sz w:val="24"/>
        </w:rPr>
        <w:t>Baqai</w:t>
      </w:r>
      <w:proofErr w:type="spellEnd"/>
      <w:r w:rsidRPr="002D47B2">
        <w:rPr>
          <w:rFonts w:ascii="Aparajita" w:hAnsi="Aparajita" w:cs="Aparajita"/>
          <w:color w:val="000000"/>
          <w:sz w:val="24"/>
        </w:rPr>
        <w:t xml:space="preserve">, H. S., Zaidi, S. J. A., </w:t>
      </w:r>
      <w:proofErr w:type="spellStart"/>
      <w:r w:rsidRPr="002D47B2">
        <w:rPr>
          <w:rFonts w:ascii="Aparajita" w:hAnsi="Aparajita" w:cs="Aparajita"/>
          <w:color w:val="000000"/>
          <w:sz w:val="24"/>
        </w:rPr>
        <w:t>Baig</w:t>
      </w:r>
      <w:proofErr w:type="spellEnd"/>
      <w:r w:rsidRPr="002D47B2">
        <w:rPr>
          <w:rFonts w:ascii="Aparajita" w:hAnsi="Aparajita" w:cs="Aparajita"/>
          <w:color w:val="000000"/>
          <w:sz w:val="24"/>
        </w:rPr>
        <w:t xml:space="preserve">, Q. A., Bashir, M. B., Anwar, M., &amp; Ansari, A. S. (2023). Maintenance of dental records and awareness of forensic odontology among </w:t>
      </w:r>
      <w:proofErr w:type="spellStart"/>
      <w:proofErr w:type="gramStart"/>
      <w:r w:rsidRPr="002D47B2">
        <w:rPr>
          <w:rFonts w:ascii="Aparajita" w:hAnsi="Aparajita" w:cs="Aparajita"/>
          <w:color w:val="000000"/>
          <w:sz w:val="24"/>
        </w:rPr>
        <w:t>pakistani</w:t>
      </w:r>
      <w:proofErr w:type="spellEnd"/>
      <w:proofErr w:type="gramEnd"/>
      <w:r w:rsidRPr="002D47B2">
        <w:rPr>
          <w:rFonts w:ascii="Aparajita" w:hAnsi="Aparajita" w:cs="Aparajita"/>
          <w:color w:val="000000"/>
          <w:sz w:val="24"/>
        </w:rPr>
        <w:t xml:space="preserve"> dentists: a mixed-method study with implications for dental data repository. </w:t>
      </w:r>
      <w:r w:rsidRPr="002D47B2">
        <w:rPr>
          <w:rFonts w:ascii="Aparajita" w:hAnsi="Aparajita" w:cs="Aparajita"/>
          <w:i/>
          <w:iCs/>
          <w:color w:val="000000"/>
          <w:sz w:val="24"/>
        </w:rPr>
        <w:t>BMC Oral Health</w:t>
      </w:r>
      <w:r w:rsidRPr="002D47B2">
        <w:rPr>
          <w:rFonts w:ascii="Aparajita" w:hAnsi="Aparajita" w:cs="Aparajita"/>
          <w:color w:val="000000"/>
          <w:sz w:val="24"/>
        </w:rPr>
        <w:t xml:space="preserve">, </w:t>
      </w:r>
      <w:r w:rsidRPr="002D47B2">
        <w:rPr>
          <w:rFonts w:ascii="Aparajita" w:hAnsi="Aparajita" w:cs="Aparajita"/>
          <w:i/>
          <w:iCs/>
          <w:color w:val="000000"/>
          <w:sz w:val="24"/>
        </w:rPr>
        <w:t>23</w:t>
      </w:r>
      <w:r w:rsidRPr="002D47B2">
        <w:rPr>
          <w:rFonts w:ascii="Aparajita" w:hAnsi="Aparajita" w:cs="Aparajita"/>
          <w:color w:val="000000"/>
          <w:sz w:val="24"/>
        </w:rPr>
        <w:t>(1). https://doi.org/10.1186/s12903-023-03500-2</w:t>
      </w:r>
    </w:p>
    <w:p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lastRenderedPageBreak/>
        <w:t xml:space="preserve">Beauchamp, T. L. (2019). </w:t>
      </w:r>
      <w:r w:rsidRPr="002D47B2">
        <w:rPr>
          <w:rFonts w:ascii="Aparajita" w:hAnsi="Aparajita" w:cs="Aparajita"/>
          <w:i/>
          <w:iCs/>
          <w:color w:val="000000"/>
          <w:sz w:val="24"/>
        </w:rPr>
        <w:t>A Defense of Universal Principles in Biomedical Ethics</w:t>
      </w:r>
      <w:r w:rsidRPr="002D47B2">
        <w:rPr>
          <w:rFonts w:ascii="Aparajita" w:hAnsi="Aparajita" w:cs="Aparajita"/>
          <w:color w:val="000000"/>
          <w:sz w:val="24"/>
        </w:rPr>
        <w:t>. https://doi.org/10.1007/978-3-030-05903-3_1</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Benuf</w:t>
      </w:r>
      <w:proofErr w:type="spellEnd"/>
      <w:r w:rsidRPr="002D47B2">
        <w:rPr>
          <w:rFonts w:ascii="Aparajita" w:hAnsi="Aparajita" w:cs="Aparajita"/>
          <w:color w:val="000000"/>
          <w:sz w:val="24"/>
        </w:rPr>
        <w:t xml:space="preserve">, K., </w:t>
      </w:r>
      <w:proofErr w:type="spellStart"/>
      <w:r w:rsidRPr="002D47B2">
        <w:rPr>
          <w:rFonts w:ascii="Aparajita" w:hAnsi="Aparajita" w:cs="Aparajita"/>
          <w:color w:val="000000"/>
          <w:sz w:val="24"/>
        </w:rPr>
        <w:t>Mahmudah</w:t>
      </w:r>
      <w:proofErr w:type="spellEnd"/>
      <w:r w:rsidRPr="002D47B2">
        <w:rPr>
          <w:rFonts w:ascii="Aparajita" w:hAnsi="Aparajita" w:cs="Aparajita"/>
          <w:color w:val="000000"/>
          <w:sz w:val="24"/>
        </w:rPr>
        <w:t xml:space="preserve">, S., &amp; </w:t>
      </w:r>
      <w:proofErr w:type="spellStart"/>
      <w:r w:rsidRPr="002D47B2">
        <w:rPr>
          <w:rFonts w:ascii="Aparajita" w:hAnsi="Aparajita" w:cs="Aparajita"/>
          <w:color w:val="000000"/>
          <w:sz w:val="24"/>
        </w:rPr>
        <w:t>Priyono</w:t>
      </w:r>
      <w:proofErr w:type="spellEnd"/>
      <w:r w:rsidRPr="002D47B2">
        <w:rPr>
          <w:rFonts w:ascii="Aparajita" w:hAnsi="Aparajita" w:cs="Aparajita"/>
          <w:color w:val="000000"/>
          <w:sz w:val="24"/>
        </w:rPr>
        <w:t xml:space="preserve">, E. A. (2019). </w:t>
      </w:r>
      <w:proofErr w:type="spellStart"/>
      <w:r w:rsidRPr="002D47B2">
        <w:rPr>
          <w:rFonts w:ascii="Aparajita" w:hAnsi="Aparajita" w:cs="Aparajita"/>
          <w:color w:val="000000"/>
          <w:sz w:val="24"/>
        </w:rPr>
        <w:t>Perlindungan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Hukum</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Terhadap</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Keamanan</w:t>
      </w:r>
      <w:proofErr w:type="spellEnd"/>
      <w:r w:rsidRPr="002D47B2">
        <w:rPr>
          <w:rFonts w:ascii="Aparajita" w:hAnsi="Aparajita" w:cs="Aparajita"/>
          <w:color w:val="000000"/>
          <w:sz w:val="24"/>
        </w:rPr>
        <w:t xml:space="preserve"> Data </w:t>
      </w:r>
      <w:proofErr w:type="spellStart"/>
      <w:r w:rsidRPr="002D47B2">
        <w:rPr>
          <w:rFonts w:ascii="Aparajita" w:hAnsi="Aparajita" w:cs="Aparajita"/>
          <w:color w:val="000000"/>
          <w:sz w:val="24"/>
        </w:rPr>
        <w:t>Konsumen</w:t>
      </w:r>
      <w:proofErr w:type="spellEnd"/>
      <w:r w:rsidRPr="002D47B2">
        <w:rPr>
          <w:rFonts w:ascii="Aparajita" w:hAnsi="Aparajita" w:cs="Aparajita"/>
          <w:color w:val="000000"/>
          <w:sz w:val="24"/>
        </w:rPr>
        <w:t xml:space="preserve"> Financial Technology di Indonesia. </w:t>
      </w:r>
      <w:proofErr w:type="spellStart"/>
      <w:r w:rsidRPr="002D47B2">
        <w:rPr>
          <w:rFonts w:ascii="Aparajita" w:hAnsi="Aparajita" w:cs="Aparajita"/>
          <w:i/>
          <w:iCs/>
          <w:color w:val="000000"/>
          <w:sz w:val="24"/>
        </w:rPr>
        <w:t>Refleksi</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Hukum</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Jurnal</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Ilmu</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Hukum</w:t>
      </w:r>
      <w:proofErr w:type="spellEnd"/>
      <w:r w:rsidRPr="002D47B2">
        <w:rPr>
          <w:rFonts w:ascii="Aparajita" w:hAnsi="Aparajita" w:cs="Aparajita"/>
          <w:color w:val="000000"/>
          <w:sz w:val="24"/>
        </w:rPr>
        <w:t xml:space="preserve">, </w:t>
      </w:r>
      <w:r w:rsidRPr="002D47B2">
        <w:rPr>
          <w:rFonts w:ascii="Aparajita" w:hAnsi="Aparajita" w:cs="Aparajita"/>
          <w:i/>
          <w:iCs/>
          <w:color w:val="000000"/>
          <w:sz w:val="24"/>
        </w:rPr>
        <w:t>3</w:t>
      </w:r>
      <w:r w:rsidRPr="002D47B2">
        <w:rPr>
          <w:rFonts w:ascii="Aparajita" w:hAnsi="Aparajita" w:cs="Aparajita"/>
          <w:color w:val="000000"/>
          <w:sz w:val="24"/>
        </w:rPr>
        <w:t>(2), 145–160. https://doi.org/10.24246/jrh.2019.v3.i2.p145-160</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Darmadi</w:t>
      </w:r>
      <w:proofErr w:type="spellEnd"/>
      <w:r w:rsidRPr="002D47B2">
        <w:rPr>
          <w:rFonts w:ascii="Aparajita" w:hAnsi="Aparajita" w:cs="Aparajita"/>
          <w:color w:val="000000"/>
          <w:sz w:val="24"/>
        </w:rPr>
        <w:t xml:space="preserve">, E. Y., </w:t>
      </w:r>
      <w:proofErr w:type="spellStart"/>
      <w:r w:rsidRPr="002D47B2">
        <w:rPr>
          <w:rFonts w:ascii="Aparajita" w:hAnsi="Aparajita" w:cs="Aparajita"/>
          <w:color w:val="000000"/>
          <w:sz w:val="24"/>
        </w:rPr>
        <w:t>Andriani</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Fauziah</w:t>
      </w:r>
      <w:proofErr w:type="spellEnd"/>
      <w:r w:rsidRPr="002D47B2">
        <w:rPr>
          <w:rFonts w:ascii="Aparajita" w:hAnsi="Aparajita" w:cs="Aparajita"/>
          <w:color w:val="000000"/>
          <w:sz w:val="24"/>
        </w:rPr>
        <w:t xml:space="preserve">, Y., </w:t>
      </w:r>
      <w:proofErr w:type="spellStart"/>
      <w:r w:rsidRPr="002D47B2">
        <w:rPr>
          <w:rFonts w:ascii="Aparajita" w:hAnsi="Aparajita" w:cs="Aparajita"/>
          <w:color w:val="000000"/>
          <w:sz w:val="24"/>
        </w:rPr>
        <w:t>Deriano</w:t>
      </w:r>
      <w:proofErr w:type="spellEnd"/>
      <w:r w:rsidRPr="002D47B2">
        <w:rPr>
          <w:rFonts w:ascii="Aparajita" w:hAnsi="Aparajita" w:cs="Aparajita"/>
          <w:color w:val="000000"/>
          <w:sz w:val="24"/>
        </w:rPr>
        <w:t xml:space="preserve"> Alvin, J., Alexandra </w:t>
      </w:r>
      <w:proofErr w:type="spellStart"/>
      <w:r w:rsidRPr="002D47B2">
        <w:rPr>
          <w:rFonts w:ascii="Aparajita" w:hAnsi="Aparajita" w:cs="Aparajita"/>
          <w:color w:val="000000"/>
          <w:sz w:val="24"/>
        </w:rPr>
        <w:t>Mayfrila</w:t>
      </w:r>
      <w:proofErr w:type="spellEnd"/>
      <w:r w:rsidRPr="002D47B2">
        <w:rPr>
          <w:rFonts w:ascii="Aparajita" w:hAnsi="Aparajita" w:cs="Aparajita"/>
          <w:color w:val="000000"/>
          <w:sz w:val="24"/>
        </w:rPr>
        <w:t xml:space="preserve">, A., &amp; </w:t>
      </w:r>
      <w:proofErr w:type="spellStart"/>
      <w:r w:rsidRPr="002D47B2">
        <w:rPr>
          <w:rFonts w:ascii="Aparajita" w:hAnsi="Aparajita" w:cs="Aparajita"/>
          <w:color w:val="000000"/>
          <w:sz w:val="24"/>
        </w:rPr>
        <w:t>Cyntia</w:t>
      </w:r>
      <w:proofErr w:type="spellEnd"/>
      <w:r w:rsidRPr="002D47B2">
        <w:rPr>
          <w:rFonts w:ascii="Aparajita" w:hAnsi="Aparajita" w:cs="Aparajita"/>
          <w:color w:val="000000"/>
          <w:sz w:val="24"/>
        </w:rPr>
        <w:t xml:space="preserve">, W. (2025). </w:t>
      </w:r>
      <w:r w:rsidRPr="002D47B2">
        <w:rPr>
          <w:rFonts w:ascii="Aparajita" w:hAnsi="Aparajita" w:cs="Aparajita"/>
          <w:i/>
          <w:iCs/>
          <w:color w:val="000000"/>
          <w:sz w:val="24"/>
        </w:rPr>
        <w:t xml:space="preserve">Ethical and Legal Aspects of Artificial Intelligence </w:t>
      </w:r>
      <w:proofErr w:type="gramStart"/>
      <w:r w:rsidRPr="002D47B2">
        <w:rPr>
          <w:rFonts w:ascii="Aparajita" w:hAnsi="Aparajita" w:cs="Aparajita"/>
          <w:i/>
          <w:iCs/>
          <w:color w:val="000000"/>
          <w:sz w:val="24"/>
        </w:rPr>
        <w:t>In</w:t>
      </w:r>
      <w:proofErr w:type="gramEnd"/>
      <w:r w:rsidRPr="002D47B2">
        <w:rPr>
          <w:rFonts w:ascii="Aparajita" w:hAnsi="Aparajita" w:cs="Aparajita"/>
          <w:i/>
          <w:iCs/>
          <w:color w:val="000000"/>
          <w:sz w:val="24"/>
        </w:rPr>
        <w:t xml:space="preserve"> Oral Health</w:t>
      </w:r>
      <w:r w:rsidRPr="002D47B2">
        <w:rPr>
          <w:rFonts w:ascii="Aparajita" w:hAnsi="Aparajita" w:cs="Aparajita"/>
          <w:color w:val="000000"/>
          <w:sz w:val="24"/>
        </w:rPr>
        <w:t xml:space="preserve"> (Vol. 13, Issue 4). https://ejournal.uika-bogor.ac.id/index.php/Hearty/issue/archive</w:t>
      </w:r>
    </w:p>
    <w:p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David, T. J., &amp; Lewis, J. M. (2018). Forensic odontology: Principles and practice. In </w:t>
      </w:r>
      <w:r w:rsidRPr="002D47B2">
        <w:rPr>
          <w:rFonts w:ascii="Aparajita" w:hAnsi="Aparajita" w:cs="Aparajita"/>
          <w:i/>
          <w:iCs/>
          <w:color w:val="000000"/>
          <w:sz w:val="24"/>
        </w:rPr>
        <w:t>Forensic Odontology: Principles and Practice</w:t>
      </w:r>
      <w:r w:rsidRPr="002D47B2">
        <w:rPr>
          <w:rFonts w:ascii="Aparajita" w:hAnsi="Aparajita" w:cs="Aparajita"/>
          <w:color w:val="000000"/>
          <w:sz w:val="24"/>
        </w:rPr>
        <w:t>. https://doi.org/10.1016/C2015-0-04216-2</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Fauziah</w:t>
      </w:r>
      <w:proofErr w:type="spellEnd"/>
      <w:r w:rsidRPr="002D47B2">
        <w:rPr>
          <w:rFonts w:ascii="Aparajita" w:hAnsi="Aparajita" w:cs="Aparajita"/>
          <w:color w:val="000000"/>
          <w:sz w:val="24"/>
        </w:rPr>
        <w:t xml:space="preserve">, Y. A., </w:t>
      </w:r>
      <w:proofErr w:type="spellStart"/>
      <w:r w:rsidRPr="002D47B2">
        <w:rPr>
          <w:rFonts w:ascii="Aparajita" w:hAnsi="Aparajita" w:cs="Aparajita"/>
          <w:color w:val="000000"/>
          <w:sz w:val="24"/>
        </w:rPr>
        <w:t>Alhadad</w:t>
      </w:r>
      <w:proofErr w:type="spellEnd"/>
      <w:r w:rsidRPr="002D47B2">
        <w:rPr>
          <w:rFonts w:ascii="Aparajita" w:hAnsi="Aparajita" w:cs="Aparajita"/>
          <w:color w:val="000000"/>
          <w:sz w:val="24"/>
        </w:rPr>
        <w:t xml:space="preserve">, H., &amp; </w:t>
      </w:r>
      <w:proofErr w:type="spellStart"/>
      <w:r w:rsidRPr="002D47B2">
        <w:rPr>
          <w:rFonts w:ascii="Aparajita" w:hAnsi="Aparajita" w:cs="Aparajita"/>
          <w:color w:val="000000"/>
          <w:sz w:val="24"/>
        </w:rPr>
        <w:t>Susanto</w:t>
      </w:r>
      <w:proofErr w:type="spellEnd"/>
      <w:r w:rsidRPr="002D47B2">
        <w:rPr>
          <w:rFonts w:ascii="Aparajita" w:hAnsi="Aparajita" w:cs="Aparajita"/>
          <w:color w:val="000000"/>
          <w:sz w:val="24"/>
        </w:rPr>
        <w:t xml:space="preserve">, D. A. (2025). Dental Malpractice and Criminal Liability : A Review of Law No. 17 of 2023 on Health. </w:t>
      </w:r>
      <w:proofErr w:type="spellStart"/>
      <w:r w:rsidRPr="002D47B2">
        <w:rPr>
          <w:rFonts w:ascii="Aparajita" w:hAnsi="Aparajita" w:cs="Aparajita"/>
          <w:i/>
          <w:iCs/>
          <w:color w:val="000000"/>
          <w:sz w:val="24"/>
        </w:rPr>
        <w:t>Jurnal</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Hukum</w:t>
      </w:r>
      <w:proofErr w:type="spellEnd"/>
      <w:r w:rsidRPr="002D47B2">
        <w:rPr>
          <w:rFonts w:ascii="Aparajita" w:hAnsi="Aparajita" w:cs="Aparajita"/>
          <w:i/>
          <w:iCs/>
          <w:color w:val="000000"/>
          <w:sz w:val="24"/>
        </w:rPr>
        <w:t xml:space="preserve"> Dan </w:t>
      </w:r>
      <w:proofErr w:type="spellStart"/>
      <w:r w:rsidRPr="002D47B2">
        <w:rPr>
          <w:rFonts w:ascii="Aparajita" w:hAnsi="Aparajita" w:cs="Aparajita"/>
          <w:i/>
          <w:iCs/>
          <w:color w:val="000000"/>
          <w:sz w:val="24"/>
        </w:rPr>
        <w:t>Etika</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Kesehatan</w:t>
      </w:r>
      <w:proofErr w:type="spellEnd"/>
      <w:r w:rsidRPr="002D47B2">
        <w:rPr>
          <w:rFonts w:ascii="Aparajita" w:hAnsi="Aparajita" w:cs="Aparajita"/>
          <w:color w:val="000000"/>
          <w:sz w:val="24"/>
        </w:rPr>
        <w:t xml:space="preserve">, </w:t>
      </w:r>
      <w:r w:rsidRPr="002D47B2">
        <w:rPr>
          <w:rFonts w:ascii="Aparajita" w:hAnsi="Aparajita" w:cs="Aparajita"/>
          <w:i/>
          <w:iCs/>
          <w:color w:val="000000"/>
          <w:sz w:val="24"/>
        </w:rPr>
        <w:t>5</w:t>
      </w:r>
      <w:r w:rsidRPr="002D47B2">
        <w:rPr>
          <w:rFonts w:ascii="Aparajita" w:hAnsi="Aparajita" w:cs="Aparajita"/>
          <w:color w:val="000000"/>
          <w:sz w:val="24"/>
        </w:rPr>
        <w:t>(1), 64–75.</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Fauziah</w:t>
      </w:r>
      <w:proofErr w:type="spellEnd"/>
      <w:r w:rsidRPr="002D47B2">
        <w:rPr>
          <w:rFonts w:ascii="Aparajita" w:hAnsi="Aparajita" w:cs="Aparajita"/>
          <w:color w:val="000000"/>
          <w:sz w:val="24"/>
        </w:rPr>
        <w:t xml:space="preserve">, Y. A., </w:t>
      </w:r>
      <w:proofErr w:type="spellStart"/>
      <w:r w:rsidRPr="002D47B2">
        <w:rPr>
          <w:rFonts w:ascii="Aparajita" w:hAnsi="Aparajita" w:cs="Aparajita"/>
          <w:color w:val="000000"/>
          <w:sz w:val="24"/>
        </w:rPr>
        <w:t>Alhadad</w:t>
      </w:r>
      <w:proofErr w:type="spellEnd"/>
      <w:r w:rsidRPr="002D47B2">
        <w:rPr>
          <w:rFonts w:ascii="Aparajita" w:hAnsi="Aparajita" w:cs="Aparajita"/>
          <w:color w:val="000000"/>
          <w:sz w:val="24"/>
        </w:rPr>
        <w:t xml:space="preserve">, H., &amp; </w:t>
      </w:r>
      <w:proofErr w:type="spellStart"/>
      <w:r w:rsidRPr="002D47B2">
        <w:rPr>
          <w:rFonts w:ascii="Aparajita" w:hAnsi="Aparajita" w:cs="Aparajita"/>
          <w:color w:val="000000"/>
          <w:sz w:val="24"/>
        </w:rPr>
        <w:t>Utama</w:t>
      </w:r>
      <w:proofErr w:type="spellEnd"/>
      <w:r w:rsidRPr="002D47B2">
        <w:rPr>
          <w:rFonts w:ascii="Aparajita" w:hAnsi="Aparajita" w:cs="Aparajita"/>
          <w:color w:val="000000"/>
          <w:sz w:val="24"/>
        </w:rPr>
        <w:t xml:space="preserve">, Y. P. (2024). </w:t>
      </w:r>
      <w:proofErr w:type="spellStart"/>
      <w:r w:rsidRPr="002D47B2">
        <w:rPr>
          <w:rFonts w:ascii="Aparajita" w:hAnsi="Aparajita" w:cs="Aparajita"/>
          <w:color w:val="000000"/>
          <w:sz w:val="24"/>
        </w:rPr>
        <w:t>Etika</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dan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Tantangan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Penggunaan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Kecerdasan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Buatan</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Dalam</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Kedokteran</w:t>
      </w:r>
      <w:proofErr w:type="spellEnd"/>
      <w:r w:rsidRPr="002D47B2">
        <w:rPr>
          <w:rFonts w:ascii="Aparajita" w:hAnsi="Aparajita" w:cs="Aparajita"/>
          <w:color w:val="000000"/>
          <w:sz w:val="24"/>
        </w:rPr>
        <w:t xml:space="preserve"> Gigi. </w:t>
      </w:r>
      <w:proofErr w:type="spellStart"/>
      <w:r w:rsidRPr="002D47B2">
        <w:rPr>
          <w:rFonts w:ascii="Aparajita" w:hAnsi="Aparajita" w:cs="Aparajita"/>
          <w:i/>
          <w:iCs/>
          <w:color w:val="000000"/>
          <w:sz w:val="24"/>
        </w:rPr>
        <w:t>Jurnal</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Hukum</w:t>
      </w:r>
      <w:proofErr w:type="spellEnd"/>
      <w:r w:rsidRPr="002D47B2">
        <w:rPr>
          <w:rFonts w:ascii="Aparajita" w:hAnsi="Aparajita" w:cs="Aparajita"/>
          <w:i/>
          <w:iCs/>
          <w:color w:val="000000"/>
          <w:sz w:val="24"/>
        </w:rPr>
        <w:t xml:space="preserve"> Dan </w:t>
      </w:r>
      <w:proofErr w:type="spellStart"/>
      <w:r w:rsidRPr="002D47B2">
        <w:rPr>
          <w:rFonts w:ascii="Aparajita" w:hAnsi="Aparajita" w:cs="Aparajita"/>
          <w:i/>
          <w:iCs/>
          <w:color w:val="000000"/>
          <w:sz w:val="24"/>
        </w:rPr>
        <w:t>Etika</w:t>
      </w:r>
      <w:proofErr w:type="spellEnd"/>
      <w:r w:rsidRPr="002D47B2">
        <w:rPr>
          <w:rFonts w:ascii="Aparajita" w:hAnsi="Aparajita" w:cs="Aparajita"/>
          <w:i/>
          <w:iCs/>
          <w:color w:val="000000"/>
          <w:sz w:val="24"/>
        </w:rPr>
        <w:t xml:space="preserve"> </w:t>
      </w:r>
      <w:proofErr w:type="spellStart"/>
      <w:r w:rsidRPr="002D47B2">
        <w:rPr>
          <w:rFonts w:ascii="Aparajita" w:hAnsi="Aparajita" w:cs="Aparajita"/>
          <w:i/>
          <w:iCs/>
          <w:color w:val="000000"/>
          <w:sz w:val="24"/>
        </w:rPr>
        <w:t>Kesehatan</w:t>
      </w:r>
      <w:proofErr w:type="spellEnd"/>
      <w:r w:rsidRPr="002D47B2">
        <w:rPr>
          <w:rFonts w:ascii="Aparajita" w:hAnsi="Aparajita" w:cs="Aparajita"/>
          <w:color w:val="000000"/>
          <w:sz w:val="24"/>
        </w:rPr>
        <w:t xml:space="preserve">, </w:t>
      </w:r>
      <w:r w:rsidRPr="002D47B2">
        <w:rPr>
          <w:rFonts w:ascii="Aparajita" w:hAnsi="Aparajita" w:cs="Aparajita"/>
          <w:i/>
          <w:iCs/>
          <w:color w:val="000000"/>
          <w:sz w:val="24"/>
        </w:rPr>
        <w:t>4</w:t>
      </w:r>
      <w:r w:rsidRPr="002D47B2">
        <w:rPr>
          <w:rFonts w:ascii="Aparajita" w:hAnsi="Aparajita" w:cs="Aparajita"/>
          <w:color w:val="000000"/>
          <w:sz w:val="24"/>
        </w:rPr>
        <w:t>(2).</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Fauziah</w:t>
      </w:r>
      <w:proofErr w:type="spellEnd"/>
      <w:r w:rsidRPr="002D47B2">
        <w:rPr>
          <w:rFonts w:ascii="Aparajita" w:hAnsi="Aparajita" w:cs="Aparajita"/>
          <w:color w:val="000000"/>
          <w:sz w:val="24"/>
        </w:rPr>
        <w:t xml:space="preserve">, Y. A., </w:t>
      </w:r>
      <w:proofErr w:type="spellStart"/>
      <w:r w:rsidRPr="002D47B2">
        <w:rPr>
          <w:rFonts w:ascii="Aparajita" w:hAnsi="Aparajita" w:cs="Aparajita"/>
          <w:color w:val="000000"/>
          <w:sz w:val="24"/>
        </w:rPr>
        <w:t>Bagus</w:t>
      </w:r>
      <w:proofErr w:type="spellEnd"/>
      <w:r w:rsidRPr="002D47B2">
        <w:rPr>
          <w:rFonts w:ascii="Aparajita" w:hAnsi="Aparajita" w:cs="Aparajita"/>
          <w:color w:val="000000"/>
          <w:sz w:val="24"/>
        </w:rPr>
        <w:t xml:space="preserve"> Narmada, I., </w:t>
      </w:r>
      <w:proofErr w:type="spellStart"/>
      <w:r w:rsidRPr="002D47B2">
        <w:rPr>
          <w:rFonts w:ascii="Aparajita" w:hAnsi="Aparajita" w:cs="Aparajita"/>
          <w:color w:val="000000"/>
          <w:sz w:val="24"/>
        </w:rPr>
        <w:t>Darmadi</w:t>
      </w:r>
      <w:proofErr w:type="spellEnd"/>
      <w:r w:rsidRPr="002D47B2">
        <w:rPr>
          <w:rFonts w:ascii="Aparajita" w:hAnsi="Aparajita" w:cs="Aparajita"/>
          <w:color w:val="000000"/>
          <w:sz w:val="24"/>
        </w:rPr>
        <w:t xml:space="preserve">, E. Y., </w:t>
      </w:r>
      <w:proofErr w:type="spellStart"/>
      <w:r w:rsidRPr="002D47B2">
        <w:rPr>
          <w:rFonts w:ascii="Aparajita" w:hAnsi="Aparajita" w:cs="Aparajita"/>
          <w:color w:val="000000"/>
          <w:sz w:val="24"/>
        </w:rPr>
        <w:t>Adityatama</w:t>
      </w:r>
      <w:proofErr w:type="spellEnd"/>
      <w:r w:rsidRPr="002D47B2">
        <w:rPr>
          <w:rFonts w:ascii="Aparajita" w:hAnsi="Aparajita" w:cs="Aparajita"/>
          <w:color w:val="000000"/>
          <w:sz w:val="24"/>
        </w:rPr>
        <w:t xml:space="preserve">, A. P., </w:t>
      </w:r>
      <w:proofErr w:type="spellStart"/>
      <w:r w:rsidRPr="002D47B2">
        <w:rPr>
          <w:rFonts w:ascii="Aparajita" w:hAnsi="Aparajita" w:cs="Aparajita"/>
          <w:color w:val="000000"/>
          <w:sz w:val="24"/>
        </w:rPr>
        <w:t>Wahjuningrum</w:t>
      </w:r>
      <w:proofErr w:type="spellEnd"/>
      <w:r w:rsidRPr="002D47B2">
        <w:rPr>
          <w:rFonts w:ascii="Aparajita" w:hAnsi="Aparajita" w:cs="Aparajita"/>
          <w:color w:val="000000"/>
          <w:sz w:val="24"/>
        </w:rPr>
        <w:t xml:space="preserve">, D. A., </w:t>
      </w:r>
      <w:proofErr w:type="spellStart"/>
      <w:r w:rsidRPr="002D47B2">
        <w:rPr>
          <w:rFonts w:ascii="Aparajita" w:hAnsi="Aparajita" w:cs="Aparajita"/>
          <w:color w:val="000000"/>
          <w:sz w:val="24"/>
        </w:rPr>
        <w:t>Yudianto</w:t>
      </w:r>
      <w:proofErr w:type="spellEnd"/>
      <w:r w:rsidRPr="002D47B2">
        <w:rPr>
          <w:rFonts w:ascii="Aparajita" w:hAnsi="Aparajita" w:cs="Aparajita"/>
          <w:color w:val="000000"/>
          <w:sz w:val="24"/>
        </w:rPr>
        <w:t xml:space="preserve">, A., &amp; </w:t>
      </w:r>
      <w:proofErr w:type="spellStart"/>
      <w:r w:rsidRPr="002D47B2">
        <w:rPr>
          <w:rFonts w:ascii="Aparajita" w:hAnsi="Aparajita" w:cs="Aparajita"/>
          <w:color w:val="000000"/>
          <w:sz w:val="24"/>
        </w:rPr>
        <w:t>Kurniawan</w:t>
      </w:r>
      <w:proofErr w:type="spellEnd"/>
      <w:r w:rsidRPr="002D47B2">
        <w:rPr>
          <w:rFonts w:ascii="Aparajita" w:hAnsi="Aparajita" w:cs="Aparajita"/>
          <w:color w:val="000000"/>
          <w:sz w:val="24"/>
        </w:rPr>
        <w:t xml:space="preserve">, A. (2025). Integration of Advanced Technology in Forensic Odontology: Revolutionizing Identification and Forensic Analysis. </w:t>
      </w:r>
      <w:r w:rsidRPr="002D47B2">
        <w:rPr>
          <w:rFonts w:ascii="Aparajita" w:hAnsi="Aparajita" w:cs="Aparajita"/>
          <w:i/>
          <w:iCs/>
          <w:color w:val="000000"/>
          <w:sz w:val="24"/>
        </w:rPr>
        <w:t>Research J. Pharmacy and Technology</w:t>
      </w:r>
      <w:r w:rsidRPr="002D47B2">
        <w:rPr>
          <w:rFonts w:ascii="Aparajita" w:hAnsi="Aparajita" w:cs="Aparajita"/>
          <w:color w:val="000000"/>
          <w:sz w:val="24"/>
        </w:rPr>
        <w:t xml:space="preserve">, </w:t>
      </w:r>
      <w:r w:rsidRPr="002D47B2">
        <w:rPr>
          <w:rFonts w:ascii="Aparajita" w:hAnsi="Aparajita" w:cs="Aparajita"/>
          <w:i/>
          <w:iCs/>
          <w:color w:val="000000"/>
          <w:sz w:val="24"/>
        </w:rPr>
        <w:t>18</w:t>
      </w:r>
      <w:r w:rsidRPr="002D47B2">
        <w:rPr>
          <w:rFonts w:ascii="Aparajita" w:hAnsi="Aparajita" w:cs="Aparajita"/>
          <w:color w:val="000000"/>
          <w:sz w:val="24"/>
        </w:rPr>
        <w:t>(7), 3250–3257. https://doi.org/10.52711/0974-360X.2025.00468</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Fauziah</w:t>
      </w:r>
      <w:proofErr w:type="spellEnd"/>
      <w:r w:rsidRPr="002D47B2">
        <w:rPr>
          <w:rFonts w:ascii="Aparajita" w:hAnsi="Aparajita" w:cs="Aparajita"/>
          <w:color w:val="000000"/>
          <w:sz w:val="24"/>
        </w:rPr>
        <w:t xml:space="preserve">, Y. A., </w:t>
      </w:r>
      <w:proofErr w:type="spellStart"/>
      <w:r w:rsidRPr="002D47B2">
        <w:rPr>
          <w:rFonts w:ascii="Aparajita" w:hAnsi="Aparajita" w:cs="Aparajita"/>
          <w:color w:val="000000"/>
          <w:sz w:val="24"/>
        </w:rPr>
        <w:t>Darmadi</w:t>
      </w:r>
      <w:proofErr w:type="spellEnd"/>
      <w:r w:rsidRPr="002D47B2">
        <w:rPr>
          <w:rFonts w:ascii="Aparajita" w:hAnsi="Aparajita" w:cs="Aparajita"/>
          <w:color w:val="000000"/>
          <w:sz w:val="24"/>
        </w:rPr>
        <w:t xml:space="preserve">, E. Y., &amp; </w:t>
      </w:r>
      <w:proofErr w:type="spellStart"/>
      <w:r w:rsidRPr="002D47B2">
        <w:rPr>
          <w:rFonts w:ascii="Aparajita" w:hAnsi="Aparajita" w:cs="Aparajita"/>
          <w:color w:val="000000"/>
          <w:sz w:val="24"/>
        </w:rPr>
        <w:t>Tjandra</w:t>
      </w:r>
      <w:proofErr w:type="spellEnd"/>
      <w:r w:rsidRPr="002D47B2">
        <w:rPr>
          <w:rFonts w:ascii="Aparajita" w:hAnsi="Aparajita" w:cs="Aparajita"/>
          <w:color w:val="000000"/>
          <w:sz w:val="24"/>
        </w:rPr>
        <w:t xml:space="preserve">, R. R. (2024). Integrating Digital Imaging and AI in Forensic Odontology: Enhancing Identification Accuracy and Efficiency. </w:t>
      </w:r>
      <w:r w:rsidRPr="002D47B2">
        <w:rPr>
          <w:rFonts w:ascii="Aparajita" w:hAnsi="Aparajita" w:cs="Aparajita"/>
          <w:i/>
          <w:iCs/>
          <w:color w:val="000000"/>
          <w:sz w:val="24"/>
        </w:rPr>
        <w:t>RSF Conference Series: Business, Management and Social Sciences</w:t>
      </w:r>
      <w:r w:rsidRPr="002D47B2">
        <w:rPr>
          <w:rFonts w:ascii="Aparajita" w:hAnsi="Aparajita" w:cs="Aparajita"/>
          <w:color w:val="000000"/>
          <w:sz w:val="24"/>
        </w:rPr>
        <w:t xml:space="preserve">, </w:t>
      </w:r>
      <w:r w:rsidRPr="002D47B2">
        <w:rPr>
          <w:rFonts w:ascii="Aparajita" w:hAnsi="Aparajita" w:cs="Aparajita"/>
          <w:i/>
          <w:iCs/>
          <w:color w:val="000000"/>
          <w:sz w:val="24"/>
        </w:rPr>
        <w:t>4</w:t>
      </w:r>
      <w:r w:rsidRPr="002D47B2">
        <w:rPr>
          <w:rFonts w:ascii="Aparajita" w:hAnsi="Aparajita" w:cs="Aparajita"/>
          <w:color w:val="000000"/>
          <w:sz w:val="24"/>
        </w:rPr>
        <w:t>(1), 213–219. https://doi.org/10.31098/bmss.v4i1.882</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Ibragimov</w:t>
      </w:r>
      <w:proofErr w:type="spellEnd"/>
      <w:r w:rsidRPr="002D47B2">
        <w:rPr>
          <w:rFonts w:ascii="Aparajita" w:hAnsi="Aparajita" w:cs="Aparajita"/>
          <w:color w:val="000000"/>
          <w:sz w:val="24"/>
        </w:rPr>
        <w:t xml:space="preserve">, D., </w:t>
      </w:r>
      <w:proofErr w:type="spellStart"/>
      <w:r w:rsidRPr="002D47B2">
        <w:rPr>
          <w:rFonts w:ascii="Aparajita" w:hAnsi="Aparajita" w:cs="Aparajita"/>
          <w:color w:val="000000"/>
          <w:sz w:val="24"/>
        </w:rPr>
        <w:t>Soboleva</w:t>
      </w:r>
      <w:proofErr w:type="spellEnd"/>
      <w:r w:rsidRPr="002D47B2">
        <w:rPr>
          <w:rFonts w:ascii="Aparajita" w:hAnsi="Aparajita" w:cs="Aparajita"/>
          <w:color w:val="000000"/>
          <w:sz w:val="24"/>
        </w:rPr>
        <w:t xml:space="preserve">, M., </w:t>
      </w:r>
      <w:proofErr w:type="spellStart"/>
      <w:r w:rsidRPr="002D47B2">
        <w:rPr>
          <w:rFonts w:ascii="Aparajita" w:hAnsi="Aparajita" w:cs="Aparajita"/>
          <w:color w:val="000000"/>
          <w:sz w:val="24"/>
        </w:rPr>
        <w:t>Dmitrievna</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Dementyeva</w:t>
      </w:r>
      <w:proofErr w:type="spellEnd"/>
      <w:r w:rsidRPr="002D47B2">
        <w:rPr>
          <w:rFonts w:ascii="Aparajita" w:hAnsi="Aparajita" w:cs="Aparajita"/>
          <w:color w:val="000000"/>
          <w:sz w:val="24"/>
        </w:rPr>
        <w:t xml:space="preserve">, Y., </w:t>
      </w:r>
      <w:proofErr w:type="spellStart"/>
      <w:r w:rsidRPr="002D47B2">
        <w:rPr>
          <w:rFonts w:ascii="Aparajita" w:hAnsi="Aparajita" w:cs="Aparajita"/>
          <w:color w:val="000000"/>
          <w:sz w:val="24"/>
        </w:rPr>
        <w:t>Roshchupkina</w:t>
      </w:r>
      <w:proofErr w:type="spellEnd"/>
      <w:r w:rsidRPr="002D47B2">
        <w:rPr>
          <w:rFonts w:ascii="Aparajita" w:hAnsi="Aparajita" w:cs="Aparajita"/>
          <w:color w:val="000000"/>
          <w:sz w:val="24"/>
        </w:rPr>
        <w:t xml:space="preserve">, S., </w:t>
      </w:r>
      <w:proofErr w:type="spellStart"/>
      <w:r w:rsidRPr="002D47B2">
        <w:rPr>
          <w:rFonts w:ascii="Aparajita" w:hAnsi="Aparajita" w:cs="Aparajita"/>
          <w:color w:val="000000"/>
          <w:sz w:val="24"/>
        </w:rPr>
        <w:t>Bakhtiiarov</w:t>
      </w:r>
      <w:proofErr w:type="spellEnd"/>
      <w:r w:rsidRPr="002D47B2">
        <w:rPr>
          <w:rFonts w:ascii="Aparajita" w:hAnsi="Aparajita" w:cs="Aparajita"/>
          <w:color w:val="000000"/>
          <w:sz w:val="24"/>
        </w:rPr>
        <w:t xml:space="preserve">, R., &amp; </w:t>
      </w:r>
      <w:proofErr w:type="spellStart"/>
      <w:r w:rsidRPr="002D47B2">
        <w:rPr>
          <w:rFonts w:ascii="Aparajita" w:hAnsi="Aparajita" w:cs="Aparajita"/>
          <w:color w:val="000000"/>
          <w:sz w:val="24"/>
        </w:rPr>
        <w:t>Petrenko</w:t>
      </w:r>
      <w:proofErr w:type="spellEnd"/>
      <w:r w:rsidRPr="002D47B2">
        <w:rPr>
          <w:rFonts w:ascii="Aparajita" w:hAnsi="Aparajita" w:cs="Aparajita"/>
          <w:color w:val="000000"/>
          <w:sz w:val="24"/>
        </w:rPr>
        <w:t xml:space="preserve">, E. (2023). Ethical Aspects in Medical Practice: Investigation of Ethical Dilemmas and Principles Related to Medical Practice. </w:t>
      </w:r>
      <w:r w:rsidRPr="002D47B2">
        <w:rPr>
          <w:rFonts w:ascii="Aparajita" w:hAnsi="Aparajita" w:cs="Aparajita"/>
          <w:i/>
          <w:iCs/>
          <w:color w:val="000000"/>
          <w:sz w:val="24"/>
        </w:rPr>
        <w:t>Journal of Complementary Medicine Research</w:t>
      </w:r>
      <w:r w:rsidRPr="002D47B2">
        <w:rPr>
          <w:rFonts w:ascii="Aparajita" w:hAnsi="Aparajita" w:cs="Aparajita"/>
          <w:color w:val="000000"/>
          <w:sz w:val="24"/>
        </w:rPr>
        <w:t xml:space="preserve">, </w:t>
      </w:r>
      <w:r w:rsidRPr="002D47B2">
        <w:rPr>
          <w:rFonts w:ascii="Aparajita" w:hAnsi="Aparajita" w:cs="Aparajita"/>
          <w:i/>
          <w:iCs/>
          <w:color w:val="000000"/>
          <w:sz w:val="24"/>
        </w:rPr>
        <w:t>14</w:t>
      </w:r>
      <w:r w:rsidRPr="002D47B2">
        <w:rPr>
          <w:rFonts w:ascii="Aparajita" w:hAnsi="Aparajita" w:cs="Aparajita"/>
          <w:color w:val="000000"/>
          <w:sz w:val="24"/>
        </w:rPr>
        <w:t>(3). https://doi.org/10.5455/jcmr.2023.14.03.20</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Jalilvand</w:t>
      </w:r>
      <w:proofErr w:type="spellEnd"/>
      <w:r w:rsidRPr="002D47B2">
        <w:rPr>
          <w:rFonts w:ascii="Aparajita" w:hAnsi="Aparajita" w:cs="Aparajita"/>
          <w:color w:val="000000"/>
          <w:sz w:val="24"/>
        </w:rPr>
        <w:t xml:space="preserve">, M. A., </w:t>
      </w:r>
      <w:proofErr w:type="spellStart"/>
      <w:r w:rsidRPr="002D47B2">
        <w:rPr>
          <w:rFonts w:ascii="Aparajita" w:hAnsi="Aparajita" w:cs="Aparajita"/>
          <w:color w:val="000000"/>
          <w:sz w:val="24"/>
        </w:rPr>
        <w:t>Raeisi</w:t>
      </w:r>
      <w:proofErr w:type="spellEnd"/>
      <w:r w:rsidRPr="002D47B2">
        <w:rPr>
          <w:rFonts w:ascii="Aparajita" w:hAnsi="Aparajita" w:cs="Aparajita"/>
          <w:color w:val="000000"/>
          <w:sz w:val="24"/>
        </w:rPr>
        <w:t xml:space="preserve">, A. R., &amp; </w:t>
      </w:r>
      <w:proofErr w:type="spellStart"/>
      <w:r w:rsidRPr="002D47B2">
        <w:rPr>
          <w:rFonts w:ascii="Aparajita" w:hAnsi="Aparajita" w:cs="Aparajita"/>
          <w:color w:val="000000"/>
          <w:sz w:val="24"/>
        </w:rPr>
        <w:t>Shaarbafchizadeh</w:t>
      </w:r>
      <w:proofErr w:type="spellEnd"/>
      <w:r w:rsidRPr="002D47B2">
        <w:rPr>
          <w:rFonts w:ascii="Aparajita" w:hAnsi="Aparajita" w:cs="Aparajita"/>
          <w:color w:val="000000"/>
          <w:sz w:val="24"/>
        </w:rPr>
        <w:t xml:space="preserve">, N. (2024). Hospital governance accountability structure: a scoping review. </w:t>
      </w:r>
      <w:r w:rsidRPr="002D47B2">
        <w:rPr>
          <w:rFonts w:ascii="Aparajita" w:hAnsi="Aparajita" w:cs="Aparajita"/>
          <w:i/>
          <w:iCs/>
          <w:color w:val="000000"/>
          <w:sz w:val="24"/>
        </w:rPr>
        <w:t>BMC Health Services Research</w:t>
      </w:r>
      <w:r w:rsidRPr="002D47B2">
        <w:rPr>
          <w:rFonts w:ascii="Aparajita" w:hAnsi="Aparajita" w:cs="Aparajita"/>
          <w:color w:val="000000"/>
          <w:sz w:val="24"/>
        </w:rPr>
        <w:t xml:space="preserve">, </w:t>
      </w:r>
      <w:r w:rsidRPr="002D47B2">
        <w:rPr>
          <w:rFonts w:ascii="Aparajita" w:hAnsi="Aparajita" w:cs="Aparajita"/>
          <w:i/>
          <w:iCs/>
          <w:color w:val="000000"/>
          <w:sz w:val="24"/>
        </w:rPr>
        <w:t>24</w:t>
      </w:r>
      <w:r w:rsidRPr="002D47B2">
        <w:rPr>
          <w:rFonts w:ascii="Aparajita" w:hAnsi="Aparajita" w:cs="Aparajita"/>
          <w:color w:val="000000"/>
          <w:sz w:val="24"/>
        </w:rPr>
        <w:t>(1). https://doi.org/10.1186/s12913-023-10135-0</w:t>
      </w:r>
    </w:p>
    <w:p w:rsidR="00FE4B9F" w:rsidRPr="002D47B2" w:rsidRDefault="00FE4B9F" w:rsidP="002D47B2">
      <w:pPr>
        <w:pStyle w:val="ListParagraph"/>
        <w:numPr>
          <w:ilvl w:val="0"/>
          <w:numId w:val="5"/>
        </w:numPr>
        <w:rPr>
          <w:rFonts w:ascii="Aparajita" w:hAnsi="Aparajita" w:cs="Aparajita"/>
          <w:color w:val="000000"/>
          <w:sz w:val="24"/>
        </w:rPr>
      </w:pPr>
      <w:r w:rsidRPr="002D47B2">
        <w:rPr>
          <w:rFonts w:ascii="Aparajita" w:hAnsi="Aparajita" w:cs="Aparajita"/>
          <w:color w:val="000000"/>
          <w:sz w:val="24"/>
        </w:rPr>
        <w:t xml:space="preserve">Murray, P. E., </w:t>
      </w:r>
      <w:proofErr w:type="spellStart"/>
      <w:r w:rsidRPr="002D47B2">
        <w:rPr>
          <w:rFonts w:ascii="Aparajita" w:hAnsi="Aparajita" w:cs="Aparajita"/>
          <w:color w:val="000000"/>
          <w:sz w:val="24"/>
        </w:rPr>
        <w:t>Elazizi</w:t>
      </w:r>
      <w:proofErr w:type="spellEnd"/>
      <w:r w:rsidRPr="002D47B2">
        <w:rPr>
          <w:rFonts w:ascii="Aparajita" w:hAnsi="Aparajita" w:cs="Aparajita"/>
          <w:color w:val="000000"/>
          <w:sz w:val="24"/>
        </w:rPr>
        <w:t xml:space="preserve">, M., &amp; Garcia-Godoy, F. (2025). Dental Malpractice: Risk Factors, Causative Trends, Damages Assessment and Strategies for Prevention. </w:t>
      </w:r>
      <w:r w:rsidRPr="002D47B2">
        <w:rPr>
          <w:rFonts w:ascii="Aparajita" w:hAnsi="Aparajita" w:cs="Aparajita"/>
          <w:i/>
          <w:iCs/>
          <w:color w:val="000000"/>
          <w:sz w:val="24"/>
        </w:rPr>
        <w:t>Crimson Publishers</w:t>
      </w:r>
      <w:r w:rsidRPr="002D47B2">
        <w:rPr>
          <w:rFonts w:ascii="Aparajita" w:hAnsi="Aparajita" w:cs="Aparajita"/>
          <w:color w:val="000000"/>
          <w:sz w:val="24"/>
        </w:rPr>
        <w:t xml:space="preserve">, </w:t>
      </w:r>
      <w:r w:rsidRPr="002D47B2">
        <w:rPr>
          <w:rFonts w:ascii="Aparajita" w:hAnsi="Aparajita" w:cs="Aparajita"/>
          <w:i/>
          <w:iCs/>
          <w:color w:val="000000"/>
          <w:sz w:val="24"/>
        </w:rPr>
        <w:t>8</w:t>
      </w:r>
      <w:r w:rsidRPr="002D47B2">
        <w:rPr>
          <w:rFonts w:ascii="Aparajita" w:hAnsi="Aparajita" w:cs="Aparajita"/>
          <w:color w:val="000000"/>
          <w:sz w:val="24"/>
        </w:rPr>
        <w:t>(3), 837–853. https://doi.org/10.31031/MRD.2025.08.000689</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Nazia</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Zareen</w:t>
      </w:r>
      <w:proofErr w:type="spellEnd"/>
      <w:r w:rsidRPr="002D47B2">
        <w:rPr>
          <w:rFonts w:ascii="Aparajita" w:hAnsi="Aparajita" w:cs="Aparajita"/>
          <w:color w:val="000000"/>
          <w:sz w:val="24"/>
        </w:rPr>
        <w:t xml:space="preserve">, I., &amp; </w:t>
      </w:r>
      <w:proofErr w:type="spellStart"/>
      <w:r w:rsidRPr="002D47B2">
        <w:rPr>
          <w:rFonts w:ascii="Aparajita" w:hAnsi="Aparajita" w:cs="Aparajita"/>
          <w:color w:val="000000"/>
          <w:sz w:val="24"/>
        </w:rPr>
        <w:t>Bhoj</w:t>
      </w:r>
      <w:proofErr w:type="spellEnd"/>
      <w:r w:rsidRPr="002D47B2">
        <w:rPr>
          <w:rFonts w:ascii="Aparajita" w:hAnsi="Aparajita" w:cs="Aparajita"/>
          <w:color w:val="000000"/>
          <w:sz w:val="24"/>
        </w:rPr>
        <w:t xml:space="preserve">, M. (2019). Awareness of medicolegal aspects among dental practitioners. </w:t>
      </w:r>
      <w:r w:rsidRPr="002D47B2">
        <w:rPr>
          <w:rFonts w:ascii="Aparajita" w:hAnsi="Aparajita" w:cs="Aparajita"/>
          <w:i/>
          <w:iCs/>
          <w:color w:val="000000"/>
          <w:sz w:val="24"/>
        </w:rPr>
        <w:t>Drug Invention Today</w:t>
      </w:r>
      <w:r w:rsidRPr="002D47B2">
        <w:rPr>
          <w:rFonts w:ascii="Aparajita" w:hAnsi="Aparajita" w:cs="Aparajita"/>
          <w:color w:val="000000"/>
          <w:sz w:val="24"/>
        </w:rPr>
        <w:t xml:space="preserve">, </w:t>
      </w:r>
      <w:r w:rsidRPr="002D47B2">
        <w:rPr>
          <w:rFonts w:ascii="Aparajita" w:hAnsi="Aparajita" w:cs="Aparajita"/>
          <w:i/>
          <w:iCs/>
          <w:color w:val="000000"/>
          <w:sz w:val="24"/>
        </w:rPr>
        <w:t>11</w:t>
      </w:r>
      <w:r w:rsidRPr="002D47B2">
        <w:rPr>
          <w:rFonts w:ascii="Aparajita" w:hAnsi="Aparajita" w:cs="Aparajita"/>
          <w:color w:val="000000"/>
          <w:sz w:val="24"/>
        </w:rPr>
        <w:t>(Special Issue</w:t>
      </w:r>
      <w:proofErr w:type="gramStart"/>
      <w:r w:rsidRPr="002D47B2">
        <w:rPr>
          <w:rFonts w:ascii="Aparajita" w:hAnsi="Aparajita" w:cs="Aparajita"/>
          <w:color w:val="000000"/>
          <w:sz w:val="24"/>
        </w:rPr>
        <w:t>  2</w:t>
      </w:r>
      <w:proofErr w:type="gramEnd"/>
      <w:r w:rsidRPr="002D47B2">
        <w:rPr>
          <w:rFonts w:ascii="Aparajita" w:hAnsi="Aparajita" w:cs="Aparajita"/>
          <w:color w:val="000000"/>
          <w:sz w:val="24"/>
        </w:rPr>
        <w:t>).</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Nijhawan</w:t>
      </w:r>
      <w:proofErr w:type="spellEnd"/>
      <w:r w:rsidRPr="002D47B2">
        <w:rPr>
          <w:rFonts w:ascii="Aparajita" w:hAnsi="Aparajita" w:cs="Aparajita"/>
          <w:color w:val="000000"/>
          <w:sz w:val="24"/>
        </w:rPr>
        <w:t xml:space="preserve">, L., </w:t>
      </w:r>
      <w:proofErr w:type="spellStart"/>
      <w:r w:rsidRPr="002D47B2">
        <w:rPr>
          <w:rFonts w:ascii="Aparajita" w:hAnsi="Aparajita" w:cs="Aparajita"/>
          <w:color w:val="000000"/>
          <w:sz w:val="24"/>
        </w:rPr>
        <w:t>Janodia</w:t>
      </w:r>
      <w:proofErr w:type="spellEnd"/>
      <w:r w:rsidRPr="002D47B2">
        <w:rPr>
          <w:rFonts w:ascii="Aparajita" w:hAnsi="Aparajita" w:cs="Aparajita"/>
          <w:color w:val="000000"/>
          <w:sz w:val="24"/>
        </w:rPr>
        <w:t xml:space="preserve">, M., </w:t>
      </w:r>
      <w:proofErr w:type="spellStart"/>
      <w:r w:rsidRPr="002D47B2">
        <w:rPr>
          <w:rFonts w:ascii="Aparajita" w:hAnsi="Aparajita" w:cs="Aparajita"/>
          <w:color w:val="000000"/>
          <w:sz w:val="24"/>
        </w:rPr>
        <w:t>Muddukrishna</w:t>
      </w:r>
      <w:proofErr w:type="spellEnd"/>
      <w:r w:rsidRPr="002D47B2">
        <w:rPr>
          <w:rFonts w:ascii="Aparajita" w:hAnsi="Aparajita" w:cs="Aparajita"/>
          <w:color w:val="000000"/>
          <w:sz w:val="24"/>
        </w:rPr>
        <w:t xml:space="preserve">, B., Bhat, K., </w:t>
      </w:r>
      <w:proofErr w:type="spellStart"/>
      <w:r w:rsidRPr="002D47B2">
        <w:rPr>
          <w:rFonts w:ascii="Aparajita" w:hAnsi="Aparajita" w:cs="Aparajita"/>
          <w:color w:val="000000"/>
          <w:sz w:val="24"/>
        </w:rPr>
        <w:t>Bairy</w:t>
      </w:r>
      <w:proofErr w:type="spellEnd"/>
      <w:r w:rsidRPr="002D47B2">
        <w:rPr>
          <w:rFonts w:ascii="Aparajita" w:hAnsi="Aparajita" w:cs="Aparajita"/>
          <w:color w:val="000000"/>
          <w:sz w:val="24"/>
        </w:rPr>
        <w:t xml:space="preserve">, K., </w:t>
      </w:r>
      <w:proofErr w:type="spellStart"/>
      <w:r w:rsidRPr="002D47B2">
        <w:rPr>
          <w:rFonts w:ascii="Aparajita" w:hAnsi="Aparajita" w:cs="Aparajita"/>
          <w:color w:val="000000"/>
          <w:sz w:val="24"/>
        </w:rPr>
        <w:t>Udupa</w:t>
      </w:r>
      <w:proofErr w:type="spellEnd"/>
      <w:r w:rsidRPr="002D47B2">
        <w:rPr>
          <w:rFonts w:ascii="Aparajita" w:hAnsi="Aparajita" w:cs="Aparajita"/>
          <w:color w:val="000000"/>
          <w:sz w:val="24"/>
        </w:rPr>
        <w:t xml:space="preserve">, N., &amp; </w:t>
      </w:r>
      <w:proofErr w:type="spellStart"/>
      <w:r w:rsidRPr="002D47B2">
        <w:rPr>
          <w:rFonts w:ascii="Aparajita" w:hAnsi="Aparajita" w:cs="Aparajita"/>
          <w:color w:val="000000"/>
          <w:sz w:val="24"/>
        </w:rPr>
        <w:t>Musmade</w:t>
      </w:r>
      <w:proofErr w:type="spellEnd"/>
      <w:r w:rsidRPr="002D47B2">
        <w:rPr>
          <w:rFonts w:ascii="Aparajita" w:hAnsi="Aparajita" w:cs="Aparajita"/>
          <w:color w:val="000000"/>
          <w:sz w:val="24"/>
        </w:rPr>
        <w:t xml:space="preserve">, P. (2013). Informed consent: Issues and challenges. In </w:t>
      </w:r>
      <w:r w:rsidRPr="002D47B2">
        <w:rPr>
          <w:rFonts w:ascii="Aparajita" w:hAnsi="Aparajita" w:cs="Aparajita"/>
          <w:i/>
          <w:iCs/>
          <w:color w:val="000000"/>
          <w:sz w:val="24"/>
        </w:rPr>
        <w:t>Journal of Advanced Pharmaceutical Technology and Research</w:t>
      </w:r>
      <w:r w:rsidRPr="002D47B2">
        <w:rPr>
          <w:rFonts w:ascii="Aparajita" w:hAnsi="Aparajita" w:cs="Aparajita"/>
          <w:color w:val="000000"/>
          <w:sz w:val="24"/>
        </w:rPr>
        <w:t xml:space="preserve"> (Vol. 4, Issue 3, pp. 134–140). Wolters Kluwer </w:t>
      </w:r>
      <w:proofErr w:type="spellStart"/>
      <w:r w:rsidRPr="002D47B2">
        <w:rPr>
          <w:rFonts w:ascii="Aparajita" w:hAnsi="Aparajita" w:cs="Aparajita"/>
          <w:color w:val="000000"/>
          <w:sz w:val="24"/>
        </w:rPr>
        <w:t>Medknow</w:t>
      </w:r>
      <w:proofErr w:type="spellEnd"/>
      <w:r w:rsidRPr="002D47B2">
        <w:rPr>
          <w:rFonts w:ascii="Aparajita" w:hAnsi="Aparajita" w:cs="Aparajita"/>
          <w:color w:val="000000"/>
          <w:sz w:val="24"/>
        </w:rPr>
        <w:t xml:space="preserve"> Publications. https://doi.org/10.4103/2231-4040.116779</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Pavičin</w:t>
      </w:r>
      <w:proofErr w:type="spellEnd"/>
      <w:r w:rsidRPr="002D47B2">
        <w:rPr>
          <w:rFonts w:ascii="Aparajita" w:hAnsi="Aparajita" w:cs="Aparajita"/>
          <w:color w:val="000000"/>
          <w:sz w:val="24"/>
        </w:rPr>
        <w:t xml:space="preserve">, I. S., </w:t>
      </w:r>
      <w:proofErr w:type="spellStart"/>
      <w:r w:rsidRPr="002D47B2">
        <w:rPr>
          <w:rFonts w:ascii="Aparajita" w:hAnsi="Aparajita" w:cs="Aparajita"/>
          <w:color w:val="000000"/>
          <w:sz w:val="24"/>
        </w:rPr>
        <w:t>Jonjić</w:t>
      </w:r>
      <w:proofErr w:type="spellEnd"/>
      <w:r w:rsidRPr="002D47B2">
        <w:rPr>
          <w:rFonts w:ascii="Aparajita" w:hAnsi="Aparajita" w:cs="Aparajita"/>
          <w:color w:val="000000"/>
          <w:sz w:val="24"/>
        </w:rPr>
        <w:t xml:space="preserve">, A., </w:t>
      </w:r>
      <w:proofErr w:type="spellStart"/>
      <w:r w:rsidRPr="002D47B2">
        <w:rPr>
          <w:rFonts w:ascii="Aparajita" w:hAnsi="Aparajita" w:cs="Aparajita"/>
          <w:color w:val="000000"/>
          <w:sz w:val="24"/>
        </w:rPr>
        <w:t>Maretić</w:t>
      </w:r>
      <w:proofErr w:type="spellEnd"/>
      <w:r w:rsidRPr="002D47B2">
        <w:rPr>
          <w:rFonts w:ascii="Aparajita" w:hAnsi="Aparajita" w:cs="Aparajita"/>
          <w:color w:val="000000"/>
          <w:sz w:val="24"/>
        </w:rPr>
        <w:t xml:space="preserve">, I., </w:t>
      </w:r>
      <w:proofErr w:type="spellStart"/>
      <w:r w:rsidRPr="002D47B2">
        <w:rPr>
          <w:rFonts w:ascii="Aparajita" w:hAnsi="Aparajita" w:cs="Aparajita"/>
          <w:color w:val="000000"/>
          <w:sz w:val="24"/>
        </w:rPr>
        <w:t>Dumančić</w:t>
      </w:r>
      <w:proofErr w:type="spellEnd"/>
      <w:r w:rsidRPr="002D47B2">
        <w:rPr>
          <w:rFonts w:ascii="Aparajita" w:hAnsi="Aparajita" w:cs="Aparajita"/>
          <w:color w:val="000000"/>
          <w:sz w:val="24"/>
        </w:rPr>
        <w:t xml:space="preserve">, J., &amp; </w:t>
      </w:r>
      <w:proofErr w:type="spellStart"/>
      <w:r w:rsidRPr="002D47B2">
        <w:rPr>
          <w:rFonts w:ascii="Aparajita" w:hAnsi="Aparajita" w:cs="Aparajita"/>
          <w:color w:val="000000"/>
          <w:sz w:val="24"/>
        </w:rPr>
        <w:t>Zymber</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Çeshko</w:t>
      </w:r>
      <w:proofErr w:type="spellEnd"/>
      <w:r w:rsidRPr="002D47B2">
        <w:rPr>
          <w:rFonts w:ascii="Aparajita" w:hAnsi="Aparajita" w:cs="Aparajita"/>
          <w:color w:val="000000"/>
          <w:sz w:val="24"/>
        </w:rPr>
        <w:t xml:space="preserve">, A. (2021). Maintenance of dental records and forensic odontology awareness: A survey of </w:t>
      </w:r>
      <w:proofErr w:type="spellStart"/>
      <w:proofErr w:type="gramStart"/>
      <w:r w:rsidRPr="002D47B2">
        <w:rPr>
          <w:rFonts w:ascii="Aparajita" w:hAnsi="Aparajita" w:cs="Aparajita"/>
          <w:color w:val="000000"/>
          <w:sz w:val="24"/>
        </w:rPr>
        <w:t>croatian</w:t>
      </w:r>
      <w:proofErr w:type="spellEnd"/>
      <w:proofErr w:type="gramEnd"/>
      <w:r w:rsidRPr="002D47B2">
        <w:rPr>
          <w:rFonts w:ascii="Aparajita" w:hAnsi="Aparajita" w:cs="Aparajita"/>
          <w:color w:val="000000"/>
          <w:sz w:val="24"/>
        </w:rPr>
        <w:t xml:space="preserve"> dentists with implications for dental education. </w:t>
      </w:r>
      <w:r w:rsidRPr="002D47B2">
        <w:rPr>
          <w:rFonts w:ascii="Aparajita" w:hAnsi="Aparajita" w:cs="Aparajita"/>
          <w:i/>
          <w:iCs/>
          <w:color w:val="000000"/>
          <w:sz w:val="24"/>
        </w:rPr>
        <w:t>Dentistry Journal</w:t>
      </w:r>
      <w:r w:rsidRPr="002D47B2">
        <w:rPr>
          <w:rFonts w:ascii="Aparajita" w:hAnsi="Aparajita" w:cs="Aparajita"/>
          <w:color w:val="000000"/>
          <w:sz w:val="24"/>
        </w:rPr>
        <w:t xml:space="preserve">, </w:t>
      </w:r>
      <w:r w:rsidRPr="002D47B2">
        <w:rPr>
          <w:rFonts w:ascii="Aparajita" w:hAnsi="Aparajita" w:cs="Aparajita"/>
          <w:i/>
          <w:iCs/>
          <w:color w:val="000000"/>
          <w:sz w:val="24"/>
        </w:rPr>
        <w:t>9</w:t>
      </w:r>
      <w:r w:rsidRPr="002D47B2">
        <w:rPr>
          <w:rFonts w:ascii="Aparajita" w:hAnsi="Aparajita" w:cs="Aparajita"/>
          <w:color w:val="000000"/>
          <w:sz w:val="24"/>
        </w:rPr>
        <w:t>(4). https://doi.org/10.3390/dj9040037</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Prayuti</w:t>
      </w:r>
      <w:proofErr w:type="spellEnd"/>
      <w:r w:rsidRPr="002D47B2">
        <w:rPr>
          <w:rFonts w:ascii="Aparajita" w:hAnsi="Aparajita" w:cs="Aparajita"/>
          <w:color w:val="000000"/>
          <w:sz w:val="24"/>
        </w:rPr>
        <w:t xml:space="preserve">, A. (2025). Legal implications of Law Number 17 of 2023 on Health for SOPs and risk management in hospitals. In </w:t>
      </w:r>
      <w:r w:rsidRPr="002D47B2">
        <w:rPr>
          <w:rFonts w:ascii="Aparajita" w:hAnsi="Aparajita" w:cs="Aparajita"/>
          <w:i/>
          <w:iCs/>
          <w:color w:val="000000"/>
          <w:sz w:val="24"/>
        </w:rPr>
        <w:t>Research Horizon</w:t>
      </w:r>
      <w:r w:rsidRPr="002D47B2">
        <w:rPr>
          <w:rFonts w:ascii="Aparajita" w:hAnsi="Aparajita" w:cs="Aparajita"/>
          <w:color w:val="000000"/>
          <w:sz w:val="24"/>
        </w:rPr>
        <w:t xml:space="preserve"> (Vol. 5, Issue 6).</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Purbaningrum</w:t>
      </w:r>
      <w:proofErr w:type="spellEnd"/>
      <w:r w:rsidRPr="002D47B2">
        <w:rPr>
          <w:rFonts w:ascii="Aparajita" w:hAnsi="Aparajita" w:cs="Aparajita"/>
          <w:color w:val="000000"/>
          <w:sz w:val="24"/>
        </w:rPr>
        <w:t xml:space="preserve">, I. A., &amp; </w:t>
      </w:r>
      <w:proofErr w:type="spellStart"/>
      <w:r w:rsidRPr="002D47B2">
        <w:rPr>
          <w:rFonts w:ascii="Aparajita" w:hAnsi="Aparajita" w:cs="Aparajita"/>
          <w:color w:val="000000"/>
          <w:sz w:val="24"/>
        </w:rPr>
        <w:t>Dyah</w:t>
      </w:r>
      <w:proofErr w:type="spellEnd"/>
      <w:r w:rsidRPr="002D47B2">
        <w:rPr>
          <w:rFonts w:ascii="Aparajita" w:hAnsi="Aparajita" w:cs="Aparajita"/>
          <w:color w:val="000000"/>
          <w:sz w:val="24"/>
        </w:rPr>
        <w:t xml:space="preserve"> </w:t>
      </w:r>
      <w:proofErr w:type="spellStart"/>
      <w:r w:rsidRPr="002D47B2">
        <w:rPr>
          <w:rFonts w:ascii="Aparajita" w:hAnsi="Aparajita" w:cs="Aparajita"/>
          <w:color w:val="000000"/>
          <w:sz w:val="24"/>
        </w:rPr>
        <w:t>Suprobowati</w:t>
      </w:r>
      <w:proofErr w:type="spellEnd"/>
      <w:r w:rsidRPr="002D47B2">
        <w:rPr>
          <w:rFonts w:ascii="Aparajita" w:hAnsi="Aparajita" w:cs="Aparajita"/>
          <w:color w:val="000000"/>
          <w:sz w:val="24"/>
        </w:rPr>
        <w:t xml:space="preserve">, G. (2024). Construction of Hospital by </w:t>
      </w:r>
      <w:r w:rsidRPr="002D47B2">
        <w:rPr>
          <w:rFonts w:ascii="Aparajita" w:hAnsi="Aparajita" w:cs="Aparajita"/>
          <w:color w:val="000000"/>
          <w:sz w:val="24"/>
        </w:rPr>
        <w:lastRenderedPageBreak/>
        <w:t xml:space="preserve">Laws in Realizing Hospital Clinical Governance. </w:t>
      </w:r>
      <w:r w:rsidRPr="002D47B2">
        <w:rPr>
          <w:rFonts w:ascii="Aparajita" w:hAnsi="Aparajita" w:cs="Aparajita"/>
          <w:i/>
          <w:iCs/>
          <w:color w:val="000000"/>
          <w:sz w:val="24"/>
        </w:rPr>
        <w:t>IJLCJ: International Journal of Law, Crime and Justice</w:t>
      </w:r>
      <w:r w:rsidRPr="002D47B2">
        <w:rPr>
          <w:rFonts w:ascii="Aparajita" w:hAnsi="Aparajita" w:cs="Aparajita"/>
          <w:color w:val="000000"/>
          <w:sz w:val="24"/>
        </w:rPr>
        <w:t xml:space="preserve">, </w:t>
      </w:r>
      <w:r w:rsidRPr="002D47B2">
        <w:rPr>
          <w:rFonts w:ascii="Aparajita" w:hAnsi="Aparajita" w:cs="Aparajita"/>
          <w:i/>
          <w:iCs/>
          <w:color w:val="000000"/>
          <w:sz w:val="24"/>
        </w:rPr>
        <w:t>1</w:t>
      </w:r>
      <w:r w:rsidRPr="002D47B2">
        <w:rPr>
          <w:rFonts w:ascii="Aparajita" w:hAnsi="Aparajita" w:cs="Aparajita"/>
          <w:color w:val="000000"/>
          <w:sz w:val="24"/>
        </w:rPr>
        <w:t>(4), 10–18. https://doi.org/10.62951/ijlcj.v1i4.206</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Radu</w:t>
      </w:r>
      <w:proofErr w:type="spellEnd"/>
      <w:r w:rsidRPr="002D47B2">
        <w:rPr>
          <w:rFonts w:ascii="Aparajita" w:hAnsi="Aparajita" w:cs="Aparajita"/>
          <w:color w:val="000000"/>
          <w:sz w:val="24"/>
        </w:rPr>
        <w:t xml:space="preserve">, C. C., </w:t>
      </w:r>
      <w:proofErr w:type="spellStart"/>
      <w:r w:rsidRPr="002D47B2">
        <w:rPr>
          <w:rFonts w:ascii="Aparajita" w:hAnsi="Aparajita" w:cs="Aparajita"/>
          <w:color w:val="000000"/>
          <w:sz w:val="24"/>
        </w:rPr>
        <w:t>Hogea</w:t>
      </w:r>
      <w:proofErr w:type="spellEnd"/>
      <w:r w:rsidRPr="002D47B2">
        <w:rPr>
          <w:rFonts w:ascii="Aparajita" w:hAnsi="Aparajita" w:cs="Aparajita"/>
          <w:color w:val="000000"/>
          <w:sz w:val="24"/>
        </w:rPr>
        <w:t xml:space="preserve">, T., </w:t>
      </w:r>
      <w:proofErr w:type="spellStart"/>
      <w:r w:rsidRPr="002D47B2">
        <w:rPr>
          <w:rFonts w:ascii="Aparajita" w:hAnsi="Aparajita" w:cs="Aparajita"/>
          <w:color w:val="000000"/>
          <w:sz w:val="24"/>
        </w:rPr>
        <w:t>Carașca</w:t>
      </w:r>
      <w:proofErr w:type="spellEnd"/>
      <w:r w:rsidRPr="002D47B2">
        <w:rPr>
          <w:rFonts w:ascii="Aparajita" w:hAnsi="Aparajita" w:cs="Aparajita"/>
          <w:color w:val="000000"/>
          <w:sz w:val="24"/>
        </w:rPr>
        <w:t xml:space="preserve">, C., &amp; </w:t>
      </w:r>
      <w:proofErr w:type="spellStart"/>
      <w:r w:rsidRPr="002D47B2">
        <w:rPr>
          <w:rFonts w:ascii="Aparajita" w:hAnsi="Aparajita" w:cs="Aparajita"/>
          <w:color w:val="000000"/>
          <w:sz w:val="24"/>
        </w:rPr>
        <w:t>Radu</w:t>
      </w:r>
      <w:proofErr w:type="spellEnd"/>
      <w:r w:rsidRPr="002D47B2">
        <w:rPr>
          <w:rFonts w:ascii="Aparajita" w:hAnsi="Aparajita" w:cs="Aparajita"/>
          <w:color w:val="000000"/>
          <w:sz w:val="24"/>
        </w:rPr>
        <w:t xml:space="preserve">, C.-M. (2025). Forensic Odontology in the Digital Era: A Narrative Review of Current Methods and Emerging Trends. </w:t>
      </w:r>
      <w:r w:rsidRPr="002D47B2">
        <w:rPr>
          <w:rFonts w:ascii="Aparajita" w:hAnsi="Aparajita" w:cs="Aparajita"/>
          <w:i/>
          <w:iCs/>
          <w:color w:val="000000"/>
          <w:sz w:val="24"/>
        </w:rPr>
        <w:t>Diagnostics</w:t>
      </w:r>
      <w:r w:rsidRPr="002D47B2">
        <w:rPr>
          <w:rFonts w:ascii="Aparajita" w:hAnsi="Aparajita" w:cs="Aparajita"/>
          <w:color w:val="000000"/>
          <w:sz w:val="24"/>
        </w:rPr>
        <w:t xml:space="preserve">, </w:t>
      </w:r>
      <w:r w:rsidRPr="002D47B2">
        <w:rPr>
          <w:rFonts w:ascii="Aparajita" w:hAnsi="Aparajita" w:cs="Aparajita"/>
          <w:i/>
          <w:iCs/>
          <w:color w:val="000000"/>
          <w:sz w:val="24"/>
        </w:rPr>
        <w:t>15</w:t>
      </w:r>
      <w:r w:rsidRPr="002D47B2">
        <w:rPr>
          <w:rFonts w:ascii="Aparajita" w:hAnsi="Aparajita" w:cs="Aparajita"/>
          <w:color w:val="000000"/>
          <w:sz w:val="24"/>
        </w:rPr>
        <w:t>(20), 2550. https://doi.org/10.3390/diagnostics15202550</w:t>
      </w:r>
    </w:p>
    <w:p w:rsidR="00FE4B9F" w:rsidRPr="002D47B2" w:rsidRDefault="00FE4B9F" w:rsidP="002D47B2">
      <w:pPr>
        <w:pStyle w:val="ListParagraph"/>
        <w:numPr>
          <w:ilvl w:val="0"/>
          <w:numId w:val="5"/>
        </w:numPr>
        <w:rPr>
          <w:rFonts w:ascii="Aparajita" w:hAnsi="Aparajita" w:cs="Aparajita"/>
          <w:color w:val="000000"/>
          <w:sz w:val="24"/>
        </w:rPr>
      </w:pPr>
      <w:proofErr w:type="spellStart"/>
      <w:r w:rsidRPr="002D47B2">
        <w:rPr>
          <w:rFonts w:ascii="Aparajita" w:hAnsi="Aparajita" w:cs="Aparajita"/>
          <w:color w:val="000000"/>
          <w:sz w:val="24"/>
        </w:rPr>
        <w:t>Vitrianingsih</w:t>
      </w:r>
      <w:proofErr w:type="spellEnd"/>
      <w:r w:rsidRPr="002D47B2">
        <w:rPr>
          <w:rFonts w:ascii="Aparajita" w:hAnsi="Aparajita" w:cs="Aparajita"/>
          <w:color w:val="000000"/>
          <w:sz w:val="24"/>
        </w:rPr>
        <w:t xml:space="preserve">, Y., </w:t>
      </w:r>
      <w:proofErr w:type="spellStart"/>
      <w:r w:rsidRPr="002D47B2">
        <w:rPr>
          <w:rFonts w:ascii="Aparajita" w:hAnsi="Aparajita" w:cs="Aparajita"/>
          <w:color w:val="000000"/>
          <w:sz w:val="24"/>
        </w:rPr>
        <w:t>Rachmad</w:t>
      </w:r>
      <w:proofErr w:type="spellEnd"/>
      <w:r w:rsidRPr="002D47B2">
        <w:rPr>
          <w:rFonts w:ascii="Aparajita" w:hAnsi="Aparajita" w:cs="Aparajita"/>
          <w:color w:val="000000"/>
          <w:sz w:val="24"/>
        </w:rPr>
        <w:t xml:space="preserve">, F., </w:t>
      </w:r>
      <w:proofErr w:type="spellStart"/>
      <w:r w:rsidRPr="002D47B2">
        <w:rPr>
          <w:rFonts w:ascii="Aparajita" w:hAnsi="Aparajita" w:cs="Aparajita"/>
          <w:color w:val="000000"/>
          <w:sz w:val="24"/>
        </w:rPr>
        <w:t>Miarsa</w:t>
      </w:r>
      <w:proofErr w:type="spellEnd"/>
      <w:r w:rsidRPr="002D47B2">
        <w:rPr>
          <w:rFonts w:ascii="Aparajita" w:hAnsi="Aparajita" w:cs="Aparajita"/>
          <w:color w:val="000000"/>
          <w:sz w:val="24"/>
        </w:rPr>
        <w:t xml:space="preserve">, D., &amp; </w:t>
      </w:r>
      <w:proofErr w:type="spellStart"/>
      <w:r w:rsidRPr="002D47B2">
        <w:rPr>
          <w:rFonts w:ascii="Aparajita" w:hAnsi="Aparajita" w:cs="Aparajita"/>
          <w:color w:val="000000"/>
          <w:sz w:val="24"/>
        </w:rPr>
        <w:t>Yahya</w:t>
      </w:r>
      <w:proofErr w:type="spellEnd"/>
      <w:r w:rsidRPr="002D47B2">
        <w:rPr>
          <w:rFonts w:ascii="Aparajita" w:hAnsi="Aparajita" w:cs="Aparajita"/>
          <w:color w:val="000000"/>
          <w:sz w:val="24"/>
        </w:rPr>
        <w:t xml:space="preserve">, D. (2025). </w:t>
      </w:r>
      <w:r w:rsidRPr="002D47B2">
        <w:rPr>
          <w:rFonts w:ascii="Aparajita" w:hAnsi="Aparajita" w:cs="Aparajita"/>
          <w:i/>
          <w:iCs/>
          <w:color w:val="000000"/>
          <w:sz w:val="24"/>
        </w:rPr>
        <w:t>The Legal Responsibility of Hospitals in Medical Malpractice Cases After the Issuance of the Health Law in 2023</w:t>
      </w:r>
      <w:r w:rsidRPr="002D47B2">
        <w:rPr>
          <w:rFonts w:ascii="Aparajita" w:hAnsi="Aparajita" w:cs="Aparajita"/>
          <w:color w:val="000000"/>
          <w:sz w:val="24"/>
        </w:rPr>
        <w:t xml:space="preserve"> (Vol. 14, Issue 2). https://legal.isha.or.id/index.php/legal/index</w:t>
      </w:r>
    </w:p>
    <w:p w:rsidR="00560547" w:rsidRDefault="00560547">
      <w:pPr>
        <w:pBdr>
          <w:top w:val="nil"/>
          <w:left w:val="nil"/>
          <w:bottom w:val="nil"/>
          <w:right w:val="nil"/>
          <w:between w:val="nil"/>
        </w:pBdr>
        <w:ind w:firstLine="567"/>
        <w:jc w:val="both"/>
        <w:rPr>
          <w:color w:val="000000"/>
        </w:rPr>
      </w:pPr>
    </w:p>
    <w:sectPr w:rsidR="00560547">
      <w:headerReference w:type="default" r:id="rId12"/>
      <w:footerReference w:type="default" r:id="rId13"/>
      <w:footerReference w:type="first" r:id="rId14"/>
      <w:pgSz w:w="11906" w:h="16838"/>
      <w:pgMar w:top="1560" w:right="1440" w:bottom="1440" w:left="1440" w:header="794" w:footer="17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12EE" w:rsidRDefault="002212EE">
      <w:pPr>
        <w:spacing w:after="0"/>
      </w:pPr>
      <w:r>
        <w:separator/>
      </w:r>
    </w:p>
  </w:endnote>
  <w:endnote w:type="continuationSeparator" w:id="0">
    <w:p w:rsidR="002212EE" w:rsidRDefault="002212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wentieth Century">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arajita">
    <w:altName w:val="Times New Roman"/>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0547" w:rsidRDefault="002212EE">
    <w:pPr>
      <w:pBdr>
        <w:top w:val="nil"/>
        <w:left w:val="nil"/>
        <w:bottom w:val="nil"/>
        <w:right w:val="nil"/>
        <w:between w:val="nil"/>
      </w:pBdr>
      <w:tabs>
        <w:tab w:val="center" w:pos="4513"/>
        <w:tab w:val="right" w:pos="9026"/>
      </w:tabs>
      <w:jc w:val="center"/>
      <w:rPr>
        <w:smallCaps/>
        <w:color w:val="000000"/>
      </w:rPr>
    </w:pPr>
    <w:r>
      <w:rPr>
        <w:smallCaps/>
        <w:color w:val="000000"/>
      </w:rPr>
      <w:fldChar w:fldCharType="begin"/>
    </w:r>
    <w:r>
      <w:rPr>
        <w:smallCaps/>
        <w:color w:val="000000"/>
      </w:rPr>
      <w:instrText>PAGE</w:instrText>
    </w:r>
    <w:r w:rsidR="008720FA">
      <w:rPr>
        <w:smallCaps/>
        <w:color w:val="000000"/>
      </w:rPr>
      <w:fldChar w:fldCharType="separate"/>
    </w:r>
    <w:r w:rsidR="00111BE6">
      <w:rPr>
        <w:smallCaps/>
        <w:noProof/>
        <w:color w:val="000000"/>
      </w:rPr>
      <w:t>1</w:t>
    </w:r>
    <w:r>
      <w:rPr>
        <w:smallCaps/>
        <w:color w:val="000000"/>
      </w:rPr>
      <w:fldChar w:fldCharType="end"/>
    </w:r>
  </w:p>
  <w:p w:rsidR="00560547" w:rsidRDefault="0056054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0547" w:rsidRDefault="002212EE">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t xml:space="preserve">Copyright @2024 </w:t>
    </w:r>
    <w:r>
      <w:rPr>
        <w:color w:val="000000"/>
        <w:sz w:val="16"/>
        <w:szCs w:val="16"/>
      </w:rPr>
      <w:t>First Author, Second Author, Third Author.</w:t>
    </w:r>
    <w:r>
      <w:rPr>
        <w:noProof/>
      </w:rPr>
      <w:drawing>
        <wp:anchor distT="0" distB="0" distL="0" distR="0" simplePos="0" relativeHeight="251658240" behindDoc="0" locked="0" layoutInCell="1" hidden="0" allowOverlap="1" wp14:anchorId="67BBB283" wp14:editId="26BC2A60">
          <wp:simplePos x="0" y="0"/>
          <wp:positionH relativeFrom="column">
            <wp:posOffset>28152</wp:posOffset>
          </wp:positionH>
          <wp:positionV relativeFrom="paragraph">
            <wp:posOffset>8255</wp:posOffset>
          </wp:positionV>
          <wp:extent cx="736600" cy="259512"/>
          <wp:effectExtent l="0" t="0" r="0" b="0"/>
          <wp:wrapNone/>
          <wp:docPr id="1999032398" name="image6.jpg" descr="A black and white sign with a person in a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black and white sign with a person in a circle&#10;&#10;Description automatically generated"/>
                  <pic:cNvPicPr preferRelativeResize="0"/>
                </pic:nvPicPr>
                <pic:blipFill>
                  <a:blip r:embed="rId1"/>
                  <a:srcRect/>
                  <a:stretch>
                    <a:fillRect/>
                  </a:stretch>
                </pic:blipFill>
                <pic:spPr>
                  <a:xfrm>
                    <a:off x="0" y="0"/>
                    <a:ext cx="736600" cy="259512"/>
                  </a:xfrm>
                  <a:prstGeom prst="rect">
                    <a:avLst/>
                  </a:prstGeom>
                  <a:ln/>
                </pic:spPr>
              </pic:pic>
            </a:graphicData>
          </a:graphic>
        </wp:anchor>
      </w:drawing>
    </w:r>
  </w:p>
  <w:p w:rsidR="00560547" w:rsidRDefault="002212EE">
    <w:pPr>
      <w:pBdr>
        <w:top w:val="nil"/>
        <w:left w:val="nil"/>
        <w:bottom w:val="nil"/>
        <w:right w:val="nil"/>
        <w:between w:val="nil"/>
      </w:pBdr>
      <w:tabs>
        <w:tab w:val="center" w:pos="4513"/>
        <w:tab w:val="right" w:pos="9026"/>
      </w:tabs>
      <w:jc w:val="center"/>
      <w:rPr>
        <w:smallCaps/>
        <w:color w:val="000000"/>
        <w:sz w:val="20"/>
        <w:szCs w:val="20"/>
      </w:rPr>
    </w:pPr>
    <w:r>
      <w:rPr>
        <w:color w:val="000000"/>
        <w:sz w:val="16"/>
        <w:szCs w:val="16"/>
      </w:rPr>
      <w:t xml:space="preserve">Licensee </w:t>
    </w:r>
    <w:proofErr w:type="spellStart"/>
    <w:r>
      <w:rPr>
        <w:color w:val="000000"/>
        <w:sz w:val="16"/>
        <w:szCs w:val="16"/>
      </w:rPr>
      <w:t>Universitas</w:t>
    </w:r>
    <w:proofErr w:type="spellEnd"/>
    <w:r>
      <w:rPr>
        <w:color w:val="000000"/>
        <w:sz w:val="16"/>
        <w:szCs w:val="16"/>
      </w:rPr>
      <w:t xml:space="preserve"> Islam Indonesia</w:t>
    </w:r>
  </w:p>
  <w:p w:rsidR="00560547" w:rsidRDefault="00560547">
    <w:pPr>
      <w:pBdr>
        <w:top w:val="nil"/>
        <w:left w:val="nil"/>
        <w:bottom w:val="nil"/>
        <w:right w:val="nil"/>
        <w:between w:val="nil"/>
      </w:pBdr>
      <w:tabs>
        <w:tab w:val="center" w:pos="4513"/>
        <w:tab w:val="right" w:pos="9026"/>
      </w:tabs>
      <w:rPr>
        <w:color w:val="000000"/>
      </w:rPr>
    </w:pPr>
  </w:p>
  <w:p w:rsidR="00560547" w:rsidRDefault="002212EE">
    <w:r>
      <w:tab/>
    </w:r>
    <w:r>
      <w:tab/>
    </w:r>
    <w:r>
      <w:tab/>
    </w:r>
    <w:r>
      <w:tab/>
    </w:r>
    <w:r>
      <w:tab/>
    </w:r>
    <w:r>
      <w:tab/>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12EE" w:rsidRDefault="002212EE">
      <w:pPr>
        <w:spacing w:after="0"/>
      </w:pPr>
      <w:r>
        <w:separator/>
      </w:r>
    </w:p>
  </w:footnote>
  <w:footnote w:type="continuationSeparator" w:id="0">
    <w:p w:rsidR="002212EE" w:rsidRDefault="002212E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0547" w:rsidRDefault="002212EE">
    <w:pPr>
      <w:tabs>
        <w:tab w:val="left" w:pos="7716"/>
      </w:tabs>
    </w:pPr>
    <w:r>
      <w:rPr>
        <w:sz w:val="18"/>
        <w:szCs w:val="18"/>
      </w:rPr>
      <w:t>JKKI 2025</w:t>
    </w:r>
    <w:proofErr w:type="gramStart"/>
    <w:r>
      <w:rPr>
        <w:sz w:val="18"/>
        <w:szCs w:val="18"/>
      </w:rPr>
      <w:t>;15</w:t>
    </w:r>
    <w:proofErr w:type="gramEnd"/>
    <w:r>
      <w:rPr>
        <w:sz w:val="18"/>
        <w:szCs w:val="18"/>
      </w:rPr>
      <w:t>(2): xx-</w:t>
    </w:r>
    <w:proofErr w:type="spellStart"/>
    <w:r>
      <w:rPr>
        <w:sz w:val="18"/>
        <w:szCs w:val="18"/>
      </w:rPr>
      <w:t>yy</w:t>
    </w:r>
    <w:proofErr w:type="spellEnd"/>
    <w:r>
      <w:rPr>
        <w:sz w:val="18"/>
        <w:szCs w:val="18"/>
      </w:rPr>
      <w:t xml:space="preserve">  Last name first </w:t>
    </w:r>
    <w:proofErr w:type="spellStart"/>
    <w:r>
      <w:rPr>
        <w:sz w:val="18"/>
        <w:szCs w:val="18"/>
      </w:rPr>
      <w:t>athor</w:t>
    </w:r>
    <w:proofErr w:type="spellEnd"/>
    <w:r>
      <w:rPr>
        <w:sz w:val="18"/>
        <w:szCs w:val="18"/>
      </w:rPr>
      <w:t>, et al. Four word title…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50B34"/>
    <w:multiLevelType w:val="multilevel"/>
    <w:tmpl w:val="E536029E"/>
    <w:lvl w:ilvl="0">
      <w:start w:val="1"/>
      <w:numFmt w:val="bullet"/>
      <w:pStyle w:val="MDPI71Referen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EFB3C01"/>
    <w:multiLevelType w:val="multilevel"/>
    <w:tmpl w:val="8512A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5ADE47C2"/>
    <w:multiLevelType w:val="multilevel"/>
    <w:tmpl w:val="5EF0B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A5D4831"/>
    <w:multiLevelType w:val="hybridMultilevel"/>
    <w:tmpl w:val="6C742B1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B1963A9"/>
    <w:multiLevelType w:val="multilevel"/>
    <w:tmpl w:val="36667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60547"/>
    <w:rsid w:val="00111BE6"/>
    <w:rsid w:val="002212EE"/>
    <w:rsid w:val="002D47B2"/>
    <w:rsid w:val="00560547"/>
    <w:rsid w:val="00770F6A"/>
    <w:rsid w:val="008720FA"/>
    <w:rsid w:val="00FE4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2"/>
        <w:szCs w:val="22"/>
        <w:lang w:val="en-GB" w:eastAsia="en-US" w:bidi="ar-SA"/>
      </w:rPr>
    </w:rPrDefault>
    <w:pPrDefault>
      <w:pPr>
        <w:widowControl w:val="0"/>
        <w:spacing w:after="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E86"/>
    <w:pPr>
      <w:autoSpaceDE w:val="0"/>
      <w:autoSpaceDN w:val="0"/>
    </w:pPr>
    <w:rPr>
      <w:lang w:val="en-US"/>
    </w:rPr>
  </w:style>
  <w:style w:type="paragraph" w:styleId="Heading1">
    <w:name w:val="heading 1"/>
    <w:basedOn w:val="Normal"/>
    <w:next w:val="Normal"/>
    <w:link w:val="Heading1Char"/>
    <w:uiPriority w:val="9"/>
    <w:qFormat/>
    <w:rsid w:val="00A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2"/>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2"/>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7B0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7B0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A7B0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A7B0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A7B0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A7B0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A7B0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A7B0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A7B0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A7B02"/>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AA7B0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AA7B0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2"/>
    <w:rPr>
      <w:i/>
      <w:iCs/>
      <w:color w:val="404040" w:themeColor="text1" w:themeTint="BF"/>
      <w:lang w:val="id-ID"/>
    </w:rPr>
  </w:style>
  <w:style w:type="paragraph" w:styleId="ListParagraph">
    <w:name w:val="List Paragraph"/>
    <w:basedOn w:val="Normal"/>
    <w:link w:val="ListParagraphChar"/>
    <w:uiPriority w:val="34"/>
    <w:qFormat/>
    <w:rsid w:val="00AA7B02"/>
    <w:pPr>
      <w:ind w:left="720"/>
      <w:contextualSpacing/>
    </w:pPr>
  </w:style>
  <w:style w:type="character" w:styleId="IntenseEmphasis">
    <w:name w:val="Intense Emphasis"/>
    <w:basedOn w:val="DefaultParagraphFont"/>
    <w:uiPriority w:val="21"/>
    <w:qFormat/>
    <w:rsid w:val="00AA7B02"/>
    <w:rPr>
      <w:i/>
      <w:iCs/>
      <w:color w:val="0F4761" w:themeColor="accent1" w:themeShade="BF"/>
    </w:rPr>
  </w:style>
  <w:style w:type="paragraph" w:styleId="IntenseQuote">
    <w:name w:val="Intense Quote"/>
    <w:basedOn w:val="Normal"/>
    <w:next w:val="Normal"/>
    <w:link w:val="IntenseQuoteChar"/>
    <w:uiPriority w:val="30"/>
    <w:qFormat/>
    <w:rsid w:val="00A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2"/>
    <w:rPr>
      <w:i/>
      <w:iCs/>
      <w:color w:val="0F4761" w:themeColor="accent1" w:themeShade="BF"/>
      <w:lang w:val="id-ID"/>
    </w:rPr>
  </w:style>
  <w:style w:type="character" w:styleId="IntenseReference">
    <w:name w:val="Intense Reference"/>
    <w:basedOn w:val="DefaultParagraphFont"/>
    <w:uiPriority w:val="32"/>
    <w:qFormat/>
    <w:rsid w:val="00AA7B02"/>
    <w:rPr>
      <w:b/>
      <w:bCs/>
      <w:smallCaps/>
      <w:color w:val="0F4761" w:themeColor="accent1" w:themeShade="BF"/>
      <w:spacing w:val="5"/>
    </w:rPr>
  </w:style>
  <w:style w:type="paragraph" w:styleId="Header">
    <w:name w:val="header"/>
    <w:basedOn w:val="Normal"/>
    <w:link w:val="HeaderChar"/>
    <w:uiPriority w:val="99"/>
    <w:unhideWhenUsed/>
    <w:rsid w:val="00AA7B02"/>
    <w:pPr>
      <w:tabs>
        <w:tab w:val="center" w:pos="4513"/>
        <w:tab w:val="right" w:pos="9026"/>
      </w:tabs>
    </w:pPr>
  </w:style>
  <w:style w:type="character" w:customStyle="1" w:styleId="HeaderChar">
    <w:name w:val="Header Char"/>
    <w:basedOn w:val="DefaultParagraphFont"/>
    <w:link w:val="Header"/>
    <w:uiPriority w:val="99"/>
    <w:rsid w:val="00AA7B02"/>
    <w:rPr>
      <w:lang w:val="id-ID"/>
    </w:rPr>
  </w:style>
  <w:style w:type="paragraph" w:styleId="Footer">
    <w:name w:val="footer"/>
    <w:basedOn w:val="Normal"/>
    <w:link w:val="FooterChar"/>
    <w:uiPriority w:val="99"/>
    <w:unhideWhenUsed/>
    <w:rsid w:val="00AA7B02"/>
    <w:pPr>
      <w:tabs>
        <w:tab w:val="center" w:pos="4513"/>
        <w:tab w:val="right" w:pos="9026"/>
      </w:tabs>
    </w:pPr>
  </w:style>
  <w:style w:type="character" w:customStyle="1" w:styleId="FooterChar">
    <w:name w:val="Footer Char"/>
    <w:basedOn w:val="DefaultParagraphFont"/>
    <w:link w:val="Footer"/>
    <w:uiPriority w:val="99"/>
    <w:rsid w:val="00AA7B02"/>
    <w:rPr>
      <w:lang w:val="id-ID"/>
    </w:rPr>
  </w:style>
  <w:style w:type="paragraph" w:customStyle="1" w:styleId="Judul">
    <w:name w:val="Judul"/>
    <w:basedOn w:val="Title"/>
    <w:qFormat/>
    <w:rsid w:val="002A4AF2"/>
    <w:pPr>
      <w:spacing w:before="480"/>
    </w:pPr>
    <w:rPr>
      <w:rFonts w:ascii="Cambria" w:hAnsi="Cambria"/>
      <w:b/>
      <w:sz w:val="28"/>
    </w:rPr>
  </w:style>
  <w:style w:type="paragraph" w:customStyle="1" w:styleId="NamaPenulis">
    <w:name w:val="NamaPenulis"/>
    <w:basedOn w:val="Normal"/>
    <w:qFormat/>
    <w:rsid w:val="00232FBC"/>
    <w:pPr>
      <w:spacing w:after="80"/>
    </w:pPr>
    <w:rPr>
      <w:sz w:val="20"/>
    </w:rPr>
  </w:style>
  <w:style w:type="paragraph" w:styleId="FootnoteText">
    <w:name w:val="footnote text"/>
    <w:basedOn w:val="Normal"/>
    <w:link w:val="FootnoteTextChar"/>
    <w:uiPriority w:val="99"/>
    <w:unhideWhenUsed/>
    <w:rsid w:val="00C75D4F"/>
    <w:pPr>
      <w:spacing w:line="360" w:lineRule="auto"/>
    </w:pPr>
    <w:rPr>
      <w:sz w:val="18"/>
      <w:szCs w:val="20"/>
    </w:rPr>
  </w:style>
  <w:style w:type="character" w:customStyle="1" w:styleId="FootnoteTextChar">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unhideWhenUsed/>
    <w:rsid w:val="00C75D4F"/>
    <w:rPr>
      <w:vertAlign w:val="superscript"/>
    </w:rPr>
  </w:style>
  <w:style w:type="paragraph" w:styleId="EndnoteText">
    <w:name w:val="endnote text"/>
    <w:basedOn w:val="Normal"/>
    <w:link w:val="EndnoteTextChar"/>
    <w:uiPriority w:val="99"/>
    <w:semiHidden/>
    <w:unhideWhenUsed/>
    <w:rsid w:val="00C75D4F"/>
    <w:rPr>
      <w:sz w:val="20"/>
      <w:szCs w:val="20"/>
    </w:rPr>
  </w:style>
  <w:style w:type="character" w:customStyle="1" w:styleId="EndnoteTextChar">
    <w:name w:val="Endnote Text Char"/>
    <w:basedOn w:val="DefaultParagraphFont"/>
    <w:link w:val="EndnoteText"/>
    <w:uiPriority w:val="99"/>
    <w:semiHidden/>
    <w:rsid w:val="00C75D4F"/>
    <w:rPr>
      <w:sz w:val="20"/>
      <w:szCs w:val="20"/>
      <w:lang w:val="id-ID"/>
    </w:rPr>
  </w:style>
  <w:style w:type="character" w:styleId="EndnoteReference">
    <w:name w:val="endnote reference"/>
    <w:basedOn w:val="DefaultParagraphFont"/>
    <w:uiPriority w:val="99"/>
    <w:semiHidden/>
    <w:unhideWhenUsed/>
    <w:rsid w:val="00C75D4F"/>
    <w:rPr>
      <w:vertAlign w:val="superscript"/>
    </w:rPr>
  </w:style>
  <w:style w:type="paragraph" w:customStyle="1" w:styleId="Afiliasi">
    <w:name w:val="Afiliasi"/>
    <w:basedOn w:val="Normal"/>
    <w:qFormat/>
    <w:rsid w:val="00232FBC"/>
    <w:rPr>
      <w:sz w:val="18"/>
      <w:lang w:val="it-IT"/>
    </w:rPr>
  </w:style>
  <w:style w:type="paragraph" w:customStyle="1" w:styleId="TableParagraph">
    <w:name w:val="Table Paragraph"/>
    <w:basedOn w:val="Normal"/>
    <w:uiPriority w:val="1"/>
    <w:qFormat/>
    <w:rsid w:val="003075B6"/>
    <w:pPr>
      <w:ind w:left="122"/>
    </w:pPr>
    <w:rPr>
      <w:rFonts w:ascii="Book Antiqua" w:eastAsia="Book Antiqua" w:hAnsi="Book Antiqua" w:cs="Book Antiqua"/>
    </w:rPr>
  </w:style>
  <w:style w:type="paragraph" w:customStyle="1" w:styleId="ABSTRACT">
    <w:name w:val="ABSTRACT"/>
    <w:basedOn w:val="NoSpacing"/>
    <w:qFormat/>
    <w:rsid w:val="001278EE"/>
    <w:pPr>
      <w:spacing w:line="360" w:lineRule="auto"/>
      <w:jc w:val="center"/>
    </w:pPr>
    <w:rPr>
      <w:b/>
      <w:sz w:val="24"/>
    </w:rPr>
  </w:style>
  <w:style w:type="paragraph" w:styleId="NoSpacing">
    <w:name w:val="No Spacing"/>
    <w:aliases w:val="Level 2"/>
    <w:link w:val="NoSpacingChar"/>
    <w:uiPriority w:val="1"/>
    <w:qFormat/>
    <w:rsid w:val="0060643C"/>
    <w:pPr>
      <w:autoSpaceDE w:val="0"/>
      <w:autoSpaceDN w:val="0"/>
      <w:spacing w:after="0"/>
    </w:pPr>
    <w:rPr>
      <w:lang w:val="en-US"/>
    </w:rPr>
  </w:style>
  <w:style w:type="paragraph" w:customStyle="1" w:styleId="ISIAbstract">
    <w:name w:val="ISI Abstract"/>
    <w:basedOn w:val="Normal"/>
    <w:qFormat/>
    <w:rsid w:val="0060643C"/>
    <w:pPr>
      <w:jc w:val="both"/>
    </w:pPr>
    <w:rPr>
      <w:sz w:val="20"/>
    </w:rPr>
  </w:style>
  <w:style w:type="paragraph" w:customStyle="1" w:styleId="SubJudul">
    <w:name w:val="Sub Judul"/>
    <w:basedOn w:val="Subtitle"/>
    <w:qFormat/>
    <w:rsid w:val="00D47D11"/>
    <w:pPr>
      <w:spacing w:after="0"/>
    </w:pPr>
    <w:rPr>
      <w:b/>
      <w:color w:val="auto"/>
      <w:sz w:val="22"/>
      <w:lang w:val="en-ID"/>
    </w:rPr>
  </w:style>
  <w:style w:type="paragraph" w:customStyle="1" w:styleId="ISI">
    <w:name w:val="ISI"/>
    <w:basedOn w:val="Normal"/>
    <w:qFormat/>
    <w:rsid w:val="00E2474C"/>
    <w:pPr>
      <w:ind w:firstLine="567"/>
      <w:jc w:val="both"/>
    </w:pPr>
  </w:style>
  <w:style w:type="character" w:styleId="PlaceholderText">
    <w:name w:val="Placeholder Text"/>
    <w:basedOn w:val="DefaultParagraphFont"/>
    <w:uiPriority w:val="99"/>
    <w:semiHidden/>
    <w:rsid w:val="00C57B5D"/>
    <w:rPr>
      <w:color w:val="666666"/>
    </w:rPr>
  </w:style>
  <w:style w:type="character" w:styleId="Hyperlink">
    <w:name w:val="Hyperlink"/>
    <w:basedOn w:val="DefaultParagraphFont"/>
    <w:uiPriority w:val="99"/>
    <w:unhideWhenUsed/>
    <w:rsid w:val="00763E53"/>
    <w:rPr>
      <w:color w:val="467886" w:themeColor="hyperlink"/>
      <w:u w:val="single"/>
    </w:rPr>
  </w:style>
  <w:style w:type="character" w:customStyle="1" w:styleId="UnresolvedMention">
    <w:name w:val="Unresolved Mention"/>
    <w:basedOn w:val="DefaultParagraphFont"/>
    <w:uiPriority w:val="99"/>
    <w:semiHidden/>
    <w:unhideWhenUsed/>
    <w:rsid w:val="00763E53"/>
    <w:rPr>
      <w:color w:val="605E5C"/>
      <w:shd w:val="clear" w:color="auto" w:fill="E1DFDD"/>
    </w:rPr>
  </w:style>
  <w:style w:type="paragraph" w:customStyle="1" w:styleId="JudulTableGambar">
    <w:name w:val="Judul Table&amp;Gambar"/>
    <w:basedOn w:val="Normal"/>
    <w:qFormat/>
    <w:rsid w:val="00BE2971"/>
    <w:pPr>
      <w:spacing w:before="80" w:after="120"/>
    </w:pPr>
    <w:rPr>
      <w:sz w:val="20"/>
    </w:rPr>
  </w:style>
  <w:style w:type="paragraph" w:styleId="BodyText">
    <w:name w:val="Body Text"/>
    <w:basedOn w:val="Normal"/>
    <w:link w:val="BodyTextChar"/>
    <w:uiPriority w:val="1"/>
    <w:qFormat/>
    <w:rsid w:val="00F13776"/>
  </w:style>
  <w:style w:type="character" w:customStyle="1" w:styleId="BodyTextChar">
    <w:name w:val="Body Text Char"/>
    <w:basedOn w:val="DefaultParagraphFont"/>
    <w:link w:val="BodyText"/>
    <w:uiPriority w:val="1"/>
    <w:rsid w:val="00F13776"/>
    <w:rPr>
      <w:rFonts w:ascii="Cambria" w:eastAsia="Cambria" w:hAnsi="Cambria" w:cs="Cambria"/>
      <w:kern w:val="0"/>
      <w:lang w:val="en-US"/>
    </w:rPr>
  </w:style>
  <w:style w:type="paragraph" w:customStyle="1" w:styleId="How-to-bodytext">
    <w:name w:val="How-to-bodytext"/>
    <w:basedOn w:val="Normal"/>
    <w:link w:val="How-to-bodytextChar"/>
    <w:qFormat/>
    <w:rsid w:val="001278EE"/>
    <w:pPr>
      <w:widowControl/>
      <w:pBdr>
        <w:top w:val="nil"/>
        <w:left w:val="nil"/>
        <w:bottom w:val="nil"/>
        <w:right w:val="nil"/>
        <w:between w:val="nil"/>
      </w:pBdr>
      <w:autoSpaceDE/>
      <w:autoSpaceDN/>
      <w:spacing w:after="160" w:line="276" w:lineRule="auto"/>
    </w:pPr>
    <w:rPr>
      <w:rFonts w:ascii="Times New Roman" w:eastAsia="Calibri" w:hAnsi="Times New Roman" w:cs="Times New Roman"/>
      <w:color w:val="808080" w:themeColor="background1" w:themeShade="80"/>
      <w:sz w:val="24"/>
    </w:rPr>
  </w:style>
  <w:style w:type="character" w:customStyle="1" w:styleId="How-to-bodytextChar">
    <w:name w:val="How-to-bodytext Char"/>
    <w:basedOn w:val="DefaultParagraphFont"/>
    <w:link w:val="How-to-bodytext"/>
    <w:rsid w:val="001278EE"/>
    <w:rPr>
      <w:rFonts w:ascii="Times New Roman" w:eastAsia="Calibri" w:hAnsi="Times New Roman" w:cs="Times New Roman"/>
      <w:color w:val="808080" w:themeColor="background1" w:themeShade="80"/>
      <w:kern w:val="0"/>
      <w:sz w:val="24"/>
      <w:lang w:val="en-US"/>
    </w:rPr>
  </w:style>
  <w:style w:type="table" w:styleId="TableGrid">
    <w:name w:val="Table Grid"/>
    <w:basedOn w:val="TableNormal"/>
    <w:uiPriority w:val="39"/>
    <w:qFormat/>
    <w:rsid w:val="00BE2971"/>
    <w:pPr>
      <w:spacing w:after="0"/>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basedOn w:val="Normal"/>
    <w:rsid w:val="00BE2971"/>
    <w:pPr>
      <w:widowControl/>
      <w:numPr>
        <w:numId w:val="1"/>
      </w:numPr>
      <w:autoSpaceDE/>
      <w:autoSpaceDN/>
      <w:adjustRightInd w:val="0"/>
      <w:snapToGrid w:val="0"/>
      <w:spacing w:after="160" w:line="260" w:lineRule="atLeast"/>
      <w:ind w:left="425" w:hanging="425"/>
    </w:pPr>
    <w:rPr>
      <w:rFonts w:ascii="Palatino Linotype" w:eastAsiaTheme="minorEastAsia" w:hAnsi="Palatino Linotype" w:cstheme="minorBidi"/>
      <w:snapToGrid w:val="0"/>
      <w:color w:val="000000"/>
      <w:sz w:val="18"/>
      <w:szCs w:val="20"/>
      <w:lang w:eastAsia="de-DE" w:bidi="en-US"/>
    </w:rPr>
  </w:style>
  <w:style w:type="character" w:styleId="Strong">
    <w:name w:val="Strong"/>
    <w:basedOn w:val="DefaultParagraphFont"/>
    <w:uiPriority w:val="22"/>
    <w:qFormat/>
    <w:rsid w:val="00BE2971"/>
    <w:rPr>
      <w:b/>
      <w:bCs/>
      <w:color w:val="auto"/>
    </w:rPr>
  </w:style>
  <w:style w:type="character" w:styleId="Emphasis">
    <w:name w:val="Emphasis"/>
    <w:basedOn w:val="DefaultParagraphFont"/>
    <w:uiPriority w:val="20"/>
    <w:qFormat/>
    <w:rsid w:val="00BE2971"/>
    <w:rPr>
      <w:i/>
      <w:iCs/>
      <w:color w:val="auto"/>
    </w:rPr>
  </w:style>
  <w:style w:type="character" w:customStyle="1" w:styleId="cf01">
    <w:name w:val="cf01"/>
    <w:basedOn w:val="DefaultParagraphFont"/>
    <w:rsid w:val="00BE2971"/>
    <w:rPr>
      <w:rFonts w:ascii="Segoe UI" w:hAnsi="Segoe UI" w:cs="Segoe UI" w:hint="default"/>
      <w:sz w:val="18"/>
      <w:szCs w:val="18"/>
    </w:rPr>
  </w:style>
  <w:style w:type="paragraph" w:styleId="NormalWeb">
    <w:name w:val="Normal (Web)"/>
    <w:basedOn w:val="Normal"/>
    <w:uiPriority w:val="99"/>
    <w:unhideWhenUsed/>
    <w:rsid w:val="00BE297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017E63"/>
    <w:rPr>
      <w:sz w:val="16"/>
      <w:szCs w:val="16"/>
    </w:rPr>
  </w:style>
  <w:style w:type="paragraph" w:styleId="CommentText">
    <w:name w:val="annotation text"/>
    <w:basedOn w:val="Normal"/>
    <w:link w:val="CommentTextChar"/>
    <w:uiPriority w:val="99"/>
    <w:unhideWhenUsed/>
    <w:rsid w:val="00017E63"/>
    <w:pPr>
      <w:widowControl/>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7E63"/>
    <w:rPr>
      <w:kern w:val="0"/>
      <w:sz w:val="20"/>
      <w:szCs w:val="20"/>
      <w:lang w:val="en-US"/>
    </w:rPr>
  </w:style>
  <w:style w:type="character" w:customStyle="1" w:styleId="ListParagraphChar">
    <w:name w:val="List Paragraph Char"/>
    <w:link w:val="ListParagraph"/>
    <w:uiPriority w:val="34"/>
    <w:qFormat/>
    <w:rsid w:val="00123044"/>
    <w:rPr>
      <w:rFonts w:ascii="Cambria" w:eastAsia="Cambria" w:hAnsi="Cambria" w:cs="Cambria"/>
      <w:kern w:val="0"/>
      <w:lang w:val="en-US"/>
    </w:rPr>
  </w:style>
  <w:style w:type="paragraph" w:customStyle="1" w:styleId="EndNoteBibliography">
    <w:name w:val="EndNote Bibliography"/>
    <w:basedOn w:val="Normal"/>
    <w:link w:val="EndNoteBibliographyChar"/>
    <w:rsid w:val="00123044"/>
    <w:pPr>
      <w:widowControl/>
      <w:autoSpaceDE/>
      <w:autoSpaceDN/>
      <w:spacing w:after="20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123044"/>
    <w:rPr>
      <w:rFonts w:ascii="Calibri" w:hAnsi="Calibri" w:cs="Calibri"/>
      <w:noProof/>
      <w:kern w:val="0"/>
      <w:lang w:val="en-US"/>
    </w:rPr>
  </w:style>
  <w:style w:type="paragraph" w:customStyle="1" w:styleId="author">
    <w:name w:val="author"/>
    <w:basedOn w:val="Normal"/>
    <w:next w:val="Normal"/>
    <w:rsid w:val="004D29A8"/>
    <w:pPr>
      <w:widowControl/>
      <w:overflowPunct w:val="0"/>
      <w:adjustRightInd w:val="0"/>
      <w:spacing w:before="120" w:after="0" w:line="360" w:lineRule="auto"/>
    </w:pPr>
    <w:rPr>
      <w:rFonts w:ascii="Times New Roman" w:eastAsia="Times New Roman" w:hAnsi="Times New Roman" w:cs="Times New Roman"/>
      <w:sz w:val="24"/>
      <w:szCs w:val="20"/>
      <w:lang w:eastAsia="de-DE"/>
    </w:rPr>
  </w:style>
  <w:style w:type="paragraph" w:customStyle="1" w:styleId="fax">
    <w:name w:val="fax"/>
    <w:basedOn w:val="Normal"/>
    <w:next w:val="Normal"/>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phone">
    <w:name w:val="phone"/>
    <w:basedOn w:val="Normal"/>
    <w:next w:val="fax"/>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url">
    <w:name w:val="url"/>
    <w:basedOn w:val="Normal"/>
    <w:rsid w:val="0028657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itle1">
    <w:name w:val="Title1"/>
    <w:basedOn w:val="Normal"/>
    <w:next w:val="author"/>
    <w:rsid w:val="00286572"/>
    <w:pPr>
      <w:widowControl/>
      <w:overflowPunct w:val="0"/>
      <w:adjustRightInd w:val="0"/>
      <w:spacing w:after="0" w:line="360" w:lineRule="auto"/>
    </w:pPr>
    <w:rPr>
      <w:rFonts w:ascii="Arial" w:eastAsia="Times New Roman" w:hAnsi="Arial" w:cs="Times New Roman"/>
      <w:b/>
      <w:sz w:val="36"/>
      <w:szCs w:val="20"/>
      <w:lang w:eastAsia="de-DE"/>
    </w:rPr>
  </w:style>
  <w:style w:type="paragraph" w:customStyle="1" w:styleId="email">
    <w:name w:val="email"/>
    <w:basedOn w:val="Normal"/>
    <w:next w:val="url"/>
    <w:rsid w:val="00286572"/>
    <w:pPr>
      <w:widowControl/>
      <w:overflowPunct w:val="0"/>
      <w:adjustRightInd w:val="0"/>
      <w:spacing w:before="120" w:after="0"/>
    </w:pPr>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286572"/>
    <w:pPr>
      <w:widowControl/>
      <w:autoSpaceDE/>
      <w:autoSpaceDN/>
      <w:spacing w:after="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86572"/>
    <w:rPr>
      <w:rFonts w:ascii="Segoe UI" w:hAnsi="Segoe UI" w:cs="Segoe UI"/>
      <w:kern w:val="0"/>
      <w:sz w:val="18"/>
      <w:szCs w:val="18"/>
      <w:lang w:val="en-US"/>
    </w:rPr>
  </w:style>
  <w:style w:type="paragraph" w:styleId="CommentSubject">
    <w:name w:val="annotation subject"/>
    <w:basedOn w:val="CommentText"/>
    <w:next w:val="CommentText"/>
    <w:link w:val="CommentSubjectChar"/>
    <w:uiPriority w:val="99"/>
    <w:semiHidden/>
    <w:unhideWhenUsed/>
    <w:rsid w:val="00286572"/>
    <w:pPr>
      <w:spacing w:after="160"/>
    </w:pPr>
    <w:rPr>
      <w:b/>
      <w:bCs/>
    </w:rPr>
  </w:style>
  <w:style w:type="character" w:customStyle="1" w:styleId="CommentSubjectChar">
    <w:name w:val="Comment Subject Char"/>
    <w:basedOn w:val="CommentTextChar"/>
    <w:link w:val="CommentSubject"/>
    <w:uiPriority w:val="99"/>
    <w:semiHidden/>
    <w:rsid w:val="00286572"/>
    <w:rPr>
      <w:b/>
      <w:bCs/>
      <w:kern w:val="0"/>
      <w:sz w:val="20"/>
      <w:szCs w:val="20"/>
      <w:lang w:val="en-US"/>
    </w:rPr>
  </w:style>
  <w:style w:type="table" w:customStyle="1" w:styleId="PlainTable2">
    <w:name w:val="Plain Table 2"/>
    <w:basedOn w:val="TableNormal"/>
    <w:uiPriority w:val="42"/>
    <w:rsid w:val="0028657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86572"/>
    <w:pPr>
      <w:spacing w:after="0"/>
    </w:pPr>
    <w:rPr>
      <w:lang w:val="en-US"/>
    </w:rPr>
  </w:style>
  <w:style w:type="character" w:customStyle="1" w:styleId="NoSpacingChar">
    <w:name w:val="No Spacing Char"/>
    <w:aliases w:val="Level 2 Char"/>
    <w:link w:val="NoSpacing"/>
    <w:uiPriority w:val="1"/>
    <w:rsid w:val="00286572"/>
    <w:rPr>
      <w:rFonts w:ascii="Cambria" w:eastAsia="Cambria" w:hAnsi="Cambria" w:cs="Cambria"/>
      <w:kern w:val="0"/>
      <w:lang w:val="en-US"/>
    </w:rPr>
  </w:style>
  <w:style w:type="character" w:customStyle="1" w:styleId="apple-converted-space">
    <w:name w:val="apple-converted-space"/>
    <w:basedOn w:val="DefaultParagraphFont"/>
    <w:rsid w:val="003F5576"/>
  </w:style>
  <w:style w:type="paragraph" w:customStyle="1" w:styleId="KetTablePic">
    <w:name w:val="Ket_Table&amp;Pic"/>
    <w:basedOn w:val="NamaPenulis"/>
    <w:qFormat/>
    <w:rsid w:val="0098420F"/>
    <w:pPr>
      <w:spacing w:after="0"/>
      <w:jc w:val="both"/>
    </w:pPr>
    <w:rPr>
      <w:rFonts w:cs="Times New Roman"/>
      <w:szCs w:val="20"/>
      <w:lang w:val="id-ID"/>
    </w:rPr>
  </w:style>
  <w:style w:type="paragraph" w:customStyle="1" w:styleId="isiReferensi">
    <w:name w:val="isiReferensi"/>
    <w:basedOn w:val="Normal"/>
    <w:qFormat/>
    <w:rsid w:val="008E4807"/>
    <w:pPr>
      <w:adjustRightInd w:val="0"/>
      <w:spacing w:after="0"/>
      <w:ind w:left="425" w:hanging="425"/>
      <w:jc w:val="both"/>
    </w:pPr>
    <w:rPr>
      <w:rFonts w:cs="Times New Roman"/>
    </w:rPr>
  </w:style>
  <w:style w:type="table" w:customStyle="1" w:styleId="PlainTable4">
    <w:name w:val="Plain Table 4"/>
    <w:basedOn w:val="TableNormal"/>
    <w:uiPriority w:val="44"/>
    <w:rsid w:val="00232FB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2"/>
        <w:szCs w:val="22"/>
        <w:lang w:val="en-GB" w:eastAsia="en-US" w:bidi="ar-SA"/>
      </w:rPr>
    </w:rPrDefault>
    <w:pPrDefault>
      <w:pPr>
        <w:widowControl w:val="0"/>
        <w:spacing w:after="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7E86"/>
    <w:pPr>
      <w:autoSpaceDE w:val="0"/>
      <w:autoSpaceDN w:val="0"/>
    </w:pPr>
    <w:rPr>
      <w:lang w:val="en-US"/>
    </w:rPr>
  </w:style>
  <w:style w:type="paragraph" w:styleId="Heading1">
    <w:name w:val="heading 1"/>
    <w:basedOn w:val="Normal"/>
    <w:next w:val="Normal"/>
    <w:link w:val="Heading1Char"/>
    <w:uiPriority w:val="9"/>
    <w:qFormat/>
    <w:rsid w:val="00A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2"/>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2"/>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7B0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7B0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A7B0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A7B0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A7B0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A7B0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A7B0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A7B0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A7B0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A7B02"/>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AA7B0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AA7B0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2"/>
    <w:rPr>
      <w:i/>
      <w:iCs/>
      <w:color w:val="404040" w:themeColor="text1" w:themeTint="BF"/>
      <w:lang w:val="id-ID"/>
    </w:rPr>
  </w:style>
  <w:style w:type="paragraph" w:styleId="ListParagraph">
    <w:name w:val="List Paragraph"/>
    <w:basedOn w:val="Normal"/>
    <w:link w:val="ListParagraphChar"/>
    <w:uiPriority w:val="34"/>
    <w:qFormat/>
    <w:rsid w:val="00AA7B02"/>
    <w:pPr>
      <w:ind w:left="720"/>
      <w:contextualSpacing/>
    </w:pPr>
  </w:style>
  <w:style w:type="character" w:styleId="IntenseEmphasis">
    <w:name w:val="Intense Emphasis"/>
    <w:basedOn w:val="DefaultParagraphFont"/>
    <w:uiPriority w:val="21"/>
    <w:qFormat/>
    <w:rsid w:val="00AA7B02"/>
    <w:rPr>
      <w:i/>
      <w:iCs/>
      <w:color w:val="0F4761" w:themeColor="accent1" w:themeShade="BF"/>
    </w:rPr>
  </w:style>
  <w:style w:type="paragraph" w:styleId="IntenseQuote">
    <w:name w:val="Intense Quote"/>
    <w:basedOn w:val="Normal"/>
    <w:next w:val="Normal"/>
    <w:link w:val="IntenseQuoteChar"/>
    <w:uiPriority w:val="30"/>
    <w:qFormat/>
    <w:rsid w:val="00A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2"/>
    <w:rPr>
      <w:i/>
      <w:iCs/>
      <w:color w:val="0F4761" w:themeColor="accent1" w:themeShade="BF"/>
      <w:lang w:val="id-ID"/>
    </w:rPr>
  </w:style>
  <w:style w:type="character" w:styleId="IntenseReference">
    <w:name w:val="Intense Reference"/>
    <w:basedOn w:val="DefaultParagraphFont"/>
    <w:uiPriority w:val="32"/>
    <w:qFormat/>
    <w:rsid w:val="00AA7B02"/>
    <w:rPr>
      <w:b/>
      <w:bCs/>
      <w:smallCaps/>
      <w:color w:val="0F4761" w:themeColor="accent1" w:themeShade="BF"/>
      <w:spacing w:val="5"/>
    </w:rPr>
  </w:style>
  <w:style w:type="paragraph" w:styleId="Header">
    <w:name w:val="header"/>
    <w:basedOn w:val="Normal"/>
    <w:link w:val="HeaderChar"/>
    <w:uiPriority w:val="99"/>
    <w:unhideWhenUsed/>
    <w:rsid w:val="00AA7B02"/>
    <w:pPr>
      <w:tabs>
        <w:tab w:val="center" w:pos="4513"/>
        <w:tab w:val="right" w:pos="9026"/>
      </w:tabs>
    </w:pPr>
  </w:style>
  <w:style w:type="character" w:customStyle="1" w:styleId="HeaderChar">
    <w:name w:val="Header Char"/>
    <w:basedOn w:val="DefaultParagraphFont"/>
    <w:link w:val="Header"/>
    <w:uiPriority w:val="99"/>
    <w:rsid w:val="00AA7B02"/>
    <w:rPr>
      <w:lang w:val="id-ID"/>
    </w:rPr>
  </w:style>
  <w:style w:type="paragraph" w:styleId="Footer">
    <w:name w:val="footer"/>
    <w:basedOn w:val="Normal"/>
    <w:link w:val="FooterChar"/>
    <w:uiPriority w:val="99"/>
    <w:unhideWhenUsed/>
    <w:rsid w:val="00AA7B02"/>
    <w:pPr>
      <w:tabs>
        <w:tab w:val="center" w:pos="4513"/>
        <w:tab w:val="right" w:pos="9026"/>
      </w:tabs>
    </w:pPr>
  </w:style>
  <w:style w:type="character" w:customStyle="1" w:styleId="FooterChar">
    <w:name w:val="Footer Char"/>
    <w:basedOn w:val="DefaultParagraphFont"/>
    <w:link w:val="Footer"/>
    <w:uiPriority w:val="99"/>
    <w:rsid w:val="00AA7B02"/>
    <w:rPr>
      <w:lang w:val="id-ID"/>
    </w:rPr>
  </w:style>
  <w:style w:type="paragraph" w:customStyle="1" w:styleId="Judul">
    <w:name w:val="Judul"/>
    <w:basedOn w:val="Title"/>
    <w:qFormat/>
    <w:rsid w:val="002A4AF2"/>
    <w:pPr>
      <w:spacing w:before="480"/>
    </w:pPr>
    <w:rPr>
      <w:rFonts w:ascii="Cambria" w:hAnsi="Cambria"/>
      <w:b/>
      <w:sz w:val="28"/>
    </w:rPr>
  </w:style>
  <w:style w:type="paragraph" w:customStyle="1" w:styleId="NamaPenulis">
    <w:name w:val="NamaPenulis"/>
    <w:basedOn w:val="Normal"/>
    <w:qFormat/>
    <w:rsid w:val="00232FBC"/>
    <w:pPr>
      <w:spacing w:after="80"/>
    </w:pPr>
    <w:rPr>
      <w:sz w:val="20"/>
    </w:rPr>
  </w:style>
  <w:style w:type="paragraph" w:styleId="FootnoteText">
    <w:name w:val="footnote text"/>
    <w:basedOn w:val="Normal"/>
    <w:link w:val="FootnoteTextChar"/>
    <w:uiPriority w:val="99"/>
    <w:unhideWhenUsed/>
    <w:rsid w:val="00C75D4F"/>
    <w:pPr>
      <w:spacing w:line="360" w:lineRule="auto"/>
    </w:pPr>
    <w:rPr>
      <w:sz w:val="18"/>
      <w:szCs w:val="20"/>
    </w:rPr>
  </w:style>
  <w:style w:type="character" w:customStyle="1" w:styleId="FootnoteTextChar">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unhideWhenUsed/>
    <w:rsid w:val="00C75D4F"/>
    <w:rPr>
      <w:vertAlign w:val="superscript"/>
    </w:rPr>
  </w:style>
  <w:style w:type="paragraph" w:styleId="EndnoteText">
    <w:name w:val="endnote text"/>
    <w:basedOn w:val="Normal"/>
    <w:link w:val="EndnoteTextChar"/>
    <w:uiPriority w:val="99"/>
    <w:semiHidden/>
    <w:unhideWhenUsed/>
    <w:rsid w:val="00C75D4F"/>
    <w:rPr>
      <w:sz w:val="20"/>
      <w:szCs w:val="20"/>
    </w:rPr>
  </w:style>
  <w:style w:type="character" w:customStyle="1" w:styleId="EndnoteTextChar">
    <w:name w:val="Endnote Text Char"/>
    <w:basedOn w:val="DefaultParagraphFont"/>
    <w:link w:val="EndnoteText"/>
    <w:uiPriority w:val="99"/>
    <w:semiHidden/>
    <w:rsid w:val="00C75D4F"/>
    <w:rPr>
      <w:sz w:val="20"/>
      <w:szCs w:val="20"/>
      <w:lang w:val="id-ID"/>
    </w:rPr>
  </w:style>
  <w:style w:type="character" w:styleId="EndnoteReference">
    <w:name w:val="endnote reference"/>
    <w:basedOn w:val="DefaultParagraphFont"/>
    <w:uiPriority w:val="99"/>
    <w:semiHidden/>
    <w:unhideWhenUsed/>
    <w:rsid w:val="00C75D4F"/>
    <w:rPr>
      <w:vertAlign w:val="superscript"/>
    </w:rPr>
  </w:style>
  <w:style w:type="paragraph" w:customStyle="1" w:styleId="Afiliasi">
    <w:name w:val="Afiliasi"/>
    <w:basedOn w:val="Normal"/>
    <w:qFormat/>
    <w:rsid w:val="00232FBC"/>
    <w:rPr>
      <w:sz w:val="18"/>
      <w:lang w:val="it-IT"/>
    </w:rPr>
  </w:style>
  <w:style w:type="paragraph" w:customStyle="1" w:styleId="TableParagraph">
    <w:name w:val="Table Paragraph"/>
    <w:basedOn w:val="Normal"/>
    <w:uiPriority w:val="1"/>
    <w:qFormat/>
    <w:rsid w:val="003075B6"/>
    <w:pPr>
      <w:ind w:left="122"/>
    </w:pPr>
    <w:rPr>
      <w:rFonts w:ascii="Book Antiqua" w:eastAsia="Book Antiqua" w:hAnsi="Book Antiqua" w:cs="Book Antiqua"/>
    </w:rPr>
  </w:style>
  <w:style w:type="paragraph" w:customStyle="1" w:styleId="ABSTRACT">
    <w:name w:val="ABSTRACT"/>
    <w:basedOn w:val="NoSpacing"/>
    <w:qFormat/>
    <w:rsid w:val="001278EE"/>
    <w:pPr>
      <w:spacing w:line="360" w:lineRule="auto"/>
      <w:jc w:val="center"/>
    </w:pPr>
    <w:rPr>
      <w:b/>
      <w:sz w:val="24"/>
    </w:rPr>
  </w:style>
  <w:style w:type="paragraph" w:styleId="NoSpacing">
    <w:name w:val="No Spacing"/>
    <w:aliases w:val="Level 2"/>
    <w:link w:val="NoSpacingChar"/>
    <w:uiPriority w:val="1"/>
    <w:qFormat/>
    <w:rsid w:val="0060643C"/>
    <w:pPr>
      <w:autoSpaceDE w:val="0"/>
      <w:autoSpaceDN w:val="0"/>
      <w:spacing w:after="0"/>
    </w:pPr>
    <w:rPr>
      <w:lang w:val="en-US"/>
    </w:rPr>
  </w:style>
  <w:style w:type="paragraph" w:customStyle="1" w:styleId="ISIAbstract">
    <w:name w:val="ISI Abstract"/>
    <w:basedOn w:val="Normal"/>
    <w:qFormat/>
    <w:rsid w:val="0060643C"/>
    <w:pPr>
      <w:jc w:val="both"/>
    </w:pPr>
    <w:rPr>
      <w:sz w:val="20"/>
    </w:rPr>
  </w:style>
  <w:style w:type="paragraph" w:customStyle="1" w:styleId="SubJudul">
    <w:name w:val="Sub Judul"/>
    <w:basedOn w:val="Subtitle"/>
    <w:qFormat/>
    <w:rsid w:val="00D47D11"/>
    <w:pPr>
      <w:spacing w:after="0"/>
    </w:pPr>
    <w:rPr>
      <w:b/>
      <w:color w:val="auto"/>
      <w:sz w:val="22"/>
      <w:lang w:val="en-ID"/>
    </w:rPr>
  </w:style>
  <w:style w:type="paragraph" w:customStyle="1" w:styleId="ISI">
    <w:name w:val="ISI"/>
    <w:basedOn w:val="Normal"/>
    <w:qFormat/>
    <w:rsid w:val="00E2474C"/>
    <w:pPr>
      <w:ind w:firstLine="567"/>
      <w:jc w:val="both"/>
    </w:pPr>
  </w:style>
  <w:style w:type="character" w:styleId="PlaceholderText">
    <w:name w:val="Placeholder Text"/>
    <w:basedOn w:val="DefaultParagraphFont"/>
    <w:uiPriority w:val="99"/>
    <w:semiHidden/>
    <w:rsid w:val="00C57B5D"/>
    <w:rPr>
      <w:color w:val="666666"/>
    </w:rPr>
  </w:style>
  <w:style w:type="character" w:styleId="Hyperlink">
    <w:name w:val="Hyperlink"/>
    <w:basedOn w:val="DefaultParagraphFont"/>
    <w:uiPriority w:val="99"/>
    <w:unhideWhenUsed/>
    <w:rsid w:val="00763E53"/>
    <w:rPr>
      <w:color w:val="467886" w:themeColor="hyperlink"/>
      <w:u w:val="single"/>
    </w:rPr>
  </w:style>
  <w:style w:type="character" w:customStyle="1" w:styleId="UnresolvedMention">
    <w:name w:val="Unresolved Mention"/>
    <w:basedOn w:val="DefaultParagraphFont"/>
    <w:uiPriority w:val="99"/>
    <w:semiHidden/>
    <w:unhideWhenUsed/>
    <w:rsid w:val="00763E53"/>
    <w:rPr>
      <w:color w:val="605E5C"/>
      <w:shd w:val="clear" w:color="auto" w:fill="E1DFDD"/>
    </w:rPr>
  </w:style>
  <w:style w:type="paragraph" w:customStyle="1" w:styleId="JudulTableGambar">
    <w:name w:val="Judul Table&amp;Gambar"/>
    <w:basedOn w:val="Normal"/>
    <w:qFormat/>
    <w:rsid w:val="00BE2971"/>
    <w:pPr>
      <w:spacing w:before="80" w:after="120"/>
    </w:pPr>
    <w:rPr>
      <w:sz w:val="20"/>
    </w:rPr>
  </w:style>
  <w:style w:type="paragraph" w:styleId="BodyText">
    <w:name w:val="Body Text"/>
    <w:basedOn w:val="Normal"/>
    <w:link w:val="BodyTextChar"/>
    <w:uiPriority w:val="1"/>
    <w:qFormat/>
    <w:rsid w:val="00F13776"/>
  </w:style>
  <w:style w:type="character" w:customStyle="1" w:styleId="BodyTextChar">
    <w:name w:val="Body Text Char"/>
    <w:basedOn w:val="DefaultParagraphFont"/>
    <w:link w:val="BodyText"/>
    <w:uiPriority w:val="1"/>
    <w:rsid w:val="00F13776"/>
    <w:rPr>
      <w:rFonts w:ascii="Cambria" w:eastAsia="Cambria" w:hAnsi="Cambria" w:cs="Cambria"/>
      <w:kern w:val="0"/>
      <w:lang w:val="en-US"/>
    </w:rPr>
  </w:style>
  <w:style w:type="paragraph" w:customStyle="1" w:styleId="How-to-bodytext">
    <w:name w:val="How-to-bodytext"/>
    <w:basedOn w:val="Normal"/>
    <w:link w:val="How-to-bodytextChar"/>
    <w:qFormat/>
    <w:rsid w:val="001278EE"/>
    <w:pPr>
      <w:widowControl/>
      <w:pBdr>
        <w:top w:val="nil"/>
        <w:left w:val="nil"/>
        <w:bottom w:val="nil"/>
        <w:right w:val="nil"/>
        <w:between w:val="nil"/>
      </w:pBdr>
      <w:autoSpaceDE/>
      <w:autoSpaceDN/>
      <w:spacing w:after="160" w:line="276" w:lineRule="auto"/>
    </w:pPr>
    <w:rPr>
      <w:rFonts w:ascii="Times New Roman" w:eastAsia="Calibri" w:hAnsi="Times New Roman" w:cs="Times New Roman"/>
      <w:color w:val="808080" w:themeColor="background1" w:themeShade="80"/>
      <w:sz w:val="24"/>
    </w:rPr>
  </w:style>
  <w:style w:type="character" w:customStyle="1" w:styleId="How-to-bodytextChar">
    <w:name w:val="How-to-bodytext Char"/>
    <w:basedOn w:val="DefaultParagraphFont"/>
    <w:link w:val="How-to-bodytext"/>
    <w:rsid w:val="001278EE"/>
    <w:rPr>
      <w:rFonts w:ascii="Times New Roman" w:eastAsia="Calibri" w:hAnsi="Times New Roman" w:cs="Times New Roman"/>
      <w:color w:val="808080" w:themeColor="background1" w:themeShade="80"/>
      <w:kern w:val="0"/>
      <w:sz w:val="24"/>
      <w:lang w:val="en-US"/>
    </w:rPr>
  </w:style>
  <w:style w:type="table" w:styleId="TableGrid">
    <w:name w:val="Table Grid"/>
    <w:basedOn w:val="TableNormal"/>
    <w:uiPriority w:val="39"/>
    <w:qFormat/>
    <w:rsid w:val="00BE2971"/>
    <w:pPr>
      <w:spacing w:after="0"/>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basedOn w:val="Normal"/>
    <w:rsid w:val="00BE2971"/>
    <w:pPr>
      <w:widowControl/>
      <w:numPr>
        <w:numId w:val="1"/>
      </w:numPr>
      <w:autoSpaceDE/>
      <w:autoSpaceDN/>
      <w:adjustRightInd w:val="0"/>
      <w:snapToGrid w:val="0"/>
      <w:spacing w:after="160" w:line="260" w:lineRule="atLeast"/>
      <w:ind w:left="425" w:hanging="425"/>
    </w:pPr>
    <w:rPr>
      <w:rFonts w:ascii="Palatino Linotype" w:eastAsiaTheme="minorEastAsia" w:hAnsi="Palatino Linotype" w:cstheme="minorBidi"/>
      <w:snapToGrid w:val="0"/>
      <w:color w:val="000000"/>
      <w:sz w:val="18"/>
      <w:szCs w:val="20"/>
      <w:lang w:eastAsia="de-DE" w:bidi="en-US"/>
    </w:rPr>
  </w:style>
  <w:style w:type="character" w:styleId="Strong">
    <w:name w:val="Strong"/>
    <w:basedOn w:val="DefaultParagraphFont"/>
    <w:uiPriority w:val="22"/>
    <w:qFormat/>
    <w:rsid w:val="00BE2971"/>
    <w:rPr>
      <w:b/>
      <w:bCs/>
      <w:color w:val="auto"/>
    </w:rPr>
  </w:style>
  <w:style w:type="character" w:styleId="Emphasis">
    <w:name w:val="Emphasis"/>
    <w:basedOn w:val="DefaultParagraphFont"/>
    <w:uiPriority w:val="20"/>
    <w:qFormat/>
    <w:rsid w:val="00BE2971"/>
    <w:rPr>
      <w:i/>
      <w:iCs/>
      <w:color w:val="auto"/>
    </w:rPr>
  </w:style>
  <w:style w:type="character" w:customStyle="1" w:styleId="cf01">
    <w:name w:val="cf01"/>
    <w:basedOn w:val="DefaultParagraphFont"/>
    <w:rsid w:val="00BE2971"/>
    <w:rPr>
      <w:rFonts w:ascii="Segoe UI" w:hAnsi="Segoe UI" w:cs="Segoe UI" w:hint="default"/>
      <w:sz w:val="18"/>
      <w:szCs w:val="18"/>
    </w:rPr>
  </w:style>
  <w:style w:type="paragraph" w:styleId="NormalWeb">
    <w:name w:val="Normal (Web)"/>
    <w:basedOn w:val="Normal"/>
    <w:uiPriority w:val="99"/>
    <w:unhideWhenUsed/>
    <w:rsid w:val="00BE2971"/>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017E63"/>
    <w:rPr>
      <w:sz w:val="16"/>
      <w:szCs w:val="16"/>
    </w:rPr>
  </w:style>
  <w:style w:type="paragraph" w:styleId="CommentText">
    <w:name w:val="annotation text"/>
    <w:basedOn w:val="Normal"/>
    <w:link w:val="CommentTextChar"/>
    <w:uiPriority w:val="99"/>
    <w:unhideWhenUsed/>
    <w:rsid w:val="00017E63"/>
    <w:pPr>
      <w:widowControl/>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7E63"/>
    <w:rPr>
      <w:kern w:val="0"/>
      <w:sz w:val="20"/>
      <w:szCs w:val="20"/>
      <w:lang w:val="en-US"/>
    </w:rPr>
  </w:style>
  <w:style w:type="character" w:customStyle="1" w:styleId="ListParagraphChar">
    <w:name w:val="List Paragraph Char"/>
    <w:link w:val="ListParagraph"/>
    <w:uiPriority w:val="34"/>
    <w:qFormat/>
    <w:rsid w:val="00123044"/>
    <w:rPr>
      <w:rFonts w:ascii="Cambria" w:eastAsia="Cambria" w:hAnsi="Cambria" w:cs="Cambria"/>
      <w:kern w:val="0"/>
      <w:lang w:val="en-US"/>
    </w:rPr>
  </w:style>
  <w:style w:type="paragraph" w:customStyle="1" w:styleId="EndNoteBibliography">
    <w:name w:val="EndNote Bibliography"/>
    <w:basedOn w:val="Normal"/>
    <w:link w:val="EndNoteBibliographyChar"/>
    <w:rsid w:val="00123044"/>
    <w:pPr>
      <w:widowControl/>
      <w:autoSpaceDE/>
      <w:autoSpaceDN/>
      <w:spacing w:after="20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123044"/>
    <w:rPr>
      <w:rFonts w:ascii="Calibri" w:hAnsi="Calibri" w:cs="Calibri"/>
      <w:noProof/>
      <w:kern w:val="0"/>
      <w:lang w:val="en-US"/>
    </w:rPr>
  </w:style>
  <w:style w:type="paragraph" w:customStyle="1" w:styleId="author">
    <w:name w:val="author"/>
    <w:basedOn w:val="Normal"/>
    <w:next w:val="Normal"/>
    <w:rsid w:val="004D29A8"/>
    <w:pPr>
      <w:widowControl/>
      <w:overflowPunct w:val="0"/>
      <w:adjustRightInd w:val="0"/>
      <w:spacing w:before="120" w:after="0" w:line="360" w:lineRule="auto"/>
    </w:pPr>
    <w:rPr>
      <w:rFonts w:ascii="Times New Roman" w:eastAsia="Times New Roman" w:hAnsi="Times New Roman" w:cs="Times New Roman"/>
      <w:sz w:val="24"/>
      <w:szCs w:val="20"/>
      <w:lang w:eastAsia="de-DE"/>
    </w:rPr>
  </w:style>
  <w:style w:type="paragraph" w:customStyle="1" w:styleId="fax">
    <w:name w:val="fax"/>
    <w:basedOn w:val="Normal"/>
    <w:next w:val="Normal"/>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phone">
    <w:name w:val="phone"/>
    <w:basedOn w:val="Normal"/>
    <w:next w:val="fax"/>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url">
    <w:name w:val="url"/>
    <w:basedOn w:val="Normal"/>
    <w:rsid w:val="0028657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itle1">
    <w:name w:val="Title1"/>
    <w:basedOn w:val="Normal"/>
    <w:next w:val="author"/>
    <w:rsid w:val="00286572"/>
    <w:pPr>
      <w:widowControl/>
      <w:overflowPunct w:val="0"/>
      <w:adjustRightInd w:val="0"/>
      <w:spacing w:after="0" w:line="360" w:lineRule="auto"/>
    </w:pPr>
    <w:rPr>
      <w:rFonts w:ascii="Arial" w:eastAsia="Times New Roman" w:hAnsi="Arial" w:cs="Times New Roman"/>
      <w:b/>
      <w:sz w:val="36"/>
      <w:szCs w:val="20"/>
      <w:lang w:eastAsia="de-DE"/>
    </w:rPr>
  </w:style>
  <w:style w:type="paragraph" w:customStyle="1" w:styleId="email">
    <w:name w:val="email"/>
    <w:basedOn w:val="Normal"/>
    <w:next w:val="url"/>
    <w:rsid w:val="00286572"/>
    <w:pPr>
      <w:widowControl/>
      <w:overflowPunct w:val="0"/>
      <w:adjustRightInd w:val="0"/>
      <w:spacing w:before="120" w:after="0"/>
    </w:pPr>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286572"/>
    <w:pPr>
      <w:widowControl/>
      <w:autoSpaceDE/>
      <w:autoSpaceDN/>
      <w:spacing w:after="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86572"/>
    <w:rPr>
      <w:rFonts w:ascii="Segoe UI" w:hAnsi="Segoe UI" w:cs="Segoe UI"/>
      <w:kern w:val="0"/>
      <w:sz w:val="18"/>
      <w:szCs w:val="18"/>
      <w:lang w:val="en-US"/>
    </w:rPr>
  </w:style>
  <w:style w:type="paragraph" w:styleId="CommentSubject">
    <w:name w:val="annotation subject"/>
    <w:basedOn w:val="CommentText"/>
    <w:next w:val="CommentText"/>
    <w:link w:val="CommentSubjectChar"/>
    <w:uiPriority w:val="99"/>
    <w:semiHidden/>
    <w:unhideWhenUsed/>
    <w:rsid w:val="00286572"/>
    <w:pPr>
      <w:spacing w:after="160"/>
    </w:pPr>
    <w:rPr>
      <w:b/>
      <w:bCs/>
    </w:rPr>
  </w:style>
  <w:style w:type="character" w:customStyle="1" w:styleId="CommentSubjectChar">
    <w:name w:val="Comment Subject Char"/>
    <w:basedOn w:val="CommentTextChar"/>
    <w:link w:val="CommentSubject"/>
    <w:uiPriority w:val="99"/>
    <w:semiHidden/>
    <w:rsid w:val="00286572"/>
    <w:rPr>
      <w:b/>
      <w:bCs/>
      <w:kern w:val="0"/>
      <w:sz w:val="20"/>
      <w:szCs w:val="20"/>
      <w:lang w:val="en-US"/>
    </w:rPr>
  </w:style>
  <w:style w:type="table" w:customStyle="1" w:styleId="PlainTable2">
    <w:name w:val="Plain Table 2"/>
    <w:basedOn w:val="TableNormal"/>
    <w:uiPriority w:val="42"/>
    <w:rsid w:val="0028657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86572"/>
    <w:pPr>
      <w:spacing w:after="0"/>
    </w:pPr>
    <w:rPr>
      <w:lang w:val="en-US"/>
    </w:rPr>
  </w:style>
  <w:style w:type="character" w:customStyle="1" w:styleId="NoSpacingChar">
    <w:name w:val="No Spacing Char"/>
    <w:aliases w:val="Level 2 Char"/>
    <w:link w:val="NoSpacing"/>
    <w:uiPriority w:val="1"/>
    <w:rsid w:val="00286572"/>
    <w:rPr>
      <w:rFonts w:ascii="Cambria" w:eastAsia="Cambria" w:hAnsi="Cambria" w:cs="Cambria"/>
      <w:kern w:val="0"/>
      <w:lang w:val="en-US"/>
    </w:rPr>
  </w:style>
  <w:style w:type="character" w:customStyle="1" w:styleId="apple-converted-space">
    <w:name w:val="apple-converted-space"/>
    <w:basedOn w:val="DefaultParagraphFont"/>
    <w:rsid w:val="003F5576"/>
  </w:style>
  <w:style w:type="paragraph" w:customStyle="1" w:styleId="KetTablePic">
    <w:name w:val="Ket_Table&amp;Pic"/>
    <w:basedOn w:val="NamaPenulis"/>
    <w:qFormat/>
    <w:rsid w:val="0098420F"/>
    <w:pPr>
      <w:spacing w:after="0"/>
      <w:jc w:val="both"/>
    </w:pPr>
    <w:rPr>
      <w:rFonts w:cs="Times New Roman"/>
      <w:szCs w:val="20"/>
      <w:lang w:val="id-ID"/>
    </w:rPr>
  </w:style>
  <w:style w:type="paragraph" w:customStyle="1" w:styleId="isiReferensi">
    <w:name w:val="isiReferensi"/>
    <w:basedOn w:val="Normal"/>
    <w:qFormat/>
    <w:rsid w:val="008E4807"/>
    <w:pPr>
      <w:adjustRightInd w:val="0"/>
      <w:spacing w:after="0"/>
      <w:ind w:left="425" w:hanging="425"/>
      <w:jc w:val="both"/>
    </w:pPr>
    <w:rPr>
      <w:rFonts w:cs="Times New Roman"/>
    </w:rPr>
  </w:style>
  <w:style w:type="table" w:customStyle="1" w:styleId="PlainTable4">
    <w:name w:val="Plain Table 4"/>
    <w:basedOn w:val="TableNormal"/>
    <w:uiPriority w:val="44"/>
    <w:rsid w:val="00232FB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3E50F34746846968C3174778051E743"/>
        <w:category>
          <w:name w:val="General"/>
          <w:gallery w:val="placeholder"/>
        </w:category>
        <w:types>
          <w:type w:val="bbPlcHdr"/>
        </w:types>
        <w:behaviors>
          <w:behavior w:val="content"/>
        </w:behaviors>
        <w:guid w:val="{CF58AFC8-1D5D-46BF-9154-2534900A0AB3}"/>
      </w:docPartPr>
      <w:docPartBody>
        <w:p w:rsidR="00000000" w:rsidRDefault="008F7DD7" w:rsidP="008F7DD7">
          <w:pPr>
            <w:pStyle w:val="53E50F34746846968C3174778051E743"/>
          </w:pPr>
          <w:r w:rsidRPr="00A60D31">
            <w:rPr>
              <w:rStyle w:val="PlaceholderText"/>
            </w:rPr>
            <w:t>Click or tap here to enter text.</w:t>
          </w:r>
        </w:p>
      </w:docPartBody>
    </w:docPart>
    <w:docPart>
      <w:docPartPr>
        <w:name w:val="D9769F5EF99641CFA87C530C9B9FE4EC"/>
        <w:category>
          <w:name w:val="General"/>
          <w:gallery w:val="placeholder"/>
        </w:category>
        <w:types>
          <w:type w:val="bbPlcHdr"/>
        </w:types>
        <w:behaviors>
          <w:behavior w:val="content"/>
        </w:behaviors>
        <w:guid w:val="{D68CF5E7-5821-4F44-A7D6-39043CA482CA}"/>
      </w:docPartPr>
      <w:docPartBody>
        <w:p w:rsidR="00000000" w:rsidRDefault="008F7DD7" w:rsidP="008F7DD7">
          <w:pPr>
            <w:pStyle w:val="D9769F5EF99641CFA87C530C9B9FE4EC"/>
          </w:pPr>
          <w:r w:rsidRPr="00A60D31">
            <w:rPr>
              <w:rStyle w:val="PlaceholderText"/>
            </w:rPr>
            <w:t>Click or tap here to enter text.</w:t>
          </w:r>
        </w:p>
      </w:docPartBody>
    </w:docPart>
    <w:docPart>
      <w:docPartPr>
        <w:name w:val="3BAF5089D26740DFA289372380AC7E0E"/>
        <w:category>
          <w:name w:val="General"/>
          <w:gallery w:val="placeholder"/>
        </w:category>
        <w:types>
          <w:type w:val="bbPlcHdr"/>
        </w:types>
        <w:behaviors>
          <w:behavior w:val="content"/>
        </w:behaviors>
        <w:guid w:val="{87BB8548-BA46-4B40-858E-579DACC9FDCB}"/>
      </w:docPartPr>
      <w:docPartBody>
        <w:p w:rsidR="00000000" w:rsidRDefault="008F7DD7" w:rsidP="008F7DD7">
          <w:pPr>
            <w:pStyle w:val="3BAF5089D26740DFA289372380AC7E0E"/>
          </w:pPr>
          <w:r w:rsidRPr="00A60D31">
            <w:rPr>
              <w:rStyle w:val="PlaceholderText"/>
            </w:rPr>
            <w:t>Click or tap here to enter text.</w:t>
          </w:r>
        </w:p>
      </w:docPartBody>
    </w:docPart>
    <w:docPart>
      <w:docPartPr>
        <w:name w:val="DF3CFB222AAF4E44BE86D2027FEBB4F0"/>
        <w:category>
          <w:name w:val="General"/>
          <w:gallery w:val="placeholder"/>
        </w:category>
        <w:types>
          <w:type w:val="bbPlcHdr"/>
        </w:types>
        <w:behaviors>
          <w:behavior w:val="content"/>
        </w:behaviors>
        <w:guid w:val="{F8C3D64E-437E-42C6-86EE-B435E6D023FB}"/>
      </w:docPartPr>
      <w:docPartBody>
        <w:p w:rsidR="00000000" w:rsidRDefault="008F7DD7" w:rsidP="008F7DD7">
          <w:pPr>
            <w:pStyle w:val="DF3CFB222AAF4E44BE86D2027FEBB4F0"/>
          </w:pPr>
          <w:r w:rsidRPr="00A60D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wentieth Century">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arajita">
    <w:altName w:val="Times New Roman"/>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DD7"/>
    <w:rsid w:val="008F7DD7"/>
    <w:rsid w:val="00DC7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DD7"/>
    <w:rPr>
      <w:color w:val="666666"/>
    </w:rPr>
  </w:style>
  <w:style w:type="paragraph" w:customStyle="1" w:styleId="53E50F34746846968C3174778051E743">
    <w:name w:val="53E50F34746846968C3174778051E743"/>
    <w:rsid w:val="008F7DD7"/>
  </w:style>
  <w:style w:type="paragraph" w:customStyle="1" w:styleId="D9769F5EF99641CFA87C530C9B9FE4EC">
    <w:name w:val="D9769F5EF99641CFA87C530C9B9FE4EC"/>
    <w:rsid w:val="008F7DD7"/>
  </w:style>
  <w:style w:type="paragraph" w:customStyle="1" w:styleId="3BAF5089D26740DFA289372380AC7E0E">
    <w:name w:val="3BAF5089D26740DFA289372380AC7E0E"/>
    <w:rsid w:val="008F7DD7"/>
  </w:style>
  <w:style w:type="paragraph" w:customStyle="1" w:styleId="DF3CFB222AAF4E44BE86D2027FEBB4F0">
    <w:name w:val="DF3CFB222AAF4E44BE86D2027FEBB4F0"/>
    <w:rsid w:val="008F7DD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DD7"/>
    <w:rPr>
      <w:color w:val="666666"/>
    </w:rPr>
  </w:style>
  <w:style w:type="paragraph" w:customStyle="1" w:styleId="53E50F34746846968C3174778051E743">
    <w:name w:val="53E50F34746846968C3174778051E743"/>
    <w:rsid w:val="008F7DD7"/>
  </w:style>
  <w:style w:type="paragraph" w:customStyle="1" w:styleId="D9769F5EF99641CFA87C530C9B9FE4EC">
    <w:name w:val="D9769F5EF99641CFA87C530C9B9FE4EC"/>
    <w:rsid w:val="008F7DD7"/>
  </w:style>
  <w:style w:type="paragraph" w:customStyle="1" w:styleId="3BAF5089D26740DFA289372380AC7E0E">
    <w:name w:val="3BAF5089D26740DFA289372380AC7E0E"/>
    <w:rsid w:val="008F7DD7"/>
  </w:style>
  <w:style w:type="paragraph" w:customStyle="1" w:styleId="DF3CFB222AAF4E44BE86D2027FEBB4F0">
    <w:name w:val="DF3CFB222AAF4E44BE86D2027FEBB4F0"/>
    <w:rsid w:val="008F7D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WsjSbepyUfXdFA3eOQ4XGERw==">CgMxLjAyCGguZ2pkZ3hzMgloLjMwajB6bGwyCGgudHlqY3d0MgloLjF0M2g1c2YyCWguNGQzNG9nODIJaC4xZm9iOXRlMgloLjN6bnlzaDcyCWguMjZpbjFyZzIJaC4zNW5rdW4yMgloLjJldDkycDAyCGgudHlqY3d0MgloLjNkeTZ2a20yCWguMXQzaDVzZjgAciExZGpoeDhYZzFRLXZNaEtjYVdEa3ZURnd6UTVxTWp4Q0g=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5231</Words>
  <Characters>29822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Ramansyah, S.Kom.</dc:creator>
  <cp:lastModifiedBy>ismail - [2010]</cp:lastModifiedBy>
  <cp:revision>3</cp:revision>
  <dcterms:created xsi:type="dcterms:W3CDTF">2024-12-22T14:25:00Z</dcterms:created>
  <dcterms:modified xsi:type="dcterms:W3CDTF">2026-02-07T16:06:00Z</dcterms:modified>
</cp:coreProperties>
</file>