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FD572" w14:textId="66976DAC" w:rsidR="0052261C" w:rsidRDefault="00052C55" w:rsidP="0052261C">
      <w:pPr>
        <w:jc w:val="both"/>
        <w:rPr>
          <w:rFonts w:ascii="Times New Roman" w:hAnsi="Times New Roman" w:cs="Times New Roman"/>
          <w:b/>
          <w:bCs/>
          <w:sz w:val="28"/>
          <w:szCs w:val="28"/>
          <w:lang w:val="en-US"/>
        </w:rPr>
      </w:pPr>
      <w:r w:rsidRPr="00052C55">
        <w:rPr>
          <w:rFonts w:ascii="Times New Roman" w:hAnsi="Times New Roman" w:cs="Times New Roman"/>
          <w:b/>
          <w:bCs/>
          <w:sz w:val="28"/>
          <w:szCs w:val="28"/>
          <w:lang w:val="en-US"/>
        </w:rPr>
        <w:t>Effects of Dark Chocolate and Oats Sticks on Anxiety, Blood Pressure, and Heart Rate among Adolescents: A Quasi-Experimental Study</w:t>
      </w:r>
    </w:p>
    <w:p w14:paraId="152C5CF9" w14:textId="77777777" w:rsidR="00ED65C1" w:rsidRPr="00680886" w:rsidRDefault="00ED65C1" w:rsidP="00ED65C1">
      <w:pPr>
        <w:jc w:val="both"/>
        <w:rPr>
          <w:rFonts w:ascii="Times New Roman" w:hAnsi="Times New Roman" w:cs="Times New Roman"/>
        </w:rPr>
      </w:pPr>
      <w:r w:rsidRPr="00680886">
        <w:rPr>
          <w:rFonts w:ascii="Times New Roman" w:hAnsi="Times New Roman" w:cs="Times New Roman"/>
        </w:rPr>
        <w:t>Arsulfa¹*, Kartini¹, Sultina Sarita¹, Syahrianti¹, Malahayati Nurdjaya¹</w:t>
      </w:r>
    </w:p>
    <w:p w14:paraId="61F768F6" w14:textId="77777777" w:rsidR="00ED65C1" w:rsidRPr="00680886" w:rsidRDefault="00ED65C1" w:rsidP="00ED65C1">
      <w:pPr>
        <w:jc w:val="both"/>
        <w:rPr>
          <w:rFonts w:ascii="Times New Roman" w:hAnsi="Times New Roman" w:cs="Times New Roman"/>
        </w:rPr>
      </w:pPr>
      <w:r w:rsidRPr="00680886">
        <w:rPr>
          <w:rFonts w:ascii="Times New Roman" w:hAnsi="Times New Roman" w:cs="Times New Roman"/>
        </w:rPr>
        <w:t>¹Department of Midwifery, Poltekkes Kemenkes Kendari, Indonesia</w:t>
      </w:r>
    </w:p>
    <w:p w14:paraId="7C94E9F9" w14:textId="77777777" w:rsidR="003E5FA9" w:rsidRDefault="003E5FA9" w:rsidP="00ED65C1">
      <w:pPr>
        <w:jc w:val="both"/>
        <w:rPr>
          <w:rFonts w:ascii="Times New Roman" w:hAnsi="Times New Roman" w:cs="Times New Roman"/>
          <w:b/>
          <w:bCs/>
        </w:rPr>
      </w:pPr>
    </w:p>
    <w:p w14:paraId="603E0363" w14:textId="2375E312" w:rsidR="00ED65C1" w:rsidRPr="00680886" w:rsidRDefault="00ED65C1" w:rsidP="00ED65C1">
      <w:pPr>
        <w:jc w:val="both"/>
        <w:rPr>
          <w:rFonts w:ascii="Times New Roman" w:hAnsi="Times New Roman" w:cs="Times New Roman"/>
          <w:b/>
          <w:bCs/>
        </w:rPr>
      </w:pPr>
      <w:r w:rsidRPr="00680886">
        <w:rPr>
          <w:rFonts w:ascii="Times New Roman" w:hAnsi="Times New Roman" w:cs="Times New Roman"/>
          <w:b/>
          <w:bCs/>
        </w:rPr>
        <w:t>Corresponding Author</w:t>
      </w:r>
    </w:p>
    <w:p w14:paraId="14D28F90" w14:textId="77777777" w:rsidR="00841006" w:rsidRDefault="00ED65C1" w:rsidP="00ED65C1">
      <w:pPr>
        <w:jc w:val="both"/>
        <w:rPr>
          <w:rFonts w:ascii="Times New Roman" w:hAnsi="Times New Roman" w:cs="Times New Roman"/>
        </w:rPr>
      </w:pPr>
      <w:r w:rsidRPr="00680886">
        <w:rPr>
          <w:rFonts w:ascii="Times New Roman" w:hAnsi="Times New Roman" w:cs="Times New Roman"/>
        </w:rPr>
        <w:t>Arsulfa</w:t>
      </w:r>
      <w:r w:rsidRPr="00680886">
        <w:rPr>
          <w:rFonts w:ascii="Times New Roman" w:hAnsi="Times New Roman" w:cs="Times New Roman"/>
        </w:rPr>
        <w:br/>
        <w:t>Department of Midwifery, Poltekkes Kemenkes Kendari, Indonesia</w:t>
      </w:r>
    </w:p>
    <w:p w14:paraId="4BD9389F" w14:textId="6CDA3D2F" w:rsidR="00ED65C1" w:rsidRDefault="00ED65C1" w:rsidP="00ED65C1">
      <w:pPr>
        <w:jc w:val="both"/>
        <w:rPr>
          <w:rFonts w:ascii="Times New Roman" w:hAnsi="Times New Roman" w:cs="Times New Roman"/>
        </w:rPr>
      </w:pPr>
      <w:r w:rsidRPr="00680886">
        <w:rPr>
          <w:rFonts w:ascii="Times New Roman" w:hAnsi="Times New Roman" w:cs="Times New Roman"/>
        </w:rPr>
        <w:t xml:space="preserve">Email: </w:t>
      </w:r>
      <w:hyperlink r:id="rId5" w:history="1">
        <w:r w:rsidRPr="00680886">
          <w:rPr>
            <w:rStyle w:val="Hyperlink"/>
            <w:rFonts w:ascii="Times New Roman" w:hAnsi="Times New Roman" w:cs="Times New Roman"/>
          </w:rPr>
          <w:t>arsulfaahmad@gmail.com</w:t>
        </w:r>
      </w:hyperlink>
    </w:p>
    <w:p w14:paraId="4614D065" w14:textId="29438E9A" w:rsidR="00ED65C1" w:rsidRPr="00680886" w:rsidRDefault="00ED65C1" w:rsidP="00ED65C1">
      <w:pPr>
        <w:jc w:val="both"/>
        <w:rPr>
          <w:rFonts w:ascii="Times New Roman" w:hAnsi="Times New Roman" w:cs="Times New Roman"/>
        </w:rPr>
      </w:pPr>
      <w:r w:rsidRPr="00680886">
        <w:rPr>
          <w:rFonts w:ascii="Times New Roman" w:hAnsi="Times New Roman" w:cs="Times New Roman"/>
        </w:rPr>
        <w:t>Phone: +62 821-8842-0008</w:t>
      </w:r>
    </w:p>
    <w:p w14:paraId="632FE96E" w14:textId="77777777" w:rsidR="00052C55" w:rsidRPr="0052261C" w:rsidRDefault="00052C55" w:rsidP="0052261C">
      <w:pPr>
        <w:jc w:val="both"/>
        <w:rPr>
          <w:rFonts w:ascii="Times New Roman" w:hAnsi="Times New Roman" w:cs="Times New Roman"/>
          <w:bCs/>
          <w:lang w:val="en-US"/>
        </w:rPr>
      </w:pPr>
    </w:p>
    <w:p w14:paraId="23CF564A" w14:textId="77777777" w:rsidR="002D4C0D" w:rsidRPr="002D4C0D" w:rsidRDefault="002D4C0D" w:rsidP="002D4C0D">
      <w:pPr>
        <w:spacing w:after="0"/>
        <w:jc w:val="both"/>
        <w:rPr>
          <w:rFonts w:ascii="Times New Roman" w:hAnsi="Times New Roman" w:cs="Times New Roman"/>
        </w:rPr>
      </w:pPr>
      <w:r w:rsidRPr="002D4C0D">
        <w:rPr>
          <w:rFonts w:ascii="Times New Roman" w:hAnsi="Times New Roman" w:cs="Times New Roman"/>
          <w:b/>
          <w:bCs/>
        </w:rPr>
        <w:t>Background:</w:t>
      </w:r>
      <w:r w:rsidRPr="002D4C0D">
        <w:rPr>
          <w:rFonts w:ascii="Times New Roman" w:hAnsi="Times New Roman" w:cs="Times New Roman"/>
        </w:rPr>
        <w:t xml:space="preserve"> Anxiety in adolescents can trigger physiological responses, including increased blood pressure and heart rate due to activation of the sympathetic nervous system. Functional food–based non-pharmacological interventions, such as dark chocolate and oats, contain bioactive compounds that may help reduce anxiety and improve cardiovascular responses. However, empirical evidence regarding the combined effects of dark chocolate and oats sticks among adolescents with anxiety remains limited. This study aimed to analyze the effect of administering dark chocolate and oats sticks on anxiety levels, blood pressure, and heart rate among adolescents with anxiety.</w:t>
      </w:r>
    </w:p>
    <w:p w14:paraId="642E0D9A" w14:textId="77777777" w:rsidR="002D4C0D" w:rsidRPr="002D4C0D" w:rsidRDefault="002D4C0D" w:rsidP="002D4C0D">
      <w:pPr>
        <w:spacing w:after="0"/>
        <w:jc w:val="both"/>
        <w:rPr>
          <w:rFonts w:ascii="Times New Roman" w:hAnsi="Times New Roman" w:cs="Times New Roman"/>
        </w:rPr>
      </w:pPr>
      <w:r w:rsidRPr="002D4C0D">
        <w:rPr>
          <w:rFonts w:ascii="Times New Roman" w:hAnsi="Times New Roman" w:cs="Times New Roman"/>
          <w:b/>
          <w:bCs/>
        </w:rPr>
        <w:t>Methods:</w:t>
      </w:r>
      <w:r w:rsidRPr="002D4C0D">
        <w:rPr>
          <w:rFonts w:ascii="Times New Roman" w:hAnsi="Times New Roman" w:cs="Times New Roman"/>
        </w:rPr>
        <w:t xml:space="preserve"> This study employed a quasi-experimental design with a pretest–posttest approach and a control group. A total of 60 adolescents were divided into an intervention group and a control group. Anxiety levels were assessed using a standardized questionnaire, while blood pressure and heart rate were measured using standard instruments before and after the intervention. Data were analyzed using statistical tests with a significance level of α = 0.05.</w:t>
      </w:r>
    </w:p>
    <w:p w14:paraId="55CCBA0A" w14:textId="77777777" w:rsidR="002D4C0D" w:rsidRPr="002D4C0D" w:rsidRDefault="002D4C0D" w:rsidP="002D4C0D">
      <w:pPr>
        <w:spacing w:after="0"/>
        <w:jc w:val="both"/>
        <w:rPr>
          <w:rFonts w:ascii="Times New Roman" w:hAnsi="Times New Roman" w:cs="Times New Roman"/>
        </w:rPr>
      </w:pPr>
      <w:r w:rsidRPr="002D4C0D">
        <w:rPr>
          <w:rFonts w:ascii="Times New Roman" w:hAnsi="Times New Roman" w:cs="Times New Roman"/>
          <w:b/>
          <w:bCs/>
        </w:rPr>
        <w:t>Results:</w:t>
      </w:r>
      <w:r w:rsidRPr="002D4C0D">
        <w:rPr>
          <w:rFonts w:ascii="Times New Roman" w:hAnsi="Times New Roman" w:cs="Times New Roman"/>
        </w:rPr>
        <w:t xml:space="preserve"> Anxiety levels decreased significantly in the intervention group compared to the control group (p &lt; 0.001). In addition, systolic and diastolic blood pressure, as well as heart rate, showed significant reductions following the administration of dark chocolate and oats sticks (p &lt; 0.001).</w:t>
      </w:r>
    </w:p>
    <w:p w14:paraId="2A09FD75" w14:textId="77777777" w:rsidR="002D4C0D" w:rsidRPr="002D4C0D" w:rsidRDefault="002D4C0D" w:rsidP="002D4C0D">
      <w:pPr>
        <w:spacing w:after="0"/>
        <w:jc w:val="both"/>
        <w:rPr>
          <w:rFonts w:ascii="Times New Roman" w:hAnsi="Times New Roman" w:cs="Times New Roman"/>
        </w:rPr>
      </w:pPr>
      <w:r w:rsidRPr="002D4C0D">
        <w:rPr>
          <w:rFonts w:ascii="Times New Roman" w:hAnsi="Times New Roman" w:cs="Times New Roman"/>
          <w:b/>
          <w:bCs/>
        </w:rPr>
        <w:t>Conclusions:</w:t>
      </w:r>
      <w:r w:rsidRPr="002D4C0D">
        <w:rPr>
          <w:rFonts w:ascii="Times New Roman" w:hAnsi="Times New Roman" w:cs="Times New Roman"/>
        </w:rPr>
        <w:t xml:space="preserve"> The administration of dark chocolate and oats sticks significantly reduced anxiety levels and improved cardiovascular physiological responses among adolescents. This intervention may serve as a practical and accessible non-pharmacological approach in promotive and preventive adolescent health programs.</w:t>
      </w:r>
    </w:p>
    <w:p w14:paraId="62950081" w14:textId="77777777" w:rsidR="002D4C0D" w:rsidRDefault="002D4C0D" w:rsidP="00C4447E">
      <w:pPr>
        <w:jc w:val="both"/>
        <w:rPr>
          <w:rFonts w:ascii="Times New Roman" w:hAnsi="Times New Roman" w:cs="Times New Roman"/>
          <w:b/>
        </w:rPr>
      </w:pPr>
    </w:p>
    <w:p w14:paraId="2D45E00D" w14:textId="36A2471F" w:rsidR="00C4447E" w:rsidRDefault="00C4447E" w:rsidP="00C4447E">
      <w:pPr>
        <w:jc w:val="both"/>
        <w:rPr>
          <w:rFonts w:ascii="Times New Roman" w:hAnsi="Times New Roman" w:cs="Times New Roman"/>
          <w:bCs/>
        </w:rPr>
      </w:pPr>
      <w:r w:rsidRPr="00C4447E">
        <w:rPr>
          <w:rFonts w:ascii="Times New Roman" w:hAnsi="Times New Roman" w:cs="Times New Roman"/>
          <w:b/>
        </w:rPr>
        <w:t>Keywords</w:t>
      </w:r>
      <w:r w:rsidRPr="00C4447E">
        <w:rPr>
          <w:rFonts w:ascii="Times New Roman" w:hAnsi="Times New Roman" w:cs="Times New Roman"/>
          <w:bCs/>
        </w:rPr>
        <w:t xml:space="preserve">: </w:t>
      </w:r>
      <w:r w:rsidR="00A11C24" w:rsidRPr="00A11C24">
        <w:rPr>
          <w:rFonts w:ascii="Times New Roman" w:hAnsi="Times New Roman" w:cs="Times New Roman"/>
          <w:bCs/>
        </w:rPr>
        <w:t>dark chocolate; oats; anxiety; blood pressure; heart rate; adolescents</w:t>
      </w:r>
    </w:p>
    <w:p w14:paraId="27A61EAA" w14:textId="77777777" w:rsidR="002D4C0D" w:rsidRPr="00C4447E" w:rsidRDefault="002D4C0D" w:rsidP="00C4447E">
      <w:pPr>
        <w:jc w:val="both"/>
        <w:rPr>
          <w:rFonts w:ascii="Times New Roman" w:hAnsi="Times New Roman" w:cs="Times New Roman"/>
          <w:bCs/>
        </w:rPr>
      </w:pPr>
    </w:p>
    <w:p w14:paraId="02302D6B" w14:textId="77777777" w:rsidR="00E23AFC" w:rsidRDefault="00E23AFC" w:rsidP="0052261C">
      <w:pPr>
        <w:jc w:val="both"/>
        <w:rPr>
          <w:rFonts w:ascii="Times New Roman" w:hAnsi="Times New Roman" w:cs="Times New Roman"/>
          <w:b/>
          <w:sz w:val="26"/>
          <w:szCs w:val="26"/>
        </w:rPr>
      </w:pPr>
    </w:p>
    <w:p w14:paraId="7A59924A" w14:textId="025496F7" w:rsidR="0052261C" w:rsidRPr="0052261C" w:rsidRDefault="0052261C" w:rsidP="0052261C">
      <w:pPr>
        <w:jc w:val="both"/>
        <w:rPr>
          <w:rFonts w:ascii="Times New Roman" w:hAnsi="Times New Roman" w:cs="Times New Roman"/>
          <w:b/>
          <w:sz w:val="26"/>
          <w:szCs w:val="26"/>
        </w:rPr>
      </w:pPr>
      <w:r w:rsidRPr="0052261C">
        <w:rPr>
          <w:rFonts w:ascii="Times New Roman" w:hAnsi="Times New Roman" w:cs="Times New Roman"/>
          <w:b/>
          <w:sz w:val="26"/>
          <w:szCs w:val="26"/>
        </w:rPr>
        <w:lastRenderedPageBreak/>
        <w:t>INTRODUCTION</w:t>
      </w:r>
    </w:p>
    <w:p w14:paraId="4B1CDC3D"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Adolescence is a developmental phase characterized by significant biological, psychological, and social changes (1). During this period, individuals are often exposed to increased academic demands, interpersonal challenges, and social expectations, which make adolescents particularly vulnerable to mental health problems, especially anxiety (2). Anxiety disorders not only affect psychological well-being but also trigger physiological responses, including increased blood pressure and heart rate, as a result of sympathetic nervous system activation (3).</w:t>
      </w:r>
    </w:p>
    <w:p w14:paraId="2D39E80D"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The prevalence of anxiety disorders among adolescents in Indonesia remains a significant public health concern. Previous data indicate that approximately 68.7% of the Indonesian population experiences varying levels of anxiety, ranging from mild to severe (4). In addition, findings from the Indonesia National Adolescent Mental Health Survey (I-NAMHS) reported that 3.7% of adolescents aged 10–17 years experienced anxiety disorders within a 12-month period, making it one of the most common mental health conditions in this age group (5).</w:t>
      </w:r>
    </w:p>
    <w:p w14:paraId="21881709"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Physiologically, chronic anxiety is associated with sustained activation of the sympathetic nervous system, leading to increased secretion of stress hormones such as cortisol and catecholamines. This condition results in elevated heart rate and vasoconstriction, which ultimately contributes to increased blood pressure (6). Previous studies have demonstrated a significant relationship between anxiety levels and blood pressure among adolescents, indicating that individuals with higher anxiety levels tend to exhibit higher blood pressure (7). Furthermore, epidemiological data from Indonesia show that the prevalence of prehypertension among adolescents reaches 16.8%, while hypertension accounts for 2.6% of cases, highlighting the early onset of cardiovascular risk in this population (8). Globally, the prevalence of hypertension among children and adolescents has also increased over the past two decades, rising from 3.2% to more than 6.2% (9).</w:t>
      </w:r>
    </w:p>
    <w:p w14:paraId="7CE885B7"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Non-pharmacological approaches, particularly those based on nutritional interventions, have gained increasing attention in adolescent health research. Certain functional foods are known to influence both physiological and psychological responses. Dark chocolate, which is rich in flavonoids such as epicatechin, has been shown to enhance endothelial function through increased nitric oxide production, resulting in vasodilation and reduced blood pressure (10). Moreover, flavonoids have been associated with improved mood and reduced stress responses.</w:t>
      </w:r>
    </w:p>
    <w:p w14:paraId="7F5EA853"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Oats, on the other hand, are a rich source of soluble fiber (beta-glucan), magnesium, and B-complex vitamins, all of which play essential roles in metabolic regulation and neurotransmitter synthesis. These components contribute to improved glucose stability and increased serotonin production, which is closely related to mood regulation and stress reduction (11). Additionally, regular oat consumption has been linked to improved cardiovascular health and reduced risk of metabolic disorders.</w:t>
      </w:r>
    </w:p>
    <w:p w14:paraId="6D6C7940"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 xml:space="preserve">The combination of dark chocolate and oats presents a promising functional food intervention that may exert synergistic effects on both psychological and physiological parameters. This combination is expected to improve endothelial function, modulate autonomic nervous system </w:t>
      </w:r>
      <w:r w:rsidRPr="00C4447E">
        <w:rPr>
          <w:rFonts w:ascii="Times New Roman" w:hAnsi="Times New Roman" w:cs="Times New Roman"/>
          <w:bCs/>
        </w:rPr>
        <w:lastRenderedPageBreak/>
        <w:t>activity, and enhance stress regulation (12). However, studies investigating the combined effects of these functional foods on anxiety, blood pressure, and heart rate in adolescents remain limited (13). Therefore, this study was conducted to address this gap and to provide evidence-based support for the use of simple nutritional interventions in adolescent health promotion and preventive strategies.</w:t>
      </w:r>
    </w:p>
    <w:p w14:paraId="4303A19A" w14:textId="77777777" w:rsidR="0052261C" w:rsidRDefault="0052261C" w:rsidP="0052261C">
      <w:pPr>
        <w:jc w:val="both"/>
        <w:rPr>
          <w:rFonts w:ascii="Times New Roman" w:hAnsi="Times New Roman" w:cs="Times New Roman"/>
          <w:lang w:val="en-US"/>
        </w:rPr>
      </w:pPr>
    </w:p>
    <w:p w14:paraId="347EB0D3" w14:textId="77777777" w:rsidR="0052261C" w:rsidRPr="0052261C" w:rsidRDefault="0052261C" w:rsidP="0052261C">
      <w:pPr>
        <w:jc w:val="both"/>
        <w:rPr>
          <w:rFonts w:ascii="Times New Roman" w:hAnsi="Times New Roman" w:cs="Times New Roman"/>
          <w:b/>
          <w:sz w:val="26"/>
          <w:szCs w:val="26"/>
        </w:rPr>
      </w:pPr>
      <w:r w:rsidRPr="0052261C">
        <w:rPr>
          <w:rFonts w:ascii="Times New Roman" w:hAnsi="Times New Roman" w:cs="Times New Roman"/>
          <w:b/>
          <w:sz w:val="26"/>
          <w:szCs w:val="26"/>
        </w:rPr>
        <w:t>METHODS</w:t>
      </w:r>
    </w:p>
    <w:p w14:paraId="38AC6FC7" w14:textId="77777777" w:rsidR="00740D45" w:rsidRPr="00740D45" w:rsidRDefault="00740D45" w:rsidP="00740D45">
      <w:pPr>
        <w:jc w:val="both"/>
        <w:rPr>
          <w:rFonts w:ascii="Times New Roman" w:hAnsi="Times New Roman" w:cs="Times New Roman"/>
          <w:bCs/>
        </w:rPr>
      </w:pPr>
      <w:r w:rsidRPr="00740D45">
        <w:rPr>
          <w:rFonts w:ascii="Times New Roman" w:hAnsi="Times New Roman" w:cs="Times New Roman"/>
          <w:bCs/>
        </w:rPr>
        <w:t>This study employed a quasi-experimental design with pretest and posttest measurements. Group I received dark chocolate and oats sticks as the intervention, while Group II served as a control group and did not receive the intervention. Each group consisted of 30 participants. The study was conducted at SMA Negeri 2 Kendari in September 2021.</w:t>
      </w:r>
    </w:p>
    <w:p w14:paraId="4A4907F9" w14:textId="77777777" w:rsidR="00740D45" w:rsidRPr="00740D45" w:rsidRDefault="00740D45" w:rsidP="00740D45">
      <w:pPr>
        <w:jc w:val="both"/>
        <w:rPr>
          <w:rFonts w:ascii="Times New Roman" w:hAnsi="Times New Roman" w:cs="Times New Roman"/>
          <w:bCs/>
        </w:rPr>
      </w:pPr>
      <w:r w:rsidRPr="00740D45">
        <w:rPr>
          <w:rFonts w:ascii="Times New Roman" w:hAnsi="Times New Roman" w:cs="Times New Roman"/>
          <w:bCs/>
        </w:rPr>
        <w:t>The study population consisted of 1,510 adolescents, with 60 respondents selected based on inclusion and exclusion criteria. Anxiety levels were measured using a questionnaire, while blood pressure and heart rate were measured using standard instruments.</w:t>
      </w:r>
    </w:p>
    <w:p w14:paraId="4940D817" w14:textId="6F26FA7F" w:rsidR="0052261C" w:rsidRDefault="00740D45" w:rsidP="0052261C">
      <w:pPr>
        <w:jc w:val="both"/>
        <w:rPr>
          <w:rFonts w:ascii="Times New Roman" w:hAnsi="Times New Roman" w:cs="Times New Roman"/>
          <w:bCs/>
        </w:rPr>
      </w:pPr>
      <w:r w:rsidRPr="00740D45">
        <w:rPr>
          <w:rFonts w:ascii="Times New Roman" w:hAnsi="Times New Roman" w:cs="Times New Roman"/>
          <w:bCs/>
        </w:rPr>
        <w:t>Bivariate analysis was conducted using the t-test. Ethical approval was obtained (No. 80/STIKES-NH/KEPK/II/2021).</w:t>
      </w:r>
    </w:p>
    <w:p w14:paraId="70716E10" w14:textId="77777777" w:rsidR="00740D45" w:rsidRDefault="00740D45" w:rsidP="0052261C">
      <w:pPr>
        <w:jc w:val="both"/>
        <w:rPr>
          <w:rFonts w:ascii="Times New Roman" w:hAnsi="Times New Roman" w:cs="Times New Roman"/>
          <w:bCs/>
        </w:rPr>
      </w:pPr>
    </w:p>
    <w:p w14:paraId="6505D6B7" w14:textId="58E1FB45" w:rsidR="0052261C" w:rsidRPr="0052261C" w:rsidRDefault="0052261C" w:rsidP="0052261C">
      <w:pPr>
        <w:jc w:val="both"/>
        <w:rPr>
          <w:rFonts w:ascii="Times New Roman" w:hAnsi="Times New Roman" w:cs="Times New Roman"/>
          <w:b/>
          <w:sz w:val="26"/>
          <w:szCs w:val="26"/>
          <w:lang w:val="en-US"/>
        </w:rPr>
      </w:pPr>
      <w:r w:rsidRPr="0052261C">
        <w:rPr>
          <w:rFonts w:ascii="Times New Roman" w:hAnsi="Times New Roman" w:cs="Times New Roman"/>
          <w:b/>
          <w:sz w:val="26"/>
          <w:szCs w:val="26"/>
          <w:lang w:val="en-US"/>
        </w:rPr>
        <w:t>RESULT</w:t>
      </w:r>
    </w:p>
    <w:p w14:paraId="2C0B1E19" w14:textId="77777777" w:rsidR="0052261C" w:rsidRPr="0052261C" w:rsidRDefault="0052261C" w:rsidP="0052261C">
      <w:pPr>
        <w:jc w:val="both"/>
        <w:rPr>
          <w:rFonts w:ascii="Times New Roman" w:hAnsi="Times New Roman" w:cs="Times New Roman"/>
          <w:lang w:val="en-US"/>
        </w:rPr>
      </w:pPr>
      <w:bookmarkStart w:id="0" w:name="_heading=h.4d34og8"/>
      <w:bookmarkEnd w:id="0"/>
      <w:r w:rsidRPr="0052261C">
        <w:rPr>
          <w:rFonts w:ascii="Times New Roman" w:hAnsi="Times New Roman" w:cs="Times New Roman"/>
          <w:lang w:val="en-US"/>
        </w:rPr>
        <w:t>Table 1. Characteristics of Respondents</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572"/>
        <w:gridCol w:w="2010"/>
        <w:gridCol w:w="1559"/>
        <w:gridCol w:w="1560"/>
        <w:gridCol w:w="1275"/>
      </w:tblGrid>
      <w:tr w:rsidR="0052261C" w:rsidRPr="0052261C" w14:paraId="45E114BC" w14:textId="77777777">
        <w:tc>
          <w:tcPr>
            <w:tcW w:w="2096" w:type="dxa"/>
            <w:vMerge w:val="restart"/>
            <w:tcBorders>
              <w:top w:val="single" w:sz="4" w:space="0" w:color="auto"/>
              <w:left w:val="nil"/>
              <w:bottom w:val="single" w:sz="4" w:space="0" w:color="auto"/>
              <w:right w:val="nil"/>
            </w:tcBorders>
            <w:hideMark/>
          </w:tcPr>
          <w:p w14:paraId="418E62F9" w14:textId="14A37EC3"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Variab</w:t>
            </w:r>
            <w:r w:rsidR="00ED2A96">
              <w:rPr>
                <w:rFonts w:ascii="Times New Roman" w:hAnsi="Times New Roman" w:cs="Times New Roman"/>
                <w:lang w:val="en-US"/>
              </w:rPr>
              <w:t>le</w:t>
            </w:r>
          </w:p>
        </w:tc>
        <w:tc>
          <w:tcPr>
            <w:tcW w:w="2582" w:type="dxa"/>
            <w:gridSpan w:val="2"/>
            <w:tcBorders>
              <w:top w:val="single" w:sz="4" w:space="0" w:color="auto"/>
              <w:left w:val="nil"/>
              <w:bottom w:val="single" w:sz="4" w:space="0" w:color="auto"/>
              <w:right w:val="nil"/>
            </w:tcBorders>
            <w:hideMark/>
          </w:tcPr>
          <w:p w14:paraId="0E77C5A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w:t>
            </w:r>
          </w:p>
        </w:tc>
        <w:tc>
          <w:tcPr>
            <w:tcW w:w="3119" w:type="dxa"/>
            <w:gridSpan w:val="2"/>
            <w:tcBorders>
              <w:top w:val="single" w:sz="4" w:space="0" w:color="auto"/>
              <w:left w:val="nil"/>
              <w:bottom w:val="single" w:sz="4" w:space="0" w:color="auto"/>
              <w:right w:val="nil"/>
            </w:tcBorders>
            <w:hideMark/>
          </w:tcPr>
          <w:p w14:paraId="23E626F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II</w:t>
            </w:r>
          </w:p>
        </w:tc>
        <w:tc>
          <w:tcPr>
            <w:tcW w:w="1275" w:type="dxa"/>
            <w:vMerge w:val="restart"/>
            <w:tcBorders>
              <w:top w:val="single" w:sz="4" w:space="0" w:color="auto"/>
              <w:left w:val="nil"/>
              <w:bottom w:val="single" w:sz="4" w:space="0" w:color="auto"/>
              <w:right w:val="nil"/>
            </w:tcBorders>
            <w:hideMark/>
          </w:tcPr>
          <w:p w14:paraId="4F713A94"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1DD3341F" w14:textId="77777777">
        <w:tc>
          <w:tcPr>
            <w:tcW w:w="0" w:type="auto"/>
            <w:vMerge/>
            <w:tcBorders>
              <w:top w:val="single" w:sz="4" w:space="0" w:color="auto"/>
              <w:left w:val="nil"/>
              <w:bottom w:val="single" w:sz="4" w:space="0" w:color="auto"/>
              <w:right w:val="nil"/>
            </w:tcBorders>
            <w:vAlign w:val="center"/>
            <w:hideMark/>
          </w:tcPr>
          <w:p w14:paraId="66E54962" w14:textId="77777777" w:rsidR="0052261C" w:rsidRPr="0052261C" w:rsidRDefault="0052261C" w:rsidP="0052261C">
            <w:pPr>
              <w:spacing w:after="160" w:line="278" w:lineRule="auto"/>
              <w:jc w:val="both"/>
              <w:rPr>
                <w:rFonts w:ascii="Times New Roman" w:hAnsi="Times New Roman" w:cs="Times New Roman"/>
                <w:lang w:val="en-US"/>
              </w:rPr>
            </w:pPr>
          </w:p>
        </w:tc>
        <w:tc>
          <w:tcPr>
            <w:tcW w:w="572" w:type="dxa"/>
            <w:tcBorders>
              <w:top w:val="single" w:sz="4" w:space="0" w:color="auto"/>
              <w:left w:val="nil"/>
              <w:bottom w:val="single" w:sz="4" w:space="0" w:color="auto"/>
              <w:right w:val="nil"/>
            </w:tcBorders>
            <w:hideMark/>
          </w:tcPr>
          <w:p w14:paraId="053D33A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2010" w:type="dxa"/>
            <w:tcBorders>
              <w:top w:val="single" w:sz="4" w:space="0" w:color="auto"/>
              <w:left w:val="nil"/>
              <w:bottom w:val="single" w:sz="4" w:space="0" w:color="auto"/>
              <w:right w:val="nil"/>
            </w:tcBorders>
            <w:hideMark/>
          </w:tcPr>
          <w:p w14:paraId="17F4767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1559" w:type="dxa"/>
            <w:tcBorders>
              <w:top w:val="single" w:sz="4" w:space="0" w:color="auto"/>
              <w:left w:val="nil"/>
              <w:bottom w:val="single" w:sz="4" w:space="0" w:color="auto"/>
              <w:right w:val="nil"/>
            </w:tcBorders>
            <w:hideMark/>
          </w:tcPr>
          <w:p w14:paraId="1870E44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560" w:type="dxa"/>
            <w:tcBorders>
              <w:top w:val="single" w:sz="4" w:space="0" w:color="auto"/>
              <w:left w:val="nil"/>
              <w:bottom w:val="single" w:sz="4" w:space="0" w:color="auto"/>
              <w:right w:val="nil"/>
            </w:tcBorders>
            <w:hideMark/>
          </w:tcPr>
          <w:p w14:paraId="3DF1809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0" w:type="auto"/>
            <w:vMerge/>
            <w:tcBorders>
              <w:top w:val="single" w:sz="4" w:space="0" w:color="auto"/>
              <w:left w:val="nil"/>
              <w:bottom w:val="single" w:sz="4" w:space="0" w:color="auto"/>
              <w:right w:val="nil"/>
            </w:tcBorders>
            <w:vAlign w:val="center"/>
            <w:hideMark/>
          </w:tcPr>
          <w:p w14:paraId="74DEAE57"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773050D1" w14:textId="77777777">
        <w:tc>
          <w:tcPr>
            <w:tcW w:w="2096" w:type="dxa"/>
            <w:tcBorders>
              <w:top w:val="single" w:sz="4" w:space="0" w:color="auto"/>
              <w:left w:val="nil"/>
              <w:bottom w:val="single" w:sz="4" w:space="0" w:color="auto"/>
              <w:right w:val="nil"/>
            </w:tcBorders>
            <w:hideMark/>
          </w:tcPr>
          <w:p w14:paraId="4A834E1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Age (Years)</w:t>
            </w:r>
          </w:p>
          <w:p w14:paraId="2A58D25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15</w:t>
            </w:r>
          </w:p>
          <w:p w14:paraId="2C89BCE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16</w:t>
            </w:r>
          </w:p>
          <w:p w14:paraId="3B20C25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17</w:t>
            </w:r>
          </w:p>
        </w:tc>
        <w:tc>
          <w:tcPr>
            <w:tcW w:w="572" w:type="dxa"/>
            <w:tcBorders>
              <w:top w:val="single" w:sz="4" w:space="0" w:color="auto"/>
              <w:left w:val="nil"/>
              <w:bottom w:val="single" w:sz="4" w:space="0" w:color="auto"/>
              <w:right w:val="nil"/>
            </w:tcBorders>
          </w:tcPr>
          <w:p w14:paraId="72CC1D9A" w14:textId="77777777" w:rsidR="0052261C" w:rsidRPr="0052261C" w:rsidRDefault="0052261C" w:rsidP="0052261C">
            <w:pPr>
              <w:spacing w:after="160" w:line="278" w:lineRule="auto"/>
              <w:jc w:val="both"/>
              <w:rPr>
                <w:rFonts w:ascii="Times New Roman" w:hAnsi="Times New Roman" w:cs="Times New Roman"/>
                <w:lang w:val="en-US"/>
              </w:rPr>
            </w:pPr>
          </w:p>
          <w:p w14:paraId="1B989E4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w:t>
            </w:r>
          </w:p>
          <w:p w14:paraId="48FCAAB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13</w:t>
            </w:r>
          </w:p>
          <w:p w14:paraId="202CF1D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6</w:t>
            </w:r>
          </w:p>
        </w:tc>
        <w:tc>
          <w:tcPr>
            <w:tcW w:w="2010" w:type="dxa"/>
            <w:tcBorders>
              <w:top w:val="single" w:sz="4" w:space="0" w:color="auto"/>
              <w:left w:val="nil"/>
              <w:bottom w:val="single" w:sz="4" w:space="0" w:color="auto"/>
              <w:right w:val="nil"/>
            </w:tcBorders>
          </w:tcPr>
          <w:p w14:paraId="77458429" w14:textId="77777777" w:rsidR="0052261C" w:rsidRPr="0052261C" w:rsidRDefault="0052261C" w:rsidP="0052261C">
            <w:pPr>
              <w:spacing w:after="160" w:line="278" w:lineRule="auto"/>
              <w:jc w:val="both"/>
              <w:rPr>
                <w:rFonts w:ascii="Times New Roman" w:hAnsi="Times New Roman" w:cs="Times New Roman"/>
                <w:lang w:val="en-US"/>
              </w:rPr>
            </w:pPr>
          </w:p>
          <w:p w14:paraId="40EC23A9"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36.7</w:t>
            </w:r>
          </w:p>
          <w:p w14:paraId="3E20F38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43.3</w:t>
            </w:r>
          </w:p>
          <w:p w14:paraId="112B091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20.0</w:t>
            </w:r>
          </w:p>
        </w:tc>
        <w:tc>
          <w:tcPr>
            <w:tcW w:w="1559" w:type="dxa"/>
            <w:tcBorders>
              <w:top w:val="single" w:sz="4" w:space="0" w:color="auto"/>
              <w:left w:val="nil"/>
              <w:bottom w:val="single" w:sz="4" w:space="0" w:color="auto"/>
              <w:right w:val="nil"/>
            </w:tcBorders>
          </w:tcPr>
          <w:p w14:paraId="3B086DAE" w14:textId="77777777" w:rsidR="0052261C" w:rsidRPr="0052261C" w:rsidRDefault="0052261C" w:rsidP="0052261C">
            <w:pPr>
              <w:spacing w:after="160" w:line="278" w:lineRule="auto"/>
              <w:jc w:val="both"/>
              <w:rPr>
                <w:rFonts w:ascii="Times New Roman" w:hAnsi="Times New Roman" w:cs="Times New Roman"/>
                <w:lang w:val="en-US"/>
              </w:rPr>
            </w:pPr>
          </w:p>
          <w:p w14:paraId="4D647A2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w:t>
            </w:r>
          </w:p>
          <w:p w14:paraId="22AE66F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14</w:t>
            </w:r>
          </w:p>
          <w:p w14:paraId="17B0A17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5</w:t>
            </w:r>
          </w:p>
        </w:tc>
        <w:tc>
          <w:tcPr>
            <w:tcW w:w="1560" w:type="dxa"/>
            <w:tcBorders>
              <w:top w:val="single" w:sz="4" w:space="0" w:color="auto"/>
              <w:left w:val="nil"/>
              <w:bottom w:val="single" w:sz="4" w:space="0" w:color="auto"/>
              <w:right w:val="nil"/>
            </w:tcBorders>
          </w:tcPr>
          <w:p w14:paraId="6E2F319D" w14:textId="77777777" w:rsidR="0052261C" w:rsidRPr="0052261C" w:rsidRDefault="0052261C" w:rsidP="0052261C">
            <w:pPr>
              <w:spacing w:after="160" w:line="278" w:lineRule="auto"/>
              <w:jc w:val="both"/>
              <w:rPr>
                <w:rFonts w:ascii="Times New Roman" w:hAnsi="Times New Roman" w:cs="Times New Roman"/>
                <w:lang w:val="en-US"/>
              </w:rPr>
            </w:pPr>
          </w:p>
          <w:p w14:paraId="238F36A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36.7</w:t>
            </w:r>
          </w:p>
          <w:p w14:paraId="48300CE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46.7</w:t>
            </w:r>
          </w:p>
          <w:p w14:paraId="766C56F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16.6</w:t>
            </w:r>
          </w:p>
        </w:tc>
        <w:tc>
          <w:tcPr>
            <w:tcW w:w="1275" w:type="dxa"/>
            <w:tcBorders>
              <w:top w:val="single" w:sz="4" w:space="0" w:color="auto"/>
              <w:left w:val="nil"/>
              <w:bottom w:val="single" w:sz="4" w:space="0" w:color="auto"/>
              <w:right w:val="nil"/>
            </w:tcBorders>
            <w:hideMark/>
          </w:tcPr>
          <w:p w14:paraId="3550C8B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0.632</w:t>
            </w:r>
          </w:p>
        </w:tc>
      </w:tr>
    </w:tbl>
    <w:p w14:paraId="154D68FD" w14:textId="4839015E" w:rsidR="0052261C" w:rsidRPr="0052261C" w:rsidRDefault="0052261C" w:rsidP="0052261C">
      <w:pPr>
        <w:jc w:val="both"/>
        <w:rPr>
          <w:rFonts w:ascii="Times New Roman" w:hAnsi="Times New Roman" w:cs="Times New Roman"/>
          <w:b/>
          <w:bCs/>
          <w:lang w:val="en-US"/>
        </w:rPr>
      </w:pPr>
      <w:r w:rsidRPr="0052261C">
        <w:rPr>
          <w:rFonts w:ascii="Times New Roman" w:hAnsi="Times New Roman" w:cs="Times New Roman"/>
          <w:b/>
          <w:bCs/>
          <w:lang w:val="en-US"/>
        </w:rPr>
        <w:t xml:space="preserve"> </w:t>
      </w:r>
    </w:p>
    <w:p w14:paraId="55C17C2A" w14:textId="77777777"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Table 2. Anxiety Levels of Respondents Before Intervention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512"/>
        <w:gridCol w:w="1276"/>
        <w:gridCol w:w="1275"/>
        <w:gridCol w:w="1418"/>
        <w:gridCol w:w="1417"/>
      </w:tblGrid>
      <w:tr w:rsidR="0052261C" w:rsidRPr="0052261C" w14:paraId="3BDE42FA" w14:textId="77777777">
        <w:tc>
          <w:tcPr>
            <w:tcW w:w="2174" w:type="dxa"/>
            <w:vMerge w:val="restart"/>
            <w:tcBorders>
              <w:top w:val="single" w:sz="4" w:space="0" w:color="auto"/>
              <w:left w:val="nil"/>
              <w:bottom w:val="single" w:sz="4" w:space="0" w:color="auto"/>
              <w:right w:val="nil"/>
            </w:tcBorders>
            <w:hideMark/>
          </w:tcPr>
          <w:p w14:paraId="7AC53151" w14:textId="4EFFD9FC"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Variab</w:t>
            </w:r>
            <w:r w:rsidR="00ED2A96">
              <w:rPr>
                <w:rFonts w:ascii="Times New Roman" w:hAnsi="Times New Roman" w:cs="Times New Roman"/>
                <w:lang w:val="en-US"/>
              </w:rPr>
              <w:t>le</w:t>
            </w:r>
          </w:p>
        </w:tc>
        <w:tc>
          <w:tcPr>
            <w:tcW w:w="2788" w:type="dxa"/>
            <w:gridSpan w:val="2"/>
            <w:tcBorders>
              <w:top w:val="single" w:sz="4" w:space="0" w:color="auto"/>
              <w:left w:val="nil"/>
              <w:bottom w:val="single" w:sz="4" w:space="0" w:color="auto"/>
              <w:right w:val="nil"/>
            </w:tcBorders>
            <w:hideMark/>
          </w:tcPr>
          <w:p w14:paraId="7A01FD5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w:t>
            </w:r>
          </w:p>
        </w:tc>
        <w:tc>
          <w:tcPr>
            <w:tcW w:w="2693" w:type="dxa"/>
            <w:gridSpan w:val="2"/>
            <w:tcBorders>
              <w:top w:val="single" w:sz="4" w:space="0" w:color="auto"/>
              <w:left w:val="nil"/>
              <w:bottom w:val="single" w:sz="4" w:space="0" w:color="auto"/>
              <w:right w:val="nil"/>
            </w:tcBorders>
            <w:hideMark/>
          </w:tcPr>
          <w:p w14:paraId="3961CC4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II</w:t>
            </w:r>
          </w:p>
        </w:tc>
        <w:tc>
          <w:tcPr>
            <w:tcW w:w="1417" w:type="dxa"/>
            <w:vMerge w:val="restart"/>
            <w:tcBorders>
              <w:top w:val="single" w:sz="4" w:space="0" w:color="auto"/>
              <w:left w:val="nil"/>
              <w:bottom w:val="single" w:sz="4" w:space="0" w:color="auto"/>
              <w:right w:val="nil"/>
            </w:tcBorders>
            <w:hideMark/>
          </w:tcPr>
          <w:p w14:paraId="77E589A4"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79C19D30" w14:textId="77777777">
        <w:tc>
          <w:tcPr>
            <w:tcW w:w="0" w:type="auto"/>
            <w:vMerge/>
            <w:tcBorders>
              <w:top w:val="single" w:sz="4" w:space="0" w:color="auto"/>
              <w:left w:val="nil"/>
              <w:bottom w:val="single" w:sz="4" w:space="0" w:color="auto"/>
              <w:right w:val="nil"/>
            </w:tcBorders>
            <w:vAlign w:val="center"/>
            <w:hideMark/>
          </w:tcPr>
          <w:p w14:paraId="58BC47F6" w14:textId="77777777" w:rsidR="0052261C" w:rsidRPr="0052261C" w:rsidRDefault="0052261C" w:rsidP="0052261C">
            <w:pPr>
              <w:spacing w:after="160" w:line="278" w:lineRule="auto"/>
              <w:jc w:val="both"/>
              <w:rPr>
                <w:rFonts w:ascii="Times New Roman" w:hAnsi="Times New Roman" w:cs="Times New Roman"/>
                <w:lang w:val="en-US"/>
              </w:rPr>
            </w:pPr>
          </w:p>
        </w:tc>
        <w:tc>
          <w:tcPr>
            <w:tcW w:w="1512" w:type="dxa"/>
            <w:tcBorders>
              <w:top w:val="single" w:sz="4" w:space="0" w:color="auto"/>
              <w:left w:val="nil"/>
              <w:bottom w:val="single" w:sz="4" w:space="0" w:color="auto"/>
              <w:right w:val="nil"/>
            </w:tcBorders>
            <w:hideMark/>
          </w:tcPr>
          <w:p w14:paraId="4A218BB9"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276" w:type="dxa"/>
            <w:tcBorders>
              <w:top w:val="single" w:sz="4" w:space="0" w:color="auto"/>
              <w:left w:val="nil"/>
              <w:bottom w:val="single" w:sz="4" w:space="0" w:color="auto"/>
              <w:right w:val="nil"/>
            </w:tcBorders>
            <w:hideMark/>
          </w:tcPr>
          <w:p w14:paraId="03FA0C8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1275" w:type="dxa"/>
            <w:tcBorders>
              <w:top w:val="single" w:sz="4" w:space="0" w:color="auto"/>
              <w:left w:val="nil"/>
              <w:bottom w:val="single" w:sz="4" w:space="0" w:color="auto"/>
              <w:right w:val="nil"/>
            </w:tcBorders>
            <w:hideMark/>
          </w:tcPr>
          <w:p w14:paraId="2ABE719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418" w:type="dxa"/>
            <w:tcBorders>
              <w:top w:val="single" w:sz="4" w:space="0" w:color="auto"/>
              <w:left w:val="nil"/>
              <w:bottom w:val="single" w:sz="4" w:space="0" w:color="auto"/>
              <w:right w:val="nil"/>
            </w:tcBorders>
            <w:hideMark/>
          </w:tcPr>
          <w:p w14:paraId="6718F86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0" w:type="auto"/>
            <w:vMerge/>
            <w:tcBorders>
              <w:top w:val="single" w:sz="4" w:space="0" w:color="auto"/>
              <w:left w:val="nil"/>
              <w:bottom w:val="single" w:sz="4" w:space="0" w:color="auto"/>
              <w:right w:val="nil"/>
            </w:tcBorders>
            <w:vAlign w:val="center"/>
            <w:hideMark/>
          </w:tcPr>
          <w:p w14:paraId="43FDC6D4"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20107116" w14:textId="77777777">
        <w:tc>
          <w:tcPr>
            <w:tcW w:w="2174" w:type="dxa"/>
            <w:tcBorders>
              <w:top w:val="single" w:sz="4" w:space="0" w:color="auto"/>
              <w:left w:val="nil"/>
              <w:bottom w:val="single" w:sz="4" w:space="0" w:color="auto"/>
              <w:right w:val="nil"/>
            </w:tcBorders>
            <w:hideMark/>
          </w:tcPr>
          <w:p w14:paraId="13B8230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Anxiety </w:t>
            </w:r>
          </w:p>
          <w:p w14:paraId="1A24FFF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Mild </w:t>
            </w:r>
          </w:p>
          <w:p w14:paraId="187D601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Moderate </w:t>
            </w:r>
          </w:p>
          <w:p w14:paraId="1CDBD0E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 xml:space="preserve">Severe </w:t>
            </w:r>
          </w:p>
          <w:p w14:paraId="37EB295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Very Severe</w:t>
            </w:r>
          </w:p>
        </w:tc>
        <w:tc>
          <w:tcPr>
            <w:tcW w:w="1512" w:type="dxa"/>
            <w:tcBorders>
              <w:top w:val="single" w:sz="4" w:space="0" w:color="auto"/>
              <w:left w:val="nil"/>
              <w:bottom w:val="single" w:sz="4" w:space="0" w:color="auto"/>
              <w:right w:val="nil"/>
            </w:tcBorders>
          </w:tcPr>
          <w:p w14:paraId="539E5B4E" w14:textId="77777777" w:rsidR="0052261C" w:rsidRPr="0052261C" w:rsidRDefault="0052261C" w:rsidP="0052261C">
            <w:pPr>
              <w:spacing w:after="160" w:line="278" w:lineRule="auto"/>
              <w:jc w:val="both"/>
              <w:rPr>
                <w:rFonts w:ascii="Times New Roman" w:hAnsi="Times New Roman" w:cs="Times New Roman"/>
                <w:lang w:val="en-US"/>
              </w:rPr>
            </w:pPr>
          </w:p>
          <w:p w14:paraId="7D21919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21</w:t>
            </w:r>
          </w:p>
          <w:p w14:paraId="0BDBD21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w:t>
            </w:r>
          </w:p>
          <w:p w14:paraId="0B17435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0</w:t>
            </w:r>
          </w:p>
          <w:p w14:paraId="167E9CE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276" w:type="dxa"/>
            <w:tcBorders>
              <w:top w:val="single" w:sz="4" w:space="0" w:color="auto"/>
              <w:left w:val="nil"/>
              <w:bottom w:val="single" w:sz="4" w:space="0" w:color="auto"/>
              <w:right w:val="nil"/>
            </w:tcBorders>
          </w:tcPr>
          <w:p w14:paraId="1254E910" w14:textId="77777777" w:rsidR="0052261C" w:rsidRPr="0052261C" w:rsidRDefault="0052261C" w:rsidP="0052261C">
            <w:pPr>
              <w:spacing w:after="160" w:line="278" w:lineRule="auto"/>
              <w:jc w:val="both"/>
              <w:rPr>
                <w:rFonts w:ascii="Times New Roman" w:hAnsi="Times New Roman" w:cs="Times New Roman"/>
                <w:lang w:val="en-US"/>
              </w:rPr>
            </w:pPr>
          </w:p>
          <w:p w14:paraId="5E7DBA51" w14:textId="39E30DE3"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r w:rsidR="00761659">
              <w:rPr>
                <w:rFonts w:ascii="Times New Roman" w:hAnsi="Times New Roman" w:cs="Times New Roman"/>
                <w:lang w:val="en-US"/>
              </w:rPr>
              <w:t>.</w:t>
            </w:r>
            <w:r w:rsidRPr="0052261C">
              <w:rPr>
                <w:rFonts w:ascii="Times New Roman" w:hAnsi="Times New Roman" w:cs="Times New Roman"/>
                <w:lang w:val="en-US"/>
              </w:rPr>
              <w:t>0</w:t>
            </w:r>
          </w:p>
          <w:p w14:paraId="18619569" w14:textId="1209E189"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r w:rsidR="00761659">
              <w:rPr>
                <w:rFonts w:ascii="Times New Roman" w:hAnsi="Times New Roman" w:cs="Times New Roman"/>
                <w:lang w:val="en-US"/>
              </w:rPr>
              <w:t>.</w:t>
            </w:r>
            <w:r w:rsidRPr="0052261C">
              <w:rPr>
                <w:rFonts w:ascii="Times New Roman" w:hAnsi="Times New Roman" w:cs="Times New Roman"/>
                <w:lang w:val="en-US"/>
              </w:rPr>
              <w:t>0</w:t>
            </w:r>
          </w:p>
          <w:p w14:paraId="72ADAAC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0</w:t>
            </w:r>
          </w:p>
          <w:p w14:paraId="0B7D284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275" w:type="dxa"/>
            <w:tcBorders>
              <w:top w:val="single" w:sz="4" w:space="0" w:color="auto"/>
              <w:left w:val="nil"/>
              <w:bottom w:val="single" w:sz="4" w:space="0" w:color="auto"/>
              <w:right w:val="nil"/>
            </w:tcBorders>
          </w:tcPr>
          <w:p w14:paraId="5B7FD8A1" w14:textId="77777777" w:rsidR="0052261C" w:rsidRPr="0052261C" w:rsidRDefault="0052261C" w:rsidP="0052261C">
            <w:pPr>
              <w:spacing w:after="160" w:line="278" w:lineRule="auto"/>
              <w:jc w:val="both"/>
              <w:rPr>
                <w:rFonts w:ascii="Times New Roman" w:hAnsi="Times New Roman" w:cs="Times New Roman"/>
                <w:lang w:val="en-US"/>
              </w:rPr>
            </w:pPr>
          </w:p>
          <w:p w14:paraId="52A67D5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21</w:t>
            </w:r>
          </w:p>
          <w:p w14:paraId="58235F2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w:t>
            </w:r>
          </w:p>
          <w:p w14:paraId="600722C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0</w:t>
            </w:r>
          </w:p>
          <w:p w14:paraId="0CCD250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418" w:type="dxa"/>
            <w:tcBorders>
              <w:top w:val="single" w:sz="4" w:space="0" w:color="auto"/>
              <w:left w:val="nil"/>
              <w:bottom w:val="single" w:sz="4" w:space="0" w:color="auto"/>
              <w:right w:val="nil"/>
            </w:tcBorders>
          </w:tcPr>
          <w:p w14:paraId="35131C85" w14:textId="77777777" w:rsidR="0052261C" w:rsidRPr="0052261C" w:rsidRDefault="0052261C" w:rsidP="0052261C">
            <w:pPr>
              <w:spacing w:after="160" w:line="278" w:lineRule="auto"/>
              <w:jc w:val="both"/>
              <w:rPr>
                <w:rFonts w:ascii="Times New Roman" w:hAnsi="Times New Roman" w:cs="Times New Roman"/>
                <w:lang w:val="en-US"/>
              </w:rPr>
            </w:pPr>
          </w:p>
          <w:p w14:paraId="3939E805" w14:textId="0B2DCC2A"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r w:rsidR="008A066F">
              <w:rPr>
                <w:rFonts w:ascii="Times New Roman" w:hAnsi="Times New Roman" w:cs="Times New Roman"/>
                <w:lang w:val="en-US"/>
              </w:rPr>
              <w:t>.</w:t>
            </w:r>
            <w:r w:rsidRPr="0052261C">
              <w:rPr>
                <w:rFonts w:ascii="Times New Roman" w:hAnsi="Times New Roman" w:cs="Times New Roman"/>
                <w:lang w:val="en-US"/>
              </w:rPr>
              <w:t>0</w:t>
            </w:r>
          </w:p>
          <w:p w14:paraId="7D86C927" w14:textId="0D1AF28F"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r w:rsidR="008A066F">
              <w:rPr>
                <w:rFonts w:ascii="Times New Roman" w:hAnsi="Times New Roman" w:cs="Times New Roman"/>
                <w:lang w:val="en-US"/>
              </w:rPr>
              <w:t>.</w:t>
            </w:r>
            <w:r w:rsidRPr="0052261C">
              <w:rPr>
                <w:rFonts w:ascii="Times New Roman" w:hAnsi="Times New Roman" w:cs="Times New Roman"/>
                <w:lang w:val="en-US"/>
              </w:rPr>
              <w:t>0</w:t>
            </w:r>
          </w:p>
          <w:p w14:paraId="36DFC5F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0</w:t>
            </w:r>
          </w:p>
          <w:p w14:paraId="41BB7F9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417" w:type="dxa"/>
            <w:tcBorders>
              <w:top w:val="single" w:sz="4" w:space="0" w:color="auto"/>
              <w:left w:val="nil"/>
              <w:bottom w:val="single" w:sz="4" w:space="0" w:color="auto"/>
              <w:right w:val="nil"/>
            </w:tcBorders>
            <w:hideMark/>
          </w:tcPr>
          <w:p w14:paraId="511B517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0.712</w:t>
            </w:r>
          </w:p>
        </w:tc>
      </w:tr>
    </w:tbl>
    <w:p w14:paraId="5226609E" w14:textId="77777777" w:rsidR="00740D45" w:rsidRPr="0052261C" w:rsidRDefault="00740D45" w:rsidP="0052261C">
      <w:pPr>
        <w:jc w:val="both"/>
        <w:rPr>
          <w:rFonts w:ascii="Times New Roman" w:hAnsi="Times New Roman" w:cs="Times New Roman"/>
          <w:lang w:val="en-US"/>
        </w:rPr>
      </w:pPr>
    </w:p>
    <w:p w14:paraId="5617A77E" w14:textId="77777777"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Table 3. Anxiety Levels of Respondents After Intervention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512"/>
        <w:gridCol w:w="1134"/>
        <w:gridCol w:w="1276"/>
        <w:gridCol w:w="1275"/>
        <w:gridCol w:w="1701"/>
      </w:tblGrid>
      <w:tr w:rsidR="0052261C" w:rsidRPr="0052261C" w14:paraId="2EE98A64" w14:textId="77777777">
        <w:tc>
          <w:tcPr>
            <w:tcW w:w="2174" w:type="dxa"/>
            <w:vMerge w:val="restart"/>
            <w:tcBorders>
              <w:top w:val="single" w:sz="4" w:space="0" w:color="auto"/>
              <w:left w:val="nil"/>
              <w:bottom w:val="single" w:sz="4" w:space="0" w:color="auto"/>
              <w:right w:val="nil"/>
            </w:tcBorders>
            <w:hideMark/>
          </w:tcPr>
          <w:p w14:paraId="648180E9" w14:textId="68B1B0C0"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Variab</w:t>
            </w:r>
            <w:r w:rsidR="00ED2A96">
              <w:rPr>
                <w:rFonts w:ascii="Times New Roman" w:hAnsi="Times New Roman" w:cs="Times New Roman"/>
                <w:lang w:val="en-US"/>
              </w:rPr>
              <w:t>le</w:t>
            </w:r>
          </w:p>
        </w:tc>
        <w:tc>
          <w:tcPr>
            <w:tcW w:w="2646" w:type="dxa"/>
            <w:gridSpan w:val="2"/>
            <w:tcBorders>
              <w:top w:val="single" w:sz="4" w:space="0" w:color="auto"/>
              <w:left w:val="nil"/>
              <w:bottom w:val="single" w:sz="4" w:space="0" w:color="auto"/>
              <w:right w:val="nil"/>
            </w:tcBorders>
            <w:hideMark/>
          </w:tcPr>
          <w:p w14:paraId="573B595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w:t>
            </w:r>
          </w:p>
        </w:tc>
        <w:tc>
          <w:tcPr>
            <w:tcW w:w="2551" w:type="dxa"/>
            <w:gridSpan w:val="2"/>
            <w:tcBorders>
              <w:top w:val="single" w:sz="4" w:space="0" w:color="auto"/>
              <w:left w:val="nil"/>
              <w:bottom w:val="single" w:sz="4" w:space="0" w:color="auto"/>
              <w:right w:val="nil"/>
            </w:tcBorders>
            <w:hideMark/>
          </w:tcPr>
          <w:p w14:paraId="1ADE36C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II</w:t>
            </w:r>
          </w:p>
        </w:tc>
        <w:tc>
          <w:tcPr>
            <w:tcW w:w="1701" w:type="dxa"/>
            <w:vMerge w:val="restart"/>
            <w:tcBorders>
              <w:top w:val="single" w:sz="4" w:space="0" w:color="auto"/>
              <w:left w:val="nil"/>
              <w:bottom w:val="single" w:sz="4" w:space="0" w:color="auto"/>
              <w:right w:val="nil"/>
            </w:tcBorders>
            <w:hideMark/>
          </w:tcPr>
          <w:p w14:paraId="59E7DBD6"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4556BD67" w14:textId="77777777">
        <w:tc>
          <w:tcPr>
            <w:tcW w:w="0" w:type="auto"/>
            <w:vMerge/>
            <w:tcBorders>
              <w:top w:val="single" w:sz="4" w:space="0" w:color="auto"/>
              <w:left w:val="nil"/>
              <w:bottom w:val="single" w:sz="4" w:space="0" w:color="auto"/>
              <w:right w:val="nil"/>
            </w:tcBorders>
            <w:vAlign w:val="center"/>
            <w:hideMark/>
          </w:tcPr>
          <w:p w14:paraId="506EFC83" w14:textId="77777777" w:rsidR="0052261C" w:rsidRPr="0052261C" w:rsidRDefault="0052261C" w:rsidP="0052261C">
            <w:pPr>
              <w:spacing w:after="160" w:line="278" w:lineRule="auto"/>
              <w:jc w:val="both"/>
              <w:rPr>
                <w:rFonts w:ascii="Times New Roman" w:hAnsi="Times New Roman" w:cs="Times New Roman"/>
                <w:lang w:val="en-US"/>
              </w:rPr>
            </w:pPr>
          </w:p>
        </w:tc>
        <w:tc>
          <w:tcPr>
            <w:tcW w:w="1512" w:type="dxa"/>
            <w:tcBorders>
              <w:top w:val="single" w:sz="4" w:space="0" w:color="auto"/>
              <w:left w:val="nil"/>
              <w:bottom w:val="single" w:sz="4" w:space="0" w:color="auto"/>
              <w:right w:val="nil"/>
            </w:tcBorders>
            <w:hideMark/>
          </w:tcPr>
          <w:p w14:paraId="4CDA13C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134" w:type="dxa"/>
            <w:tcBorders>
              <w:top w:val="single" w:sz="4" w:space="0" w:color="auto"/>
              <w:left w:val="nil"/>
              <w:bottom w:val="single" w:sz="4" w:space="0" w:color="auto"/>
              <w:right w:val="nil"/>
            </w:tcBorders>
            <w:hideMark/>
          </w:tcPr>
          <w:p w14:paraId="6536234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1276" w:type="dxa"/>
            <w:tcBorders>
              <w:top w:val="single" w:sz="4" w:space="0" w:color="auto"/>
              <w:left w:val="nil"/>
              <w:bottom w:val="single" w:sz="4" w:space="0" w:color="auto"/>
              <w:right w:val="nil"/>
            </w:tcBorders>
            <w:hideMark/>
          </w:tcPr>
          <w:p w14:paraId="68F4D83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275" w:type="dxa"/>
            <w:tcBorders>
              <w:top w:val="single" w:sz="4" w:space="0" w:color="auto"/>
              <w:left w:val="nil"/>
              <w:bottom w:val="single" w:sz="4" w:space="0" w:color="auto"/>
              <w:right w:val="nil"/>
            </w:tcBorders>
            <w:hideMark/>
          </w:tcPr>
          <w:p w14:paraId="1417023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0" w:type="auto"/>
            <w:vMerge/>
            <w:tcBorders>
              <w:top w:val="single" w:sz="4" w:space="0" w:color="auto"/>
              <w:left w:val="nil"/>
              <w:bottom w:val="single" w:sz="4" w:space="0" w:color="auto"/>
              <w:right w:val="nil"/>
            </w:tcBorders>
            <w:vAlign w:val="center"/>
            <w:hideMark/>
          </w:tcPr>
          <w:p w14:paraId="51BC7163"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55952A71" w14:textId="77777777">
        <w:tc>
          <w:tcPr>
            <w:tcW w:w="2174" w:type="dxa"/>
            <w:tcBorders>
              <w:top w:val="single" w:sz="4" w:space="0" w:color="auto"/>
              <w:left w:val="nil"/>
              <w:bottom w:val="single" w:sz="4" w:space="0" w:color="auto"/>
              <w:right w:val="nil"/>
            </w:tcBorders>
            <w:hideMark/>
          </w:tcPr>
          <w:p w14:paraId="2BACFB7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Anxiety </w:t>
            </w:r>
          </w:p>
          <w:p w14:paraId="26382FB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None </w:t>
            </w:r>
          </w:p>
          <w:p w14:paraId="548C5D3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Mild </w:t>
            </w:r>
          </w:p>
          <w:p w14:paraId="27E20FD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Moderate </w:t>
            </w:r>
          </w:p>
        </w:tc>
        <w:tc>
          <w:tcPr>
            <w:tcW w:w="1512" w:type="dxa"/>
            <w:tcBorders>
              <w:top w:val="single" w:sz="4" w:space="0" w:color="auto"/>
              <w:left w:val="nil"/>
              <w:bottom w:val="single" w:sz="4" w:space="0" w:color="auto"/>
              <w:right w:val="nil"/>
            </w:tcBorders>
          </w:tcPr>
          <w:p w14:paraId="26861EF8" w14:textId="77777777" w:rsidR="0052261C" w:rsidRPr="0052261C" w:rsidRDefault="0052261C" w:rsidP="0052261C">
            <w:pPr>
              <w:spacing w:after="160" w:line="278" w:lineRule="auto"/>
              <w:jc w:val="both"/>
              <w:rPr>
                <w:rFonts w:ascii="Times New Roman" w:hAnsi="Times New Roman" w:cs="Times New Roman"/>
                <w:lang w:val="en-US"/>
              </w:rPr>
            </w:pPr>
          </w:p>
          <w:p w14:paraId="025ED99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p w14:paraId="0BCEA3B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116A805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134" w:type="dxa"/>
            <w:tcBorders>
              <w:top w:val="single" w:sz="4" w:space="0" w:color="auto"/>
              <w:left w:val="nil"/>
              <w:bottom w:val="single" w:sz="4" w:space="0" w:color="auto"/>
              <w:right w:val="nil"/>
            </w:tcBorders>
          </w:tcPr>
          <w:p w14:paraId="3DCB500F" w14:textId="77777777" w:rsidR="0052261C" w:rsidRPr="0052261C" w:rsidRDefault="0052261C" w:rsidP="0052261C">
            <w:pPr>
              <w:spacing w:after="160" w:line="278" w:lineRule="auto"/>
              <w:jc w:val="both"/>
              <w:rPr>
                <w:rFonts w:ascii="Times New Roman" w:hAnsi="Times New Roman" w:cs="Times New Roman"/>
                <w:lang w:val="en-US"/>
              </w:rPr>
            </w:pPr>
          </w:p>
          <w:p w14:paraId="3BCB29B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7C0B9CE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648E504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276" w:type="dxa"/>
            <w:tcBorders>
              <w:top w:val="single" w:sz="4" w:space="0" w:color="auto"/>
              <w:left w:val="nil"/>
              <w:bottom w:val="single" w:sz="4" w:space="0" w:color="auto"/>
              <w:right w:val="nil"/>
            </w:tcBorders>
          </w:tcPr>
          <w:p w14:paraId="42ABC82E" w14:textId="77777777" w:rsidR="0052261C" w:rsidRPr="0052261C" w:rsidRDefault="0052261C" w:rsidP="0052261C">
            <w:pPr>
              <w:spacing w:after="160" w:line="278" w:lineRule="auto"/>
              <w:jc w:val="both"/>
              <w:rPr>
                <w:rFonts w:ascii="Times New Roman" w:hAnsi="Times New Roman" w:cs="Times New Roman"/>
                <w:lang w:val="en-US"/>
              </w:rPr>
            </w:pPr>
          </w:p>
          <w:p w14:paraId="532B729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44D8CC1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21</w:t>
            </w:r>
          </w:p>
          <w:p w14:paraId="4C19C2F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w:t>
            </w:r>
          </w:p>
        </w:tc>
        <w:tc>
          <w:tcPr>
            <w:tcW w:w="1275" w:type="dxa"/>
            <w:tcBorders>
              <w:top w:val="single" w:sz="4" w:space="0" w:color="auto"/>
              <w:left w:val="nil"/>
              <w:bottom w:val="single" w:sz="4" w:space="0" w:color="auto"/>
              <w:right w:val="nil"/>
            </w:tcBorders>
          </w:tcPr>
          <w:p w14:paraId="1359D501" w14:textId="77777777" w:rsidR="0052261C" w:rsidRPr="0052261C" w:rsidRDefault="0052261C" w:rsidP="0052261C">
            <w:pPr>
              <w:spacing w:after="160" w:line="278" w:lineRule="auto"/>
              <w:jc w:val="both"/>
              <w:rPr>
                <w:rFonts w:ascii="Times New Roman" w:hAnsi="Times New Roman" w:cs="Times New Roman"/>
                <w:lang w:val="en-US"/>
              </w:rPr>
            </w:pPr>
          </w:p>
          <w:p w14:paraId="784D353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44FF857A" w14:textId="007A4FD5"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r w:rsidR="00761659">
              <w:rPr>
                <w:rFonts w:ascii="Times New Roman" w:hAnsi="Times New Roman" w:cs="Times New Roman"/>
                <w:lang w:val="en-US"/>
              </w:rPr>
              <w:t>.</w:t>
            </w:r>
            <w:r w:rsidRPr="0052261C">
              <w:rPr>
                <w:rFonts w:ascii="Times New Roman" w:hAnsi="Times New Roman" w:cs="Times New Roman"/>
                <w:lang w:val="en-US"/>
              </w:rPr>
              <w:t>0</w:t>
            </w:r>
          </w:p>
          <w:p w14:paraId="19B074F6" w14:textId="36C4D526"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r w:rsidR="00761659">
              <w:rPr>
                <w:rFonts w:ascii="Times New Roman" w:hAnsi="Times New Roman" w:cs="Times New Roman"/>
                <w:lang w:val="en-US"/>
              </w:rPr>
              <w:t>.</w:t>
            </w:r>
            <w:r w:rsidRPr="0052261C">
              <w:rPr>
                <w:rFonts w:ascii="Times New Roman" w:hAnsi="Times New Roman" w:cs="Times New Roman"/>
                <w:lang w:val="en-US"/>
              </w:rPr>
              <w:t>0</w:t>
            </w:r>
          </w:p>
        </w:tc>
        <w:tc>
          <w:tcPr>
            <w:tcW w:w="1701" w:type="dxa"/>
            <w:tcBorders>
              <w:top w:val="single" w:sz="4" w:space="0" w:color="auto"/>
              <w:left w:val="nil"/>
              <w:bottom w:val="single" w:sz="4" w:space="0" w:color="auto"/>
              <w:right w:val="nil"/>
            </w:tcBorders>
            <w:hideMark/>
          </w:tcPr>
          <w:p w14:paraId="2183BA77" w14:textId="15464F21" w:rsidR="0052261C" w:rsidRPr="0052261C" w:rsidRDefault="00401319" w:rsidP="0052261C">
            <w:pPr>
              <w:spacing w:after="160" w:line="278" w:lineRule="auto"/>
              <w:jc w:val="both"/>
              <w:rPr>
                <w:rFonts w:ascii="Times New Roman" w:hAnsi="Times New Roman" w:cs="Times New Roman"/>
                <w:lang w:val="en-US"/>
              </w:rPr>
            </w:pPr>
            <w:r w:rsidRPr="00401319">
              <w:rPr>
                <w:rFonts w:ascii="Times New Roman" w:hAnsi="Times New Roman" w:cs="Times New Roman"/>
                <w:lang w:val="en-US"/>
              </w:rPr>
              <w:t>p &lt; 0.001</w:t>
            </w:r>
          </w:p>
        </w:tc>
      </w:tr>
    </w:tbl>
    <w:p w14:paraId="32BCF3B8" w14:textId="25556A76"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 xml:space="preserve"> </w:t>
      </w:r>
    </w:p>
    <w:p w14:paraId="15DE9AF6" w14:textId="77777777"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Table 4. Effect of Dark Chocolate Sticks on Blood Pressure in Anxious Adolescents</w:t>
      </w:r>
    </w:p>
    <w:tbl>
      <w:tblPr>
        <w:tblStyle w:val="TableGrid"/>
        <w:tblW w:w="9072" w:type="dxa"/>
        <w:tblInd w:w="-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9"/>
        <w:gridCol w:w="1408"/>
        <w:gridCol w:w="839"/>
        <w:gridCol w:w="763"/>
        <w:gridCol w:w="707"/>
        <w:gridCol w:w="707"/>
        <w:gridCol w:w="849"/>
        <w:gridCol w:w="707"/>
        <w:gridCol w:w="707"/>
        <w:gridCol w:w="1126"/>
      </w:tblGrid>
      <w:tr w:rsidR="0052261C" w:rsidRPr="0052261C" w14:paraId="649C92E4" w14:textId="77777777" w:rsidTr="007B31CB">
        <w:tc>
          <w:tcPr>
            <w:tcW w:w="2690" w:type="dxa"/>
            <w:gridSpan w:val="2"/>
            <w:vMerge w:val="restart"/>
            <w:hideMark/>
          </w:tcPr>
          <w:p w14:paraId="17EB7CE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w:t>
            </w:r>
          </w:p>
        </w:tc>
        <w:tc>
          <w:tcPr>
            <w:tcW w:w="847" w:type="dxa"/>
            <w:vMerge w:val="restart"/>
            <w:hideMark/>
          </w:tcPr>
          <w:p w14:paraId="4024545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4402" w:type="dxa"/>
            <w:gridSpan w:val="6"/>
            <w:hideMark/>
          </w:tcPr>
          <w:p w14:paraId="4CC5131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Blood Pressure</w:t>
            </w:r>
          </w:p>
        </w:tc>
        <w:tc>
          <w:tcPr>
            <w:tcW w:w="1133" w:type="dxa"/>
            <w:vMerge w:val="restart"/>
            <w:hideMark/>
          </w:tcPr>
          <w:p w14:paraId="3F7AC9CD"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271CEFD6" w14:textId="77777777" w:rsidTr="007B31CB">
        <w:tc>
          <w:tcPr>
            <w:tcW w:w="0" w:type="auto"/>
            <w:gridSpan w:val="2"/>
            <w:vMerge/>
            <w:vAlign w:val="center"/>
            <w:hideMark/>
          </w:tcPr>
          <w:p w14:paraId="65BC115D" w14:textId="77777777" w:rsidR="0052261C" w:rsidRPr="0052261C" w:rsidRDefault="0052261C" w:rsidP="0052261C">
            <w:pPr>
              <w:spacing w:after="160" w:line="278" w:lineRule="auto"/>
              <w:jc w:val="both"/>
              <w:rPr>
                <w:rFonts w:ascii="Times New Roman" w:hAnsi="Times New Roman" w:cs="Times New Roman"/>
                <w:lang w:val="en-US"/>
              </w:rPr>
            </w:pPr>
          </w:p>
        </w:tc>
        <w:tc>
          <w:tcPr>
            <w:tcW w:w="0" w:type="auto"/>
            <w:vMerge/>
            <w:vAlign w:val="center"/>
            <w:hideMark/>
          </w:tcPr>
          <w:p w14:paraId="7AF30322" w14:textId="77777777" w:rsidR="0052261C" w:rsidRPr="0052261C" w:rsidRDefault="0052261C" w:rsidP="0052261C">
            <w:pPr>
              <w:spacing w:after="160" w:line="278" w:lineRule="auto"/>
              <w:jc w:val="both"/>
              <w:rPr>
                <w:rFonts w:ascii="Times New Roman" w:hAnsi="Times New Roman" w:cs="Times New Roman"/>
                <w:lang w:val="en-US"/>
              </w:rPr>
            </w:pPr>
          </w:p>
        </w:tc>
        <w:tc>
          <w:tcPr>
            <w:tcW w:w="2134" w:type="dxa"/>
            <w:gridSpan w:val="3"/>
            <w:hideMark/>
          </w:tcPr>
          <w:p w14:paraId="57CC343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Baseline</w:t>
            </w:r>
          </w:p>
        </w:tc>
        <w:tc>
          <w:tcPr>
            <w:tcW w:w="2268" w:type="dxa"/>
            <w:gridSpan w:val="3"/>
            <w:tcBorders>
              <w:top w:val="nil"/>
              <w:bottom w:val="single" w:sz="4" w:space="0" w:color="auto"/>
            </w:tcBorders>
            <w:hideMark/>
          </w:tcPr>
          <w:p w14:paraId="4FFB645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Post-intervention</w:t>
            </w:r>
          </w:p>
        </w:tc>
        <w:tc>
          <w:tcPr>
            <w:tcW w:w="0" w:type="auto"/>
            <w:vMerge/>
            <w:vAlign w:val="center"/>
            <w:hideMark/>
          </w:tcPr>
          <w:p w14:paraId="7A443E74"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2834B006" w14:textId="77777777" w:rsidTr="007B31CB">
        <w:tc>
          <w:tcPr>
            <w:tcW w:w="0" w:type="auto"/>
            <w:gridSpan w:val="2"/>
            <w:vMerge/>
            <w:tcBorders>
              <w:top w:val="single" w:sz="4" w:space="0" w:color="auto"/>
              <w:bottom w:val="single" w:sz="4" w:space="0" w:color="auto"/>
            </w:tcBorders>
            <w:vAlign w:val="center"/>
            <w:hideMark/>
          </w:tcPr>
          <w:p w14:paraId="1C29BCC9" w14:textId="77777777" w:rsidR="0052261C" w:rsidRPr="0052261C" w:rsidRDefault="0052261C" w:rsidP="0052261C">
            <w:pPr>
              <w:spacing w:after="160" w:line="278" w:lineRule="auto"/>
              <w:jc w:val="both"/>
              <w:rPr>
                <w:rFonts w:ascii="Times New Roman" w:hAnsi="Times New Roman" w:cs="Times New Roman"/>
                <w:lang w:val="en-US"/>
              </w:rPr>
            </w:pPr>
          </w:p>
        </w:tc>
        <w:tc>
          <w:tcPr>
            <w:tcW w:w="0" w:type="auto"/>
            <w:vMerge/>
            <w:tcBorders>
              <w:top w:val="single" w:sz="4" w:space="0" w:color="auto"/>
              <w:bottom w:val="single" w:sz="4" w:space="0" w:color="auto"/>
            </w:tcBorders>
            <w:vAlign w:val="center"/>
            <w:hideMark/>
          </w:tcPr>
          <w:p w14:paraId="083C2EE9" w14:textId="77777777" w:rsidR="0052261C" w:rsidRPr="0052261C" w:rsidRDefault="0052261C" w:rsidP="0052261C">
            <w:pPr>
              <w:spacing w:after="160" w:line="278" w:lineRule="auto"/>
              <w:jc w:val="both"/>
              <w:rPr>
                <w:rFonts w:ascii="Times New Roman" w:hAnsi="Times New Roman" w:cs="Times New Roman"/>
                <w:lang w:val="en-US"/>
              </w:rPr>
            </w:pPr>
          </w:p>
        </w:tc>
        <w:tc>
          <w:tcPr>
            <w:tcW w:w="717" w:type="dxa"/>
            <w:tcBorders>
              <w:top w:val="single" w:sz="4" w:space="0" w:color="auto"/>
              <w:bottom w:val="single" w:sz="4" w:space="0" w:color="auto"/>
            </w:tcBorders>
            <w:hideMark/>
          </w:tcPr>
          <w:p w14:paraId="07E0437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Mean</w:t>
            </w:r>
          </w:p>
        </w:tc>
        <w:tc>
          <w:tcPr>
            <w:tcW w:w="709" w:type="dxa"/>
            <w:tcBorders>
              <w:top w:val="single" w:sz="4" w:space="0" w:color="auto"/>
              <w:bottom w:val="single" w:sz="4" w:space="0" w:color="auto"/>
            </w:tcBorders>
            <w:hideMark/>
          </w:tcPr>
          <w:p w14:paraId="4189D7A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Min</w:t>
            </w:r>
          </w:p>
        </w:tc>
        <w:tc>
          <w:tcPr>
            <w:tcW w:w="708" w:type="dxa"/>
            <w:tcBorders>
              <w:top w:val="single" w:sz="4" w:space="0" w:color="auto"/>
              <w:bottom w:val="single" w:sz="4" w:space="0" w:color="auto"/>
            </w:tcBorders>
            <w:hideMark/>
          </w:tcPr>
          <w:p w14:paraId="6022A87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Max</w:t>
            </w:r>
          </w:p>
        </w:tc>
        <w:tc>
          <w:tcPr>
            <w:tcW w:w="851" w:type="dxa"/>
            <w:tcBorders>
              <w:top w:val="single" w:sz="4" w:space="0" w:color="auto"/>
              <w:bottom w:val="single" w:sz="4" w:space="0" w:color="auto"/>
            </w:tcBorders>
            <w:hideMark/>
          </w:tcPr>
          <w:p w14:paraId="2CA68B3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Mean</w:t>
            </w:r>
          </w:p>
        </w:tc>
        <w:tc>
          <w:tcPr>
            <w:tcW w:w="709" w:type="dxa"/>
            <w:tcBorders>
              <w:top w:val="single" w:sz="4" w:space="0" w:color="auto"/>
              <w:bottom w:val="single" w:sz="4" w:space="0" w:color="auto"/>
            </w:tcBorders>
            <w:hideMark/>
          </w:tcPr>
          <w:p w14:paraId="0C36B11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Min</w:t>
            </w:r>
          </w:p>
        </w:tc>
        <w:tc>
          <w:tcPr>
            <w:tcW w:w="708" w:type="dxa"/>
            <w:tcBorders>
              <w:top w:val="single" w:sz="4" w:space="0" w:color="auto"/>
              <w:bottom w:val="single" w:sz="4" w:space="0" w:color="auto"/>
            </w:tcBorders>
            <w:hideMark/>
          </w:tcPr>
          <w:p w14:paraId="2934947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Max</w:t>
            </w:r>
          </w:p>
        </w:tc>
        <w:tc>
          <w:tcPr>
            <w:tcW w:w="0" w:type="auto"/>
            <w:vMerge/>
            <w:tcBorders>
              <w:bottom w:val="single" w:sz="4" w:space="0" w:color="auto"/>
            </w:tcBorders>
            <w:vAlign w:val="center"/>
            <w:hideMark/>
          </w:tcPr>
          <w:p w14:paraId="6130CCFB"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6DEBD300" w14:textId="77777777" w:rsidTr="007B31CB">
        <w:tc>
          <w:tcPr>
            <w:tcW w:w="1276" w:type="dxa"/>
            <w:tcBorders>
              <w:top w:val="single" w:sz="4" w:space="0" w:color="auto"/>
              <w:bottom w:val="nil"/>
            </w:tcBorders>
            <w:hideMark/>
          </w:tcPr>
          <w:p w14:paraId="08518CC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I</w:t>
            </w:r>
          </w:p>
        </w:tc>
        <w:tc>
          <w:tcPr>
            <w:tcW w:w="1414" w:type="dxa"/>
            <w:tcBorders>
              <w:top w:val="single" w:sz="4" w:space="0" w:color="auto"/>
              <w:bottom w:val="nil"/>
            </w:tcBorders>
            <w:hideMark/>
          </w:tcPr>
          <w:p w14:paraId="3B937E46" w14:textId="222291F0" w:rsidR="0052261C" w:rsidRPr="0052261C" w:rsidRDefault="00704153" w:rsidP="0052261C">
            <w:pPr>
              <w:spacing w:after="160" w:line="278" w:lineRule="auto"/>
              <w:jc w:val="both"/>
              <w:rPr>
                <w:rFonts w:ascii="Times New Roman" w:hAnsi="Times New Roman" w:cs="Times New Roman"/>
                <w:lang w:val="en-US"/>
              </w:rPr>
            </w:pPr>
            <w:r w:rsidRPr="00704153">
              <w:rPr>
                <w:rFonts w:ascii="Times New Roman" w:hAnsi="Times New Roman" w:cs="Times New Roman"/>
              </w:rPr>
              <w:t>Systolic</w:t>
            </w:r>
          </w:p>
        </w:tc>
        <w:tc>
          <w:tcPr>
            <w:tcW w:w="847" w:type="dxa"/>
            <w:tcBorders>
              <w:top w:val="single" w:sz="4" w:space="0" w:color="auto"/>
              <w:bottom w:val="nil"/>
            </w:tcBorders>
            <w:hideMark/>
          </w:tcPr>
          <w:p w14:paraId="2460093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717" w:type="dxa"/>
            <w:tcBorders>
              <w:top w:val="single" w:sz="4" w:space="0" w:color="auto"/>
              <w:bottom w:val="nil"/>
            </w:tcBorders>
            <w:hideMark/>
          </w:tcPr>
          <w:p w14:paraId="134D546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100</w:t>
            </w:r>
          </w:p>
        </w:tc>
        <w:tc>
          <w:tcPr>
            <w:tcW w:w="709" w:type="dxa"/>
            <w:tcBorders>
              <w:top w:val="single" w:sz="4" w:space="0" w:color="auto"/>
              <w:bottom w:val="nil"/>
            </w:tcBorders>
            <w:hideMark/>
          </w:tcPr>
          <w:p w14:paraId="18AB9E5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708" w:type="dxa"/>
            <w:tcBorders>
              <w:top w:val="single" w:sz="4" w:space="0" w:color="auto"/>
              <w:bottom w:val="nil"/>
            </w:tcBorders>
            <w:hideMark/>
          </w:tcPr>
          <w:p w14:paraId="0AE6BF9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120</w:t>
            </w:r>
          </w:p>
        </w:tc>
        <w:tc>
          <w:tcPr>
            <w:tcW w:w="851" w:type="dxa"/>
            <w:tcBorders>
              <w:top w:val="single" w:sz="4" w:space="0" w:color="auto"/>
              <w:bottom w:val="nil"/>
            </w:tcBorders>
            <w:hideMark/>
          </w:tcPr>
          <w:p w14:paraId="5151802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115</w:t>
            </w:r>
          </w:p>
        </w:tc>
        <w:tc>
          <w:tcPr>
            <w:tcW w:w="709" w:type="dxa"/>
            <w:tcBorders>
              <w:top w:val="single" w:sz="4" w:space="0" w:color="auto"/>
              <w:bottom w:val="nil"/>
            </w:tcBorders>
            <w:hideMark/>
          </w:tcPr>
          <w:p w14:paraId="3EADAEF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110</w:t>
            </w:r>
          </w:p>
        </w:tc>
        <w:tc>
          <w:tcPr>
            <w:tcW w:w="708" w:type="dxa"/>
            <w:tcBorders>
              <w:top w:val="single" w:sz="4" w:space="0" w:color="auto"/>
              <w:bottom w:val="nil"/>
            </w:tcBorders>
            <w:hideMark/>
          </w:tcPr>
          <w:p w14:paraId="281DCA9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120</w:t>
            </w:r>
          </w:p>
        </w:tc>
        <w:tc>
          <w:tcPr>
            <w:tcW w:w="1133" w:type="dxa"/>
            <w:tcBorders>
              <w:top w:val="single" w:sz="4" w:space="0" w:color="auto"/>
              <w:bottom w:val="nil"/>
            </w:tcBorders>
            <w:hideMark/>
          </w:tcPr>
          <w:p w14:paraId="19F1D7AD" w14:textId="074F3512"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r w:rsidR="0052261C" w:rsidRPr="0052261C" w14:paraId="334E14D5" w14:textId="77777777" w:rsidTr="007B31CB">
        <w:tc>
          <w:tcPr>
            <w:tcW w:w="1276" w:type="dxa"/>
            <w:tcBorders>
              <w:top w:val="nil"/>
              <w:bottom w:val="nil"/>
            </w:tcBorders>
          </w:tcPr>
          <w:p w14:paraId="0B0A87F6" w14:textId="77777777" w:rsidR="0052261C" w:rsidRPr="0052261C" w:rsidRDefault="0052261C" w:rsidP="0052261C">
            <w:pPr>
              <w:spacing w:after="160" w:line="278" w:lineRule="auto"/>
              <w:jc w:val="both"/>
              <w:rPr>
                <w:rFonts w:ascii="Times New Roman" w:hAnsi="Times New Roman" w:cs="Times New Roman"/>
                <w:lang w:val="en-US"/>
              </w:rPr>
            </w:pPr>
          </w:p>
        </w:tc>
        <w:tc>
          <w:tcPr>
            <w:tcW w:w="1414" w:type="dxa"/>
            <w:tcBorders>
              <w:top w:val="nil"/>
              <w:bottom w:val="nil"/>
            </w:tcBorders>
            <w:hideMark/>
          </w:tcPr>
          <w:p w14:paraId="2E0E9DA5" w14:textId="3933D57A" w:rsidR="0052261C" w:rsidRPr="0052261C" w:rsidRDefault="00704153" w:rsidP="0052261C">
            <w:pPr>
              <w:spacing w:after="160" w:line="278" w:lineRule="auto"/>
              <w:jc w:val="both"/>
              <w:rPr>
                <w:rFonts w:ascii="Times New Roman" w:hAnsi="Times New Roman" w:cs="Times New Roman"/>
                <w:lang w:val="en-US"/>
              </w:rPr>
            </w:pPr>
            <w:r w:rsidRPr="00704153">
              <w:rPr>
                <w:rFonts w:ascii="Times New Roman" w:hAnsi="Times New Roman" w:cs="Times New Roman"/>
              </w:rPr>
              <w:t>Diastolic</w:t>
            </w:r>
          </w:p>
        </w:tc>
        <w:tc>
          <w:tcPr>
            <w:tcW w:w="847" w:type="dxa"/>
            <w:tcBorders>
              <w:top w:val="nil"/>
              <w:bottom w:val="nil"/>
            </w:tcBorders>
            <w:hideMark/>
          </w:tcPr>
          <w:p w14:paraId="01C27C0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717" w:type="dxa"/>
            <w:tcBorders>
              <w:top w:val="nil"/>
              <w:bottom w:val="nil"/>
            </w:tcBorders>
            <w:hideMark/>
          </w:tcPr>
          <w:p w14:paraId="1D1D4ED9"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85</w:t>
            </w:r>
          </w:p>
        </w:tc>
        <w:tc>
          <w:tcPr>
            <w:tcW w:w="709" w:type="dxa"/>
            <w:tcBorders>
              <w:top w:val="nil"/>
              <w:bottom w:val="nil"/>
            </w:tcBorders>
            <w:hideMark/>
          </w:tcPr>
          <w:p w14:paraId="08668BB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p>
        </w:tc>
        <w:tc>
          <w:tcPr>
            <w:tcW w:w="708" w:type="dxa"/>
            <w:tcBorders>
              <w:top w:val="nil"/>
              <w:bottom w:val="nil"/>
            </w:tcBorders>
            <w:hideMark/>
          </w:tcPr>
          <w:p w14:paraId="6109B9E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851" w:type="dxa"/>
            <w:tcBorders>
              <w:top w:val="nil"/>
              <w:bottom w:val="nil"/>
            </w:tcBorders>
            <w:hideMark/>
          </w:tcPr>
          <w:p w14:paraId="4D2D9A0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75</w:t>
            </w:r>
          </w:p>
        </w:tc>
        <w:tc>
          <w:tcPr>
            <w:tcW w:w="709" w:type="dxa"/>
            <w:tcBorders>
              <w:top w:val="nil"/>
              <w:bottom w:val="nil"/>
            </w:tcBorders>
            <w:hideMark/>
          </w:tcPr>
          <w:p w14:paraId="697AC07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73</w:t>
            </w:r>
          </w:p>
        </w:tc>
        <w:tc>
          <w:tcPr>
            <w:tcW w:w="708" w:type="dxa"/>
            <w:tcBorders>
              <w:top w:val="nil"/>
              <w:bottom w:val="nil"/>
            </w:tcBorders>
            <w:hideMark/>
          </w:tcPr>
          <w:p w14:paraId="2537028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80</w:t>
            </w:r>
          </w:p>
        </w:tc>
        <w:tc>
          <w:tcPr>
            <w:tcW w:w="1133" w:type="dxa"/>
            <w:tcBorders>
              <w:top w:val="nil"/>
              <w:bottom w:val="nil"/>
            </w:tcBorders>
            <w:hideMark/>
          </w:tcPr>
          <w:p w14:paraId="4A68D8B3" w14:textId="3D86C40B"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r w:rsidR="0052261C" w:rsidRPr="0052261C" w14:paraId="5A8D618A" w14:textId="77777777" w:rsidTr="007B31CB">
        <w:tc>
          <w:tcPr>
            <w:tcW w:w="1276" w:type="dxa"/>
            <w:tcBorders>
              <w:top w:val="nil"/>
            </w:tcBorders>
            <w:hideMark/>
          </w:tcPr>
          <w:p w14:paraId="558205F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II</w:t>
            </w:r>
          </w:p>
        </w:tc>
        <w:tc>
          <w:tcPr>
            <w:tcW w:w="1414" w:type="dxa"/>
            <w:tcBorders>
              <w:top w:val="nil"/>
            </w:tcBorders>
            <w:hideMark/>
          </w:tcPr>
          <w:p w14:paraId="782CE093" w14:textId="58600465" w:rsidR="0052261C" w:rsidRPr="0052261C" w:rsidRDefault="00704153" w:rsidP="0052261C">
            <w:pPr>
              <w:spacing w:after="160" w:line="278" w:lineRule="auto"/>
              <w:jc w:val="both"/>
              <w:rPr>
                <w:rFonts w:ascii="Times New Roman" w:hAnsi="Times New Roman" w:cs="Times New Roman"/>
                <w:lang w:val="en-US"/>
              </w:rPr>
            </w:pPr>
            <w:r w:rsidRPr="00704153">
              <w:rPr>
                <w:rFonts w:ascii="Times New Roman" w:hAnsi="Times New Roman" w:cs="Times New Roman"/>
              </w:rPr>
              <w:t>Systolic</w:t>
            </w:r>
          </w:p>
        </w:tc>
        <w:tc>
          <w:tcPr>
            <w:tcW w:w="847" w:type="dxa"/>
            <w:tcBorders>
              <w:top w:val="nil"/>
            </w:tcBorders>
            <w:hideMark/>
          </w:tcPr>
          <w:p w14:paraId="6CB0588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717" w:type="dxa"/>
            <w:tcBorders>
              <w:top w:val="nil"/>
            </w:tcBorders>
            <w:hideMark/>
          </w:tcPr>
          <w:p w14:paraId="4441B12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100</w:t>
            </w:r>
          </w:p>
        </w:tc>
        <w:tc>
          <w:tcPr>
            <w:tcW w:w="709" w:type="dxa"/>
            <w:tcBorders>
              <w:top w:val="nil"/>
            </w:tcBorders>
            <w:hideMark/>
          </w:tcPr>
          <w:p w14:paraId="2734F05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p>
        </w:tc>
        <w:tc>
          <w:tcPr>
            <w:tcW w:w="708" w:type="dxa"/>
            <w:tcBorders>
              <w:top w:val="nil"/>
            </w:tcBorders>
            <w:hideMark/>
          </w:tcPr>
          <w:p w14:paraId="34F6148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120</w:t>
            </w:r>
          </w:p>
        </w:tc>
        <w:tc>
          <w:tcPr>
            <w:tcW w:w="851" w:type="dxa"/>
            <w:tcBorders>
              <w:top w:val="nil"/>
            </w:tcBorders>
            <w:hideMark/>
          </w:tcPr>
          <w:p w14:paraId="5F7E325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100</w:t>
            </w:r>
          </w:p>
        </w:tc>
        <w:tc>
          <w:tcPr>
            <w:tcW w:w="709" w:type="dxa"/>
            <w:tcBorders>
              <w:top w:val="nil"/>
            </w:tcBorders>
            <w:hideMark/>
          </w:tcPr>
          <w:p w14:paraId="075F2A4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708" w:type="dxa"/>
            <w:tcBorders>
              <w:top w:val="nil"/>
            </w:tcBorders>
            <w:hideMark/>
          </w:tcPr>
          <w:p w14:paraId="68E4948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120</w:t>
            </w:r>
          </w:p>
        </w:tc>
        <w:tc>
          <w:tcPr>
            <w:tcW w:w="1133" w:type="dxa"/>
            <w:tcBorders>
              <w:top w:val="nil"/>
            </w:tcBorders>
            <w:hideMark/>
          </w:tcPr>
          <w:p w14:paraId="24227FCB" w14:textId="6644DDF1"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r w:rsidR="0052261C" w:rsidRPr="0052261C" w14:paraId="01DE3FA8" w14:textId="77777777" w:rsidTr="007B31CB">
        <w:tc>
          <w:tcPr>
            <w:tcW w:w="1276" w:type="dxa"/>
          </w:tcPr>
          <w:p w14:paraId="7CE3E051" w14:textId="77777777" w:rsidR="0052261C" w:rsidRPr="0052261C" w:rsidRDefault="0052261C" w:rsidP="0052261C">
            <w:pPr>
              <w:spacing w:after="160" w:line="278" w:lineRule="auto"/>
              <w:jc w:val="both"/>
              <w:rPr>
                <w:rFonts w:ascii="Times New Roman" w:hAnsi="Times New Roman" w:cs="Times New Roman"/>
                <w:lang w:val="en-US"/>
              </w:rPr>
            </w:pPr>
          </w:p>
        </w:tc>
        <w:tc>
          <w:tcPr>
            <w:tcW w:w="1414" w:type="dxa"/>
            <w:hideMark/>
          </w:tcPr>
          <w:p w14:paraId="4D2186ED" w14:textId="6038C77B" w:rsidR="0052261C" w:rsidRPr="0052261C" w:rsidRDefault="00704153" w:rsidP="0052261C">
            <w:pPr>
              <w:spacing w:after="160" w:line="278" w:lineRule="auto"/>
              <w:jc w:val="both"/>
              <w:rPr>
                <w:rFonts w:ascii="Times New Roman" w:hAnsi="Times New Roman" w:cs="Times New Roman"/>
                <w:lang w:val="en-US"/>
              </w:rPr>
            </w:pPr>
            <w:r w:rsidRPr="00704153">
              <w:rPr>
                <w:rFonts w:ascii="Times New Roman" w:hAnsi="Times New Roman" w:cs="Times New Roman"/>
              </w:rPr>
              <w:t>Diastolic</w:t>
            </w:r>
          </w:p>
        </w:tc>
        <w:tc>
          <w:tcPr>
            <w:tcW w:w="847" w:type="dxa"/>
            <w:hideMark/>
          </w:tcPr>
          <w:p w14:paraId="1A42038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717" w:type="dxa"/>
            <w:hideMark/>
          </w:tcPr>
          <w:p w14:paraId="718ED65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86</w:t>
            </w:r>
          </w:p>
        </w:tc>
        <w:tc>
          <w:tcPr>
            <w:tcW w:w="709" w:type="dxa"/>
            <w:hideMark/>
          </w:tcPr>
          <w:p w14:paraId="0FC1C88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71</w:t>
            </w:r>
          </w:p>
        </w:tc>
        <w:tc>
          <w:tcPr>
            <w:tcW w:w="708" w:type="dxa"/>
            <w:hideMark/>
          </w:tcPr>
          <w:p w14:paraId="1837E0A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851" w:type="dxa"/>
            <w:hideMark/>
          </w:tcPr>
          <w:p w14:paraId="32B2442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86</w:t>
            </w:r>
          </w:p>
        </w:tc>
        <w:tc>
          <w:tcPr>
            <w:tcW w:w="709" w:type="dxa"/>
            <w:hideMark/>
          </w:tcPr>
          <w:p w14:paraId="7BEE668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p>
        </w:tc>
        <w:tc>
          <w:tcPr>
            <w:tcW w:w="708" w:type="dxa"/>
            <w:hideMark/>
          </w:tcPr>
          <w:p w14:paraId="03E1719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1133" w:type="dxa"/>
            <w:hideMark/>
          </w:tcPr>
          <w:p w14:paraId="7ACF6839" w14:textId="512317D7"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bl>
    <w:p w14:paraId="5F4648D3" w14:textId="77777777" w:rsidR="0052261C" w:rsidRPr="0052261C" w:rsidRDefault="0052261C" w:rsidP="0052261C">
      <w:pPr>
        <w:jc w:val="both"/>
        <w:rPr>
          <w:rFonts w:ascii="Times New Roman" w:hAnsi="Times New Roman" w:cs="Times New Roman"/>
          <w:lang w:val="en-US"/>
        </w:rPr>
      </w:pPr>
    </w:p>
    <w:p w14:paraId="2664A0CB" w14:textId="77777777"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Table 5. Effect of Dark Chocolate and Oats Sticks on Heart Rate in Anxious Adolescents</w:t>
      </w:r>
    </w:p>
    <w:tbl>
      <w:tblPr>
        <w:tblStyle w:val="TableGrid"/>
        <w:tblW w:w="9072" w:type="dxa"/>
        <w:tblInd w:w="-5" w:type="dxa"/>
        <w:tblLook w:val="04A0" w:firstRow="1" w:lastRow="0" w:firstColumn="1" w:lastColumn="0" w:noHBand="0" w:noVBand="1"/>
      </w:tblPr>
      <w:tblGrid>
        <w:gridCol w:w="1560"/>
        <w:gridCol w:w="992"/>
        <w:gridCol w:w="992"/>
        <w:gridCol w:w="992"/>
        <w:gridCol w:w="1135"/>
        <w:gridCol w:w="851"/>
        <w:gridCol w:w="709"/>
        <w:gridCol w:w="708"/>
        <w:gridCol w:w="1133"/>
      </w:tblGrid>
      <w:tr w:rsidR="0052261C" w:rsidRPr="0052261C" w14:paraId="71E4872B" w14:textId="77777777" w:rsidTr="007B31CB">
        <w:tc>
          <w:tcPr>
            <w:tcW w:w="1560" w:type="dxa"/>
            <w:vMerge w:val="restart"/>
            <w:tcBorders>
              <w:top w:val="single" w:sz="4" w:space="0" w:color="auto"/>
              <w:left w:val="nil"/>
              <w:bottom w:val="single" w:sz="4" w:space="0" w:color="auto"/>
              <w:right w:val="nil"/>
            </w:tcBorders>
            <w:hideMark/>
          </w:tcPr>
          <w:p w14:paraId="7D7952E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w:t>
            </w:r>
          </w:p>
        </w:tc>
        <w:tc>
          <w:tcPr>
            <w:tcW w:w="992" w:type="dxa"/>
            <w:vMerge w:val="restart"/>
            <w:tcBorders>
              <w:top w:val="single" w:sz="4" w:space="0" w:color="auto"/>
              <w:left w:val="nil"/>
              <w:bottom w:val="single" w:sz="4" w:space="0" w:color="auto"/>
              <w:right w:val="nil"/>
            </w:tcBorders>
            <w:hideMark/>
          </w:tcPr>
          <w:p w14:paraId="326F3D5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5387" w:type="dxa"/>
            <w:gridSpan w:val="6"/>
            <w:tcBorders>
              <w:top w:val="single" w:sz="4" w:space="0" w:color="auto"/>
              <w:left w:val="nil"/>
              <w:bottom w:val="single" w:sz="4" w:space="0" w:color="auto"/>
              <w:right w:val="nil"/>
            </w:tcBorders>
            <w:hideMark/>
          </w:tcPr>
          <w:p w14:paraId="70920EF2" w14:textId="22DBB55B" w:rsidR="0052261C" w:rsidRPr="0052261C" w:rsidRDefault="00674AC3" w:rsidP="0052261C">
            <w:pPr>
              <w:spacing w:after="160" w:line="278" w:lineRule="auto"/>
              <w:jc w:val="both"/>
              <w:rPr>
                <w:rFonts w:ascii="Times New Roman" w:hAnsi="Times New Roman" w:cs="Times New Roman"/>
                <w:lang w:val="en-US"/>
              </w:rPr>
            </w:pPr>
            <w:r w:rsidRPr="00674AC3">
              <w:rPr>
                <w:rFonts w:ascii="Times New Roman" w:hAnsi="Times New Roman" w:cs="Times New Roman"/>
                <w:lang w:val="en-US"/>
              </w:rPr>
              <w:t>Heart Rate</w:t>
            </w:r>
          </w:p>
        </w:tc>
        <w:tc>
          <w:tcPr>
            <w:tcW w:w="1133" w:type="dxa"/>
            <w:vMerge w:val="restart"/>
            <w:tcBorders>
              <w:top w:val="single" w:sz="4" w:space="0" w:color="auto"/>
              <w:left w:val="nil"/>
              <w:bottom w:val="single" w:sz="4" w:space="0" w:color="auto"/>
              <w:right w:val="nil"/>
            </w:tcBorders>
            <w:hideMark/>
          </w:tcPr>
          <w:p w14:paraId="2E5444EA"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1E98595E" w14:textId="77777777" w:rsidTr="007B31CB">
        <w:tc>
          <w:tcPr>
            <w:tcW w:w="0" w:type="auto"/>
            <w:vMerge/>
            <w:tcBorders>
              <w:top w:val="single" w:sz="4" w:space="0" w:color="auto"/>
              <w:left w:val="nil"/>
              <w:bottom w:val="single" w:sz="4" w:space="0" w:color="auto"/>
              <w:right w:val="nil"/>
            </w:tcBorders>
            <w:vAlign w:val="center"/>
            <w:hideMark/>
          </w:tcPr>
          <w:p w14:paraId="6722655E" w14:textId="77777777" w:rsidR="0052261C" w:rsidRPr="0052261C" w:rsidRDefault="0052261C" w:rsidP="0052261C">
            <w:pPr>
              <w:spacing w:after="160" w:line="278" w:lineRule="auto"/>
              <w:jc w:val="both"/>
              <w:rPr>
                <w:rFonts w:ascii="Times New Roman" w:hAnsi="Times New Roman" w:cs="Times New Roman"/>
                <w:lang w:val="en-US"/>
              </w:rPr>
            </w:pPr>
          </w:p>
        </w:tc>
        <w:tc>
          <w:tcPr>
            <w:tcW w:w="0" w:type="auto"/>
            <w:vMerge/>
            <w:tcBorders>
              <w:top w:val="single" w:sz="4" w:space="0" w:color="auto"/>
              <w:left w:val="nil"/>
              <w:bottom w:val="single" w:sz="4" w:space="0" w:color="auto"/>
              <w:right w:val="nil"/>
            </w:tcBorders>
            <w:vAlign w:val="center"/>
            <w:hideMark/>
          </w:tcPr>
          <w:p w14:paraId="2D97C4F4" w14:textId="77777777" w:rsidR="0052261C" w:rsidRPr="0052261C" w:rsidRDefault="0052261C" w:rsidP="0052261C">
            <w:pPr>
              <w:spacing w:after="160" w:line="278" w:lineRule="auto"/>
              <w:jc w:val="both"/>
              <w:rPr>
                <w:rFonts w:ascii="Times New Roman" w:hAnsi="Times New Roman" w:cs="Times New Roman"/>
                <w:lang w:val="en-US"/>
              </w:rPr>
            </w:pPr>
          </w:p>
        </w:tc>
        <w:tc>
          <w:tcPr>
            <w:tcW w:w="3119" w:type="dxa"/>
            <w:gridSpan w:val="3"/>
            <w:tcBorders>
              <w:top w:val="single" w:sz="4" w:space="0" w:color="auto"/>
              <w:left w:val="nil"/>
              <w:bottom w:val="single" w:sz="4" w:space="0" w:color="auto"/>
              <w:right w:val="nil"/>
            </w:tcBorders>
            <w:hideMark/>
          </w:tcPr>
          <w:p w14:paraId="326B9D8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Baseline</w:t>
            </w:r>
          </w:p>
        </w:tc>
        <w:tc>
          <w:tcPr>
            <w:tcW w:w="2268" w:type="dxa"/>
            <w:gridSpan w:val="3"/>
            <w:tcBorders>
              <w:top w:val="single" w:sz="4" w:space="0" w:color="auto"/>
              <w:left w:val="nil"/>
              <w:bottom w:val="single" w:sz="4" w:space="0" w:color="auto"/>
              <w:right w:val="nil"/>
            </w:tcBorders>
            <w:hideMark/>
          </w:tcPr>
          <w:p w14:paraId="65864809"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Post-intervention</w:t>
            </w:r>
          </w:p>
        </w:tc>
        <w:tc>
          <w:tcPr>
            <w:tcW w:w="0" w:type="auto"/>
            <w:vMerge/>
            <w:tcBorders>
              <w:top w:val="single" w:sz="4" w:space="0" w:color="auto"/>
              <w:left w:val="nil"/>
              <w:bottom w:val="single" w:sz="4" w:space="0" w:color="auto"/>
              <w:right w:val="nil"/>
            </w:tcBorders>
            <w:vAlign w:val="center"/>
            <w:hideMark/>
          </w:tcPr>
          <w:p w14:paraId="6B8669DE"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38CBF260" w14:textId="77777777" w:rsidTr="007B31CB">
        <w:tc>
          <w:tcPr>
            <w:tcW w:w="0" w:type="auto"/>
            <w:vMerge/>
            <w:tcBorders>
              <w:top w:val="single" w:sz="4" w:space="0" w:color="auto"/>
              <w:left w:val="nil"/>
              <w:bottom w:val="single" w:sz="4" w:space="0" w:color="auto"/>
              <w:right w:val="nil"/>
            </w:tcBorders>
            <w:vAlign w:val="center"/>
            <w:hideMark/>
          </w:tcPr>
          <w:p w14:paraId="55A93E65" w14:textId="77777777" w:rsidR="0052261C" w:rsidRPr="0052261C" w:rsidRDefault="0052261C" w:rsidP="0052261C">
            <w:pPr>
              <w:spacing w:after="160" w:line="278" w:lineRule="auto"/>
              <w:jc w:val="both"/>
              <w:rPr>
                <w:rFonts w:ascii="Times New Roman" w:hAnsi="Times New Roman" w:cs="Times New Roman"/>
                <w:lang w:val="en-US"/>
              </w:rPr>
            </w:pPr>
          </w:p>
        </w:tc>
        <w:tc>
          <w:tcPr>
            <w:tcW w:w="0" w:type="auto"/>
            <w:vMerge/>
            <w:tcBorders>
              <w:top w:val="single" w:sz="4" w:space="0" w:color="auto"/>
              <w:left w:val="nil"/>
              <w:bottom w:val="single" w:sz="4" w:space="0" w:color="auto"/>
              <w:right w:val="nil"/>
            </w:tcBorders>
            <w:vAlign w:val="center"/>
            <w:hideMark/>
          </w:tcPr>
          <w:p w14:paraId="58CB7AF6" w14:textId="77777777" w:rsidR="0052261C" w:rsidRPr="0052261C" w:rsidRDefault="0052261C" w:rsidP="0052261C">
            <w:pPr>
              <w:spacing w:after="160" w:line="278" w:lineRule="auto"/>
              <w:jc w:val="both"/>
              <w:rPr>
                <w:rFonts w:ascii="Times New Roman" w:hAnsi="Times New Roman" w:cs="Times New Roman"/>
                <w:lang w:val="en-US"/>
              </w:rPr>
            </w:pPr>
          </w:p>
        </w:tc>
        <w:tc>
          <w:tcPr>
            <w:tcW w:w="992" w:type="dxa"/>
            <w:tcBorders>
              <w:top w:val="single" w:sz="4" w:space="0" w:color="auto"/>
              <w:left w:val="nil"/>
              <w:bottom w:val="single" w:sz="4" w:space="0" w:color="auto"/>
              <w:right w:val="nil"/>
            </w:tcBorders>
            <w:hideMark/>
          </w:tcPr>
          <w:p w14:paraId="11391A2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Mean</w:t>
            </w:r>
          </w:p>
        </w:tc>
        <w:tc>
          <w:tcPr>
            <w:tcW w:w="992" w:type="dxa"/>
            <w:tcBorders>
              <w:top w:val="single" w:sz="4" w:space="0" w:color="auto"/>
              <w:left w:val="nil"/>
              <w:bottom w:val="single" w:sz="4" w:space="0" w:color="auto"/>
              <w:right w:val="nil"/>
            </w:tcBorders>
            <w:hideMark/>
          </w:tcPr>
          <w:p w14:paraId="56ACAAB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Min</w:t>
            </w:r>
          </w:p>
        </w:tc>
        <w:tc>
          <w:tcPr>
            <w:tcW w:w="1135" w:type="dxa"/>
            <w:tcBorders>
              <w:top w:val="single" w:sz="4" w:space="0" w:color="auto"/>
              <w:left w:val="nil"/>
              <w:bottom w:val="single" w:sz="4" w:space="0" w:color="auto"/>
              <w:right w:val="nil"/>
            </w:tcBorders>
            <w:hideMark/>
          </w:tcPr>
          <w:p w14:paraId="391D63C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Max</w:t>
            </w:r>
          </w:p>
        </w:tc>
        <w:tc>
          <w:tcPr>
            <w:tcW w:w="851" w:type="dxa"/>
            <w:tcBorders>
              <w:top w:val="single" w:sz="4" w:space="0" w:color="auto"/>
              <w:left w:val="nil"/>
              <w:bottom w:val="single" w:sz="4" w:space="0" w:color="auto"/>
              <w:right w:val="nil"/>
            </w:tcBorders>
            <w:hideMark/>
          </w:tcPr>
          <w:p w14:paraId="37899F7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Mean</w:t>
            </w:r>
          </w:p>
        </w:tc>
        <w:tc>
          <w:tcPr>
            <w:tcW w:w="709" w:type="dxa"/>
            <w:tcBorders>
              <w:top w:val="single" w:sz="4" w:space="0" w:color="auto"/>
              <w:left w:val="nil"/>
              <w:bottom w:val="single" w:sz="4" w:space="0" w:color="auto"/>
              <w:right w:val="nil"/>
            </w:tcBorders>
            <w:hideMark/>
          </w:tcPr>
          <w:p w14:paraId="35B7475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Min</w:t>
            </w:r>
          </w:p>
        </w:tc>
        <w:tc>
          <w:tcPr>
            <w:tcW w:w="708" w:type="dxa"/>
            <w:tcBorders>
              <w:top w:val="single" w:sz="4" w:space="0" w:color="auto"/>
              <w:left w:val="nil"/>
              <w:bottom w:val="single" w:sz="4" w:space="0" w:color="auto"/>
              <w:right w:val="nil"/>
            </w:tcBorders>
            <w:hideMark/>
          </w:tcPr>
          <w:p w14:paraId="533977E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Max</w:t>
            </w:r>
          </w:p>
        </w:tc>
        <w:tc>
          <w:tcPr>
            <w:tcW w:w="0" w:type="auto"/>
            <w:vMerge/>
            <w:tcBorders>
              <w:top w:val="single" w:sz="4" w:space="0" w:color="auto"/>
              <w:left w:val="nil"/>
              <w:bottom w:val="single" w:sz="4" w:space="0" w:color="auto"/>
              <w:right w:val="nil"/>
            </w:tcBorders>
            <w:vAlign w:val="center"/>
            <w:hideMark/>
          </w:tcPr>
          <w:p w14:paraId="5EBAA154"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11EFC0FE" w14:textId="77777777" w:rsidTr="007B31CB">
        <w:tc>
          <w:tcPr>
            <w:tcW w:w="1560" w:type="dxa"/>
            <w:tcBorders>
              <w:top w:val="single" w:sz="4" w:space="0" w:color="auto"/>
              <w:left w:val="nil"/>
              <w:bottom w:val="nil"/>
              <w:right w:val="nil"/>
            </w:tcBorders>
            <w:hideMark/>
          </w:tcPr>
          <w:p w14:paraId="031E251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I</w:t>
            </w:r>
          </w:p>
        </w:tc>
        <w:tc>
          <w:tcPr>
            <w:tcW w:w="992" w:type="dxa"/>
            <w:tcBorders>
              <w:top w:val="single" w:sz="4" w:space="0" w:color="auto"/>
              <w:left w:val="nil"/>
              <w:bottom w:val="nil"/>
              <w:right w:val="nil"/>
            </w:tcBorders>
            <w:hideMark/>
          </w:tcPr>
          <w:p w14:paraId="3680CF0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992" w:type="dxa"/>
            <w:tcBorders>
              <w:top w:val="single" w:sz="4" w:space="0" w:color="auto"/>
              <w:left w:val="nil"/>
              <w:bottom w:val="nil"/>
              <w:right w:val="nil"/>
            </w:tcBorders>
            <w:hideMark/>
          </w:tcPr>
          <w:p w14:paraId="0691F3F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75</w:t>
            </w:r>
          </w:p>
        </w:tc>
        <w:tc>
          <w:tcPr>
            <w:tcW w:w="992" w:type="dxa"/>
            <w:tcBorders>
              <w:top w:val="single" w:sz="4" w:space="0" w:color="auto"/>
              <w:left w:val="nil"/>
              <w:bottom w:val="nil"/>
              <w:right w:val="nil"/>
            </w:tcBorders>
            <w:hideMark/>
          </w:tcPr>
          <w:p w14:paraId="284927B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60</w:t>
            </w:r>
          </w:p>
        </w:tc>
        <w:tc>
          <w:tcPr>
            <w:tcW w:w="1135" w:type="dxa"/>
            <w:tcBorders>
              <w:top w:val="single" w:sz="4" w:space="0" w:color="auto"/>
              <w:left w:val="nil"/>
              <w:bottom w:val="nil"/>
              <w:right w:val="nil"/>
            </w:tcBorders>
            <w:hideMark/>
          </w:tcPr>
          <w:p w14:paraId="1985814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110</w:t>
            </w:r>
          </w:p>
        </w:tc>
        <w:tc>
          <w:tcPr>
            <w:tcW w:w="851" w:type="dxa"/>
            <w:tcBorders>
              <w:top w:val="single" w:sz="4" w:space="0" w:color="auto"/>
              <w:left w:val="nil"/>
              <w:bottom w:val="nil"/>
              <w:right w:val="nil"/>
            </w:tcBorders>
            <w:hideMark/>
          </w:tcPr>
          <w:p w14:paraId="31BD6CE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80</w:t>
            </w:r>
          </w:p>
        </w:tc>
        <w:tc>
          <w:tcPr>
            <w:tcW w:w="709" w:type="dxa"/>
            <w:tcBorders>
              <w:top w:val="single" w:sz="4" w:space="0" w:color="auto"/>
              <w:left w:val="nil"/>
              <w:bottom w:val="nil"/>
              <w:right w:val="nil"/>
            </w:tcBorders>
            <w:hideMark/>
          </w:tcPr>
          <w:p w14:paraId="4B082AF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75</w:t>
            </w:r>
          </w:p>
        </w:tc>
        <w:tc>
          <w:tcPr>
            <w:tcW w:w="708" w:type="dxa"/>
            <w:tcBorders>
              <w:top w:val="single" w:sz="4" w:space="0" w:color="auto"/>
              <w:left w:val="nil"/>
              <w:bottom w:val="nil"/>
              <w:right w:val="nil"/>
            </w:tcBorders>
            <w:hideMark/>
          </w:tcPr>
          <w:p w14:paraId="13653D6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1133" w:type="dxa"/>
            <w:tcBorders>
              <w:top w:val="single" w:sz="4" w:space="0" w:color="auto"/>
              <w:left w:val="nil"/>
              <w:bottom w:val="nil"/>
              <w:right w:val="nil"/>
            </w:tcBorders>
            <w:hideMark/>
          </w:tcPr>
          <w:p w14:paraId="2DF1023E" w14:textId="28677481"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r w:rsidR="0052261C" w:rsidRPr="0052261C" w14:paraId="63B25B71" w14:textId="77777777" w:rsidTr="007B31CB">
        <w:tc>
          <w:tcPr>
            <w:tcW w:w="1560" w:type="dxa"/>
            <w:tcBorders>
              <w:top w:val="nil"/>
              <w:left w:val="nil"/>
              <w:bottom w:val="single" w:sz="4" w:space="0" w:color="auto"/>
              <w:right w:val="nil"/>
            </w:tcBorders>
            <w:hideMark/>
          </w:tcPr>
          <w:p w14:paraId="35CB9A2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II</w:t>
            </w:r>
          </w:p>
        </w:tc>
        <w:tc>
          <w:tcPr>
            <w:tcW w:w="992" w:type="dxa"/>
            <w:tcBorders>
              <w:top w:val="nil"/>
              <w:left w:val="nil"/>
              <w:bottom w:val="single" w:sz="4" w:space="0" w:color="auto"/>
              <w:right w:val="nil"/>
            </w:tcBorders>
            <w:hideMark/>
          </w:tcPr>
          <w:p w14:paraId="5EE5A7C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992" w:type="dxa"/>
            <w:tcBorders>
              <w:top w:val="nil"/>
              <w:left w:val="nil"/>
              <w:bottom w:val="single" w:sz="4" w:space="0" w:color="auto"/>
              <w:right w:val="nil"/>
            </w:tcBorders>
            <w:hideMark/>
          </w:tcPr>
          <w:p w14:paraId="2B616BE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76</w:t>
            </w:r>
          </w:p>
        </w:tc>
        <w:tc>
          <w:tcPr>
            <w:tcW w:w="992" w:type="dxa"/>
            <w:tcBorders>
              <w:top w:val="nil"/>
              <w:left w:val="nil"/>
              <w:bottom w:val="single" w:sz="4" w:space="0" w:color="auto"/>
              <w:right w:val="nil"/>
            </w:tcBorders>
            <w:hideMark/>
          </w:tcPr>
          <w:p w14:paraId="53767AF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60</w:t>
            </w:r>
          </w:p>
        </w:tc>
        <w:tc>
          <w:tcPr>
            <w:tcW w:w="1135" w:type="dxa"/>
            <w:tcBorders>
              <w:top w:val="nil"/>
              <w:left w:val="nil"/>
              <w:bottom w:val="single" w:sz="4" w:space="0" w:color="auto"/>
              <w:right w:val="nil"/>
            </w:tcBorders>
            <w:hideMark/>
          </w:tcPr>
          <w:p w14:paraId="0358A9C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105</w:t>
            </w:r>
          </w:p>
        </w:tc>
        <w:tc>
          <w:tcPr>
            <w:tcW w:w="851" w:type="dxa"/>
            <w:tcBorders>
              <w:top w:val="nil"/>
              <w:left w:val="nil"/>
              <w:bottom w:val="single" w:sz="4" w:space="0" w:color="auto"/>
              <w:right w:val="nil"/>
            </w:tcBorders>
            <w:hideMark/>
          </w:tcPr>
          <w:p w14:paraId="7B7612C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p>
        </w:tc>
        <w:tc>
          <w:tcPr>
            <w:tcW w:w="709" w:type="dxa"/>
            <w:tcBorders>
              <w:top w:val="nil"/>
              <w:left w:val="nil"/>
              <w:bottom w:val="single" w:sz="4" w:space="0" w:color="auto"/>
              <w:right w:val="nil"/>
            </w:tcBorders>
            <w:hideMark/>
          </w:tcPr>
          <w:p w14:paraId="7BBB542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60</w:t>
            </w:r>
          </w:p>
        </w:tc>
        <w:tc>
          <w:tcPr>
            <w:tcW w:w="708" w:type="dxa"/>
            <w:tcBorders>
              <w:top w:val="nil"/>
              <w:left w:val="nil"/>
              <w:bottom w:val="single" w:sz="4" w:space="0" w:color="auto"/>
              <w:right w:val="nil"/>
            </w:tcBorders>
            <w:hideMark/>
          </w:tcPr>
          <w:p w14:paraId="5C99342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102</w:t>
            </w:r>
          </w:p>
        </w:tc>
        <w:tc>
          <w:tcPr>
            <w:tcW w:w="1133" w:type="dxa"/>
            <w:tcBorders>
              <w:top w:val="nil"/>
              <w:left w:val="nil"/>
              <w:bottom w:val="single" w:sz="4" w:space="0" w:color="auto"/>
              <w:right w:val="nil"/>
            </w:tcBorders>
            <w:hideMark/>
          </w:tcPr>
          <w:p w14:paraId="7C7305CC" w14:textId="7216F940"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bl>
    <w:p w14:paraId="4C6AF377" w14:textId="77777777" w:rsidR="0052261C" w:rsidRPr="0052261C" w:rsidRDefault="0052261C" w:rsidP="0052261C">
      <w:pPr>
        <w:jc w:val="both"/>
        <w:rPr>
          <w:rFonts w:ascii="Times New Roman" w:hAnsi="Times New Roman" w:cs="Times New Roman"/>
          <w:lang w:val="en-US"/>
        </w:rPr>
      </w:pPr>
    </w:p>
    <w:p w14:paraId="2E53E24C" w14:textId="77777777" w:rsidR="00740D45" w:rsidRPr="00740D45" w:rsidRDefault="00740D45" w:rsidP="00740D45">
      <w:pPr>
        <w:jc w:val="both"/>
        <w:rPr>
          <w:rFonts w:ascii="Times New Roman" w:hAnsi="Times New Roman" w:cs="Times New Roman"/>
        </w:rPr>
      </w:pPr>
      <w:r w:rsidRPr="00740D45">
        <w:rPr>
          <w:rFonts w:ascii="Times New Roman" w:hAnsi="Times New Roman" w:cs="Times New Roman"/>
        </w:rPr>
        <w:t>After the intervention, all respondents in Group I were categorized as not anxious, while most respondents in Group II remained mildly anxious.</w:t>
      </w:r>
    </w:p>
    <w:p w14:paraId="631D5A98" w14:textId="77777777" w:rsidR="00740D45" w:rsidRPr="00740D45" w:rsidRDefault="00740D45" w:rsidP="00740D45">
      <w:pPr>
        <w:jc w:val="both"/>
        <w:rPr>
          <w:rFonts w:ascii="Times New Roman" w:hAnsi="Times New Roman" w:cs="Times New Roman"/>
        </w:rPr>
      </w:pPr>
      <w:r w:rsidRPr="00740D45">
        <w:rPr>
          <w:rFonts w:ascii="Times New Roman" w:hAnsi="Times New Roman" w:cs="Times New Roman"/>
        </w:rPr>
        <w:lastRenderedPageBreak/>
        <w:t>Blood pressure decreased significantly in the intervention group compared to the control group (p &lt; 0.001).</w:t>
      </w:r>
    </w:p>
    <w:p w14:paraId="10485A01" w14:textId="77777777" w:rsidR="00A42741" w:rsidRDefault="00A42741" w:rsidP="0052261C">
      <w:pPr>
        <w:jc w:val="both"/>
        <w:rPr>
          <w:rFonts w:ascii="Times New Roman" w:hAnsi="Times New Roman" w:cs="Times New Roman"/>
        </w:rPr>
      </w:pPr>
      <w:r w:rsidRPr="00A42741">
        <w:rPr>
          <w:rFonts w:ascii="Times New Roman" w:hAnsi="Times New Roman" w:cs="Times New Roman"/>
        </w:rPr>
        <w:t>Heart rate showed significant changes after the intervention, indicating improved autonomic nervous system regulation (p &lt; 0.001).</w:t>
      </w:r>
    </w:p>
    <w:p w14:paraId="14B680A7" w14:textId="7D2BB193" w:rsidR="00466D45" w:rsidRDefault="00A42741" w:rsidP="0052261C">
      <w:pPr>
        <w:jc w:val="both"/>
        <w:rPr>
          <w:rFonts w:ascii="Times New Roman" w:hAnsi="Times New Roman" w:cs="Times New Roman"/>
        </w:rPr>
      </w:pPr>
      <w:r w:rsidRPr="00A42741">
        <w:rPr>
          <w:rFonts w:ascii="Times New Roman" w:hAnsi="Times New Roman" w:cs="Times New Roman"/>
        </w:rPr>
        <w:t>These findings indicate that the intervention effectively improved both psychological and physiological outcomes among adolescents.</w:t>
      </w:r>
    </w:p>
    <w:p w14:paraId="13E686DC" w14:textId="77777777" w:rsidR="00E23AFC" w:rsidRDefault="00E23AFC" w:rsidP="0052261C">
      <w:pPr>
        <w:jc w:val="both"/>
        <w:rPr>
          <w:rFonts w:ascii="Times New Roman" w:hAnsi="Times New Roman" w:cs="Times New Roman"/>
        </w:rPr>
      </w:pPr>
    </w:p>
    <w:p w14:paraId="2B8CDDAC" w14:textId="0D4B1162" w:rsidR="0052261C" w:rsidRPr="0052261C" w:rsidRDefault="006731CF" w:rsidP="0052261C">
      <w:pPr>
        <w:jc w:val="both"/>
        <w:rPr>
          <w:rFonts w:ascii="Times New Roman" w:hAnsi="Times New Roman" w:cs="Times New Roman"/>
          <w:b/>
          <w:bCs/>
          <w:sz w:val="26"/>
          <w:szCs w:val="26"/>
        </w:rPr>
      </w:pPr>
      <w:r w:rsidRPr="006731CF">
        <w:rPr>
          <w:rFonts w:ascii="Times New Roman" w:hAnsi="Times New Roman" w:cs="Times New Roman"/>
          <w:b/>
          <w:bCs/>
          <w:sz w:val="26"/>
          <w:szCs w:val="26"/>
        </w:rPr>
        <w:t>DISCUSSION</w:t>
      </w:r>
    </w:p>
    <w:p w14:paraId="4E29D2D2"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The present study demonstrated that the administration of dark chocolate and oats sticks significantly reduced anxiety levels among adolescents. After the intervention, all respondents in the intervention group were categorized as not anxious, whereas the majority of respondents in the control group remained in the mild anxiety category. This finding indicates that the intervention had a substantial effect on improving psychological well-being.</w:t>
      </w:r>
    </w:p>
    <w:p w14:paraId="3589A81E"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The reduction in anxiety levels observed in this study can be explained by the bioactive compounds present in dark chocolate and oats. Dark chocolate contains flavonoids, particularly epicatechin, which have been shown to enhance cerebral blood flow and modulate neurotransmitter activity involved in mood regulation (17). Previous studies have reported that flavonoid-rich foods are associated with reduced stress responses and improved emotional states.</w:t>
      </w:r>
    </w:p>
    <w:p w14:paraId="7D035AF7"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Oats also contribute to anxiety reduction through their nutritional composition, particularly beta-glucan and magnesium. Magnesium plays a role in inhibiting excessive neuronal excitation and has been reported to exert mild anxiolytic effects, while beta-glucan supports metabolic stability and stress response regulation (18). These mechanisms collectively contribute to improved emotional balance among adolescents.</w:t>
      </w:r>
    </w:p>
    <w:p w14:paraId="04C5AE4B"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In addition to psychological outcomes, this study found a significant reduction in systolic and diastolic blood pressure following the intervention. The decrease in blood pressure was more pronounced in the intervention group compared to the control group. These findings are consistent with previous studies demonstrating that flavonoids enhance endothelial function by increasing nitric oxide production, leading to vasodilation and reduced vascular resistance (19).</w:t>
      </w:r>
    </w:p>
    <w:p w14:paraId="2EBC30C3"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Furthermore, oats contribute to cardiovascular improvement through their beta-glucan content, which has been associated with reduced blood pressure and improved lipid metabolism. Several studies have shown that regular consumption of oats is linked to reductions in both systolic and diastolic blood pressure, particularly among individuals with elevated cardiovascular risk (20).</w:t>
      </w:r>
    </w:p>
    <w:p w14:paraId="04A7878E"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This study also demonstrated a significant change in heart rate following the intervention. The observed improvement in heart rate reflects better autonomic nervous system regulation, characterized by reduced sympathetic activity and increased parasympathetic dominance. This physiological response is closely associated with reduced anxiety and improved relaxation (21).</w:t>
      </w:r>
    </w:p>
    <w:p w14:paraId="2A07F67A"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lastRenderedPageBreak/>
        <w:t>The combination of dark chocolate and oats in the form of snack sticks provides a practical and acceptable intervention for adolescents. This form not only enhances palatability but also improves adherence, which is a critical factor in the success of lifestyle-based interventions (22). The synergistic effect of these functional foods may offer a comprehensive approach to improving both mental and cardiovascular health among adolescents.</w:t>
      </w:r>
    </w:p>
    <w:p w14:paraId="0E878063"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Despite these promising findings, several limitations should be acknowledged. The duration of the intervention was relatively short, and potential confounding factors such as physical activity, dietary intake, and sleep patterns were not fully controlled. Future studies are recommended to include longer intervention periods and additional biomarkers, such as cortisol levels, to better understand the underlying mechanisms of the observed effects.</w:t>
      </w:r>
    </w:p>
    <w:p w14:paraId="26A81596" w14:textId="77777777" w:rsidR="00AD50D9" w:rsidRDefault="00AD50D9" w:rsidP="0052261C">
      <w:pPr>
        <w:jc w:val="both"/>
        <w:rPr>
          <w:rFonts w:ascii="Times New Roman" w:hAnsi="Times New Roman" w:cs="Times New Roman"/>
          <w:bCs/>
        </w:rPr>
      </w:pPr>
    </w:p>
    <w:p w14:paraId="193DD021" w14:textId="66D3FC17" w:rsidR="0052261C" w:rsidRPr="0052261C" w:rsidRDefault="006731CF" w:rsidP="0052261C">
      <w:pPr>
        <w:jc w:val="both"/>
        <w:rPr>
          <w:rFonts w:ascii="Times New Roman" w:hAnsi="Times New Roman" w:cs="Times New Roman"/>
          <w:b/>
          <w:bCs/>
          <w:sz w:val="26"/>
          <w:szCs w:val="26"/>
        </w:rPr>
      </w:pPr>
      <w:r w:rsidRPr="006731CF">
        <w:rPr>
          <w:rFonts w:ascii="Times New Roman" w:hAnsi="Times New Roman" w:cs="Times New Roman"/>
          <w:b/>
          <w:bCs/>
          <w:sz w:val="26"/>
          <w:szCs w:val="26"/>
        </w:rPr>
        <w:t>CONCLUSION</w:t>
      </w:r>
    </w:p>
    <w:p w14:paraId="7F59A837" w14:textId="6D6FA312" w:rsidR="0052261C" w:rsidRDefault="00AA2820" w:rsidP="0052261C">
      <w:pPr>
        <w:jc w:val="both"/>
        <w:rPr>
          <w:rFonts w:ascii="Times New Roman" w:hAnsi="Times New Roman" w:cs="Times New Roman"/>
          <w:bCs/>
        </w:rPr>
      </w:pPr>
      <w:r w:rsidRPr="00AA2820">
        <w:rPr>
          <w:rFonts w:ascii="Times New Roman" w:hAnsi="Times New Roman" w:cs="Times New Roman"/>
          <w:bCs/>
        </w:rPr>
        <w:t>The administration of dark chocolate and oats sticks significantly reduced anxiety levels, blood pressure, and heart rate among adolescents. This functional food-based intervention may serve as a practical and non-pharmacological approach to support adolescent mental and cardiovascular health, particularly in school-based health promotion programs.</w:t>
      </w:r>
    </w:p>
    <w:p w14:paraId="39B42ADB" w14:textId="77777777" w:rsidR="00AA2820" w:rsidRPr="0052261C" w:rsidRDefault="00AA2820" w:rsidP="0052261C">
      <w:pPr>
        <w:jc w:val="both"/>
        <w:rPr>
          <w:rFonts w:ascii="Times New Roman" w:hAnsi="Times New Roman" w:cs="Times New Roman"/>
          <w:b/>
          <w:lang w:val="en-US"/>
        </w:rPr>
      </w:pPr>
    </w:p>
    <w:p w14:paraId="2D972F55" w14:textId="61041F4C" w:rsidR="0052261C" w:rsidRPr="0052261C" w:rsidRDefault="00233826" w:rsidP="0052261C">
      <w:pPr>
        <w:jc w:val="both"/>
        <w:rPr>
          <w:rFonts w:ascii="Times New Roman" w:hAnsi="Times New Roman" w:cs="Times New Roman"/>
          <w:b/>
          <w:bCs/>
          <w:sz w:val="26"/>
          <w:szCs w:val="26"/>
        </w:rPr>
      </w:pPr>
      <w:bookmarkStart w:id="1" w:name="_heading=h.26in1rg"/>
      <w:bookmarkEnd w:id="1"/>
      <w:r w:rsidRPr="00233826">
        <w:rPr>
          <w:rFonts w:ascii="Times New Roman" w:hAnsi="Times New Roman" w:cs="Times New Roman"/>
          <w:b/>
          <w:bCs/>
          <w:sz w:val="26"/>
          <w:szCs w:val="26"/>
        </w:rPr>
        <w:t>LIMITATIONS</w:t>
      </w:r>
    </w:p>
    <w:p w14:paraId="369DF1DE" w14:textId="70052244" w:rsidR="0052261C" w:rsidRPr="0052261C" w:rsidRDefault="005A5321" w:rsidP="0052261C">
      <w:pPr>
        <w:jc w:val="both"/>
        <w:rPr>
          <w:rFonts w:ascii="Times New Roman" w:hAnsi="Times New Roman" w:cs="Times New Roman"/>
          <w:bCs/>
          <w:lang w:val="en-US"/>
        </w:rPr>
      </w:pPr>
      <w:r w:rsidRPr="005A5321">
        <w:rPr>
          <w:rFonts w:ascii="Times New Roman" w:hAnsi="Times New Roman" w:cs="Times New Roman"/>
          <w:bCs/>
        </w:rPr>
        <w:t>This study did not fully control potential confounding variables such as physical activity, sleep quality, caffeine intake, and dietary patterns, which may have influenced blood pressure and heart rate outcomes.</w:t>
      </w:r>
    </w:p>
    <w:p w14:paraId="7F53BE3B" w14:textId="77777777" w:rsidR="005A5321" w:rsidRDefault="005A5321" w:rsidP="0052261C">
      <w:pPr>
        <w:jc w:val="both"/>
        <w:rPr>
          <w:rFonts w:ascii="Times New Roman" w:hAnsi="Times New Roman" w:cs="Times New Roman"/>
          <w:b/>
          <w:bCs/>
        </w:rPr>
      </w:pPr>
    </w:p>
    <w:p w14:paraId="04B465CC" w14:textId="67B16410" w:rsidR="00A04F53" w:rsidRPr="00233826" w:rsidRDefault="00233826" w:rsidP="00A04F53">
      <w:pPr>
        <w:jc w:val="both"/>
        <w:rPr>
          <w:rFonts w:ascii="Times New Roman" w:hAnsi="Times New Roman" w:cs="Times New Roman"/>
          <w:b/>
          <w:bCs/>
          <w:sz w:val="26"/>
          <w:szCs w:val="26"/>
        </w:rPr>
      </w:pPr>
      <w:r w:rsidRPr="00233826">
        <w:rPr>
          <w:rFonts w:ascii="Times New Roman" w:hAnsi="Times New Roman" w:cs="Times New Roman"/>
          <w:b/>
          <w:bCs/>
          <w:sz w:val="26"/>
          <w:szCs w:val="26"/>
        </w:rPr>
        <w:t>ACKNOWLEDGMENTS</w:t>
      </w:r>
    </w:p>
    <w:p w14:paraId="3FE49270" w14:textId="17B1F9F6" w:rsidR="005A5321" w:rsidRDefault="00A04F53" w:rsidP="00A04F53">
      <w:pPr>
        <w:jc w:val="both"/>
        <w:rPr>
          <w:rFonts w:ascii="Times New Roman" w:hAnsi="Times New Roman" w:cs="Times New Roman"/>
        </w:rPr>
      </w:pPr>
      <w:r w:rsidRPr="00A04F53">
        <w:rPr>
          <w:rFonts w:ascii="Times New Roman" w:hAnsi="Times New Roman" w:cs="Times New Roman"/>
        </w:rPr>
        <w:t>The authors would like to express their gratitude to the participating institutions for their support and cooperation in this study.</w:t>
      </w:r>
    </w:p>
    <w:p w14:paraId="1DE683BB" w14:textId="77777777" w:rsidR="00A04F53" w:rsidRPr="0052261C" w:rsidRDefault="00A04F53" w:rsidP="00A04F53">
      <w:pPr>
        <w:jc w:val="both"/>
        <w:rPr>
          <w:rFonts w:ascii="Times New Roman" w:hAnsi="Times New Roman" w:cs="Times New Roman"/>
        </w:rPr>
      </w:pPr>
    </w:p>
    <w:p w14:paraId="642E217D" w14:textId="279E46CF" w:rsidR="0052261C" w:rsidRPr="0052261C" w:rsidRDefault="00233826" w:rsidP="0052261C">
      <w:pPr>
        <w:jc w:val="both"/>
        <w:rPr>
          <w:rFonts w:ascii="Times New Roman" w:hAnsi="Times New Roman" w:cs="Times New Roman"/>
          <w:b/>
          <w:bCs/>
          <w:sz w:val="26"/>
          <w:szCs w:val="26"/>
        </w:rPr>
      </w:pPr>
      <w:r w:rsidRPr="0052261C">
        <w:rPr>
          <w:rFonts w:ascii="Times New Roman" w:hAnsi="Times New Roman" w:cs="Times New Roman"/>
          <w:b/>
          <w:bCs/>
          <w:sz w:val="26"/>
          <w:szCs w:val="26"/>
        </w:rPr>
        <w:t>AUTHOR CONTRIBUTIONS</w:t>
      </w:r>
    </w:p>
    <w:p w14:paraId="30CD6061" w14:textId="61E6D458" w:rsidR="00C4447E" w:rsidRDefault="00AD50D9" w:rsidP="0052261C">
      <w:pPr>
        <w:jc w:val="both"/>
        <w:rPr>
          <w:rFonts w:ascii="Times New Roman" w:hAnsi="Times New Roman" w:cs="Times New Roman"/>
          <w:b/>
          <w:bCs/>
        </w:rPr>
      </w:pPr>
      <w:r w:rsidRPr="00AD50D9">
        <w:rPr>
          <w:rFonts w:ascii="Times New Roman" w:hAnsi="Times New Roman" w:cs="Times New Roman"/>
          <w:bCs/>
        </w:rPr>
        <w:t>A.A., K., S.S., S., and A.M. designed research; A.A., S.S., and S. conducted research; S.S. analyzed data; A.A. and K. wrote the paper; A.A. had primary responsibility for final content. All authors read and approved the final manuscript.</w:t>
      </w:r>
    </w:p>
    <w:p w14:paraId="47557D3F" w14:textId="77777777" w:rsidR="00AD50D9" w:rsidRDefault="00AD50D9" w:rsidP="0052261C">
      <w:pPr>
        <w:jc w:val="both"/>
        <w:rPr>
          <w:rFonts w:ascii="Times New Roman" w:hAnsi="Times New Roman" w:cs="Times New Roman"/>
          <w:b/>
          <w:bCs/>
        </w:rPr>
      </w:pPr>
    </w:p>
    <w:p w14:paraId="7FC03F30" w14:textId="27C6FB73" w:rsidR="0052261C" w:rsidRPr="0052261C" w:rsidRDefault="00233826" w:rsidP="0052261C">
      <w:pPr>
        <w:jc w:val="both"/>
        <w:rPr>
          <w:rFonts w:ascii="Times New Roman" w:hAnsi="Times New Roman" w:cs="Times New Roman"/>
          <w:b/>
          <w:bCs/>
          <w:sz w:val="26"/>
          <w:szCs w:val="26"/>
        </w:rPr>
      </w:pPr>
      <w:r w:rsidRPr="0052261C">
        <w:rPr>
          <w:rFonts w:ascii="Times New Roman" w:hAnsi="Times New Roman" w:cs="Times New Roman"/>
          <w:b/>
          <w:bCs/>
          <w:sz w:val="26"/>
          <w:szCs w:val="26"/>
        </w:rPr>
        <w:t>CONFLICT OF INTEREST STATEMENT</w:t>
      </w:r>
    </w:p>
    <w:p w14:paraId="0D451564" w14:textId="77777777" w:rsidR="0052261C" w:rsidRPr="0052261C" w:rsidRDefault="0052261C" w:rsidP="0052261C">
      <w:pPr>
        <w:jc w:val="both"/>
        <w:rPr>
          <w:rFonts w:ascii="Times New Roman" w:hAnsi="Times New Roman" w:cs="Times New Roman"/>
          <w:bCs/>
        </w:rPr>
      </w:pPr>
      <w:r w:rsidRPr="0052261C">
        <w:rPr>
          <w:rFonts w:ascii="Times New Roman" w:hAnsi="Times New Roman" w:cs="Times New Roman"/>
          <w:bCs/>
        </w:rPr>
        <w:t>The authors declare that there is no conflict of interest.</w:t>
      </w:r>
    </w:p>
    <w:p w14:paraId="2A6DD86B" w14:textId="77777777" w:rsidR="0052261C" w:rsidRPr="0052261C" w:rsidRDefault="0052261C" w:rsidP="0052261C">
      <w:pPr>
        <w:jc w:val="both"/>
        <w:rPr>
          <w:rFonts w:ascii="Times New Roman" w:hAnsi="Times New Roman" w:cs="Times New Roman"/>
          <w:lang w:val="en-US"/>
        </w:rPr>
      </w:pPr>
    </w:p>
    <w:p w14:paraId="53144EB9" w14:textId="77777777" w:rsidR="0052261C" w:rsidRPr="0052261C" w:rsidRDefault="0052261C" w:rsidP="0052261C">
      <w:pPr>
        <w:jc w:val="both"/>
        <w:rPr>
          <w:rFonts w:ascii="Times New Roman" w:hAnsi="Times New Roman" w:cs="Times New Roman"/>
          <w:b/>
          <w:lang w:val="en-US"/>
        </w:rPr>
      </w:pPr>
      <w:bookmarkStart w:id="2" w:name="_heading=h.3dy6vkm"/>
      <w:bookmarkEnd w:id="2"/>
      <w:r w:rsidRPr="0052261C">
        <w:rPr>
          <w:rFonts w:ascii="Times New Roman" w:hAnsi="Times New Roman" w:cs="Times New Roman"/>
          <w:b/>
          <w:lang w:val="en-US"/>
        </w:rPr>
        <w:lastRenderedPageBreak/>
        <w:t>REFERENCES</w:t>
      </w:r>
    </w:p>
    <w:p w14:paraId="7DE4B23B" w14:textId="7CA7EF1B" w:rsidR="00C4447E" w:rsidRPr="00C4447E" w:rsidRDefault="0052261C" w:rsidP="007B615F">
      <w:pPr>
        <w:pStyle w:val="ListParagraph"/>
        <w:numPr>
          <w:ilvl w:val="0"/>
          <w:numId w:val="1"/>
        </w:numPr>
        <w:ind w:left="426" w:hanging="426"/>
        <w:jc w:val="both"/>
        <w:rPr>
          <w:rFonts w:ascii="Times New Roman" w:hAnsi="Times New Roman" w:cs="Times New Roman"/>
        </w:rPr>
      </w:pPr>
      <w:r w:rsidRPr="0052261C">
        <w:rPr>
          <w:rFonts w:ascii="Times New Roman" w:hAnsi="Times New Roman" w:cs="Times New Roman"/>
          <w:lang w:val="en-US"/>
        </w:rPr>
        <w:fldChar w:fldCharType="begin" w:fldLock="1"/>
      </w:r>
      <w:r w:rsidRPr="00C4447E">
        <w:rPr>
          <w:rFonts w:ascii="Times New Roman" w:hAnsi="Times New Roman" w:cs="Times New Roman"/>
          <w:lang w:val="en-US"/>
        </w:rPr>
        <w:instrText xml:space="preserve">ADDIN Mendeley Bibliography CSL_BIBLIOGRAPHY </w:instrText>
      </w:r>
      <w:r w:rsidRPr="0052261C">
        <w:rPr>
          <w:rFonts w:ascii="Times New Roman" w:hAnsi="Times New Roman" w:cs="Times New Roman"/>
          <w:lang w:val="en-US"/>
        </w:rPr>
        <w:fldChar w:fldCharType="separate"/>
      </w:r>
      <w:r w:rsidR="00C4447E" w:rsidRPr="00C4447E">
        <w:rPr>
          <w:rFonts w:ascii="Times New Roman" w:hAnsi="Times New Roman" w:cs="Times New Roman"/>
        </w:rPr>
        <w:t xml:space="preserve">Bondonno NP, et al. 2018. Flavonoid-rich apple improves endothelial function in individuals at risk for cardiovascular disease: a randomized controlled clinical trial. </w:t>
      </w:r>
      <w:r w:rsidR="00C4447E" w:rsidRPr="00C4447E">
        <w:rPr>
          <w:rFonts w:ascii="Times New Roman" w:hAnsi="Times New Roman" w:cs="Times New Roman"/>
          <w:i/>
          <w:iCs/>
        </w:rPr>
        <w:t>Mol Nutr Food Res</w:t>
      </w:r>
      <w:r w:rsidR="00C4447E" w:rsidRPr="00C4447E">
        <w:rPr>
          <w:rFonts w:ascii="Times New Roman" w:hAnsi="Times New Roman" w:cs="Times New Roman"/>
        </w:rPr>
        <w:t>. 62(3).</w:t>
      </w:r>
    </w:p>
    <w:p w14:paraId="49966A68"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Calabrò V, et al. 2019. Effects of flavanol-rich cocoa on mood and anxiety symptoms: a randomized controlled study. </w:t>
      </w:r>
      <w:r w:rsidRPr="00C4447E">
        <w:rPr>
          <w:rFonts w:ascii="Times New Roman" w:hAnsi="Times New Roman" w:cs="Times New Roman"/>
          <w:i/>
          <w:iCs/>
        </w:rPr>
        <w:t>Nutrients</w:t>
      </w:r>
      <w:r w:rsidRPr="00C4447E">
        <w:rPr>
          <w:rFonts w:ascii="Times New Roman" w:hAnsi="Times New Roman" w:cs="Times New Roman"/>
        </w:rPr>
        <w:t>. 11(11):2786.</w:t>
      </w:r>
    </w:p>
    <w:p w14:paraId="2A7D040E"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Claresta LJ, Purwoko Y. 2017. Pengaruh konsumsi cokelat terhadap tingkat kecemasan. </w:t>
      </w:r>
      <w:r w:rsidRPr="00C4447E">
        <w:rPr>
          <w:rFonts w:ascii="Times New Roman" w:hAnsi="Times New Roman" w:cs="Times New Roman"/>
          <w:i/>
          <w:iCs/>
        </w:rPr>
        <w:t>Jurnal Kedokteran</w:t>
      </w:r>
      <w:r w:rsidRPr="00C4447E">
        <w:rPr>
          <w:rFonts w:ascii="Times New Roman" w:hAnsi="Times New Roman" w:cs="Times New Roman"/>
        </w:rPr>
        <w:t>. 6(2):737–747.</w:t>
      </w:r>
    </w:p>
    <w:p w14:paraId="1911529F"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Clark JL, Zahradka P, Taylor CG. 2015. Efficacy of flavonoids in the management of high blood pressure. </w:t>
      </w:r>
      <w:r w:rsidRPr="00C4447E">
        <w:rPr>
          <w:rFonts w:ascii="Times New Roman" w:hAnsi="Times New Roman" w:cs="Times New Roman"/>
          <w:i/>
          <w:iCs/>
        </w:rPr>
        <w:t>Nutr Rev</w:t>
      </w:r>
      <w:r w:rsidRPr="00C4447E">
        <w:rPr>
          <w:rFonts w:ascii="Times New Roman" w:hAnsi="Times New Roman" w:cs="Times New Roman"/>
        </w:rPr>
        <w:t>. 73(12):799–822.</w:t>
      </w:r>
    </w:p>
    <w:p w14:paraId="489B66D1"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Crichton GE, Elias MF, Alkerwi A. 2016. Chocolate intake is associated with better cognitive function and reduced stress. </w:t>
      </w:r>
      <w:r w:rsidRPr="00C4447E">
        <w:rPr>
          <w:rFonts w:ascii="Times New Roman" w:hAnsi="Times New Roman" w:cs="Times New Roman"/>
          <w:i/>
          <w:iCs/>
        </w:rPr>
        <w:t>Appetite</w:t>
      </w:r>
      <w:r w:rsidRPr="00C4447E">
        <w:rPr>
          <w:rFonts w:ascii="Times New Roman" w:hAnsi="Times New Roman" w:cs="Times New Roman"/>
        </w:rPr>
        <w:t>. 100:126–132.</w:t>
      </w:r>
    </w:p>
    <w:p w14:paraId="0CC43D97"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Faktor A, Berhubungan Y, Hipertensi D, Remaja P, Suryawan ZF. 2019. Faktor yang berhubungan dengan hipertensi pada remaja. </w:t>
      </w:r>
      <w:r w:rsidRPr="00C4447E">
        <w:rPr>
          <w:rFonts w:ascii="Times New Roman" w:hAnsi="Times New Roman" w:cs="Times New Roman"/>
          <w:i/>
          <w:iCs/>
        </w:rPr>
        <w:t>Jurnal Keperawatan Muhammadiyah</w:t>
      </w:r>
      <w:r w:rsidRPr="00C4447E">
        <w:rPr>
          <w:rFonts w:ascii="Times New Roman" w:hAnsi="Times New Roman" w:cs="Times New Roman"/>
        </w:rPr>
        <w:t>. 4(1).</w:t>
      </w:r>
    </w:p>
    <w:p w14:paraId="5F7B7F47"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Grassi D, Desideri G, Ferri C. 2018. Flavonoids: antioxidants against atherosclerosis. </w:t>
      </w:r>
      <w:r w:rsidRPr="00C4447E">
        <w:rPr>
          <w:rFonts w:ascii="Times New Roman" w:hAnsi="Times New Roman" w:cs="Times New Roman"/>
          <w:i/>
          <w:iCs/>
        </w:rPr>
        <w:t>Nutrients</w:t>
      </w:r>
      <w:r w:rsidRPr="00C4447E">
        <w:rPr>
          <w:rFonts w:ascii="Times New Roman" w:hAnsi="Times New Roman" w:cs="Times New Roman"/>
        </w:rPr>
        <w:t>. 10(4):450.</w:t>
      </w:r>
    </w:p>
    <w:p w14:paraId="1FCEB431"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Indonesia HP. 2021. Kesehatan jiwa dan resolusi pascapandemi di Indonesia.</w:t>
      </w:r>
    </w:p>
    <w:p w14:paraId="57E376C5"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Jackson PA, et al. 2019. The impact of cocoa flavanol consumption on mood and stress. </w:t>
      </w:r>
      <w:r w:rsidRPr="00C4447E">
        <w:rPr>
          <w:rFonts w:ascii="Times New Roman" w:hAnsi="Times New Roman" w:cs="Times New Roman"/>
          <w:i/>
          <w:iCs/>
        </w:rPr>
        <w:t>Nutrients</w:t>
      </w:r>
      <w:r w:rsidRPr="00C4447E">
        <w:rPr>
          <w:rFonts w:ascii="Times New Roman" w:hAnsi="Times New Roman" w:cs="Times New Roman"/>
        </w:rPr>
        <w:t>. 11(5):1130.</w:t>
      </w:r>
    </w:p>
    <w:p w14:paraId="4C503B88"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Ju Y, Zhang C, Zhang Z, Zhu H, Liu Y, et al. 2022. Effect of dietary fiber (oat bran) supplementation on heart rate in patients with hypertension: a randomized trial.</w:t>
      </w:r>
    </w:p>
    <w:p w14:paraId="3D08B3B0"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Maaliki D, Shaiti AA, Pintus G, Yazbi AE. 2019. Flavonoids in hypertension: a brief review of underlying mechanisms. </w:t>
      </w:r>
      <w:r w:rsidRPr="00C4447E">
        <w:rPr>
          <w:rFonts w:ascii="Times New Roman" w:hAnsi="Times New Roman" w:cs="Times New Roman"/>
          <w:i/>
          <w:iCs/>
        </w:rPr>
        <w:t>Curr Opin Pharmacol</w:t>
      </w:r>
      <w:r w:rsidRPr="00C4447E">
        <w:rPr>
          <w:rFonts w:ascii="Times New Roman" w:hAnsi="Times New Roman" w:cs="Times New Roman"/>
        </w:rPr>
        <w:t>. 45:57–65.</w:t>
      </w:r>
    </w:p>
    <w:p w14:paraId="11E23444"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Mastroiacovo D, et al. 2015. Cocoa flavanols reduce stress reactivity and improve mood. </w:t>
      </w:r>
      <w:r w:rsidRPr="00C4447E">
        <w:rPr>
          <w:rFonts w:ascii="Times New Roman" w:hAnsi="Times New Roman" w:cs="Times New Roman"/>
          <w:i/>
          <w:iCs/>
        </w:rPr>
        <w:t>J Psychopharmacol</w:t>
      </w:r>
      <w:r w:rsidRPr="00C4447E">
        <w:rPr>
          <w:rFonts w:ascii="Times New Roman" w:hAnsi="Times New Roman" w:cs="Times New Roman"/>
        </w:rPr>
        <w:t>. 29(4):1–9.</w:t>
      </w:r>
    </w:p>
    <w:p w14:paraId="2DFBD990"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Nagananda MS. Quantization of mental stress using physiological markers.</w:t>
      </w:r>
    </w:p>
    <w:p w14:paraId="31D64061"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Polanczyk GV, Salum GA, Sugaya LS, Caye A. 2015. Annual research review: prevalence of mental disorders in children and adolescents. </w:t>
      </w:r>
      <w:r w:rsidRPr="00C4447E">
        <w:rPr>
          <w:rFonts w:ascii="Times New Roman" w:hAnsi="Times New Roman" w:cs="Times New Roman"/>
          <w:i/>
          <w:iCs/>
        </w:rPr>
        <w:t>J Child Psychol Psychiatry</w:t>
      </w:r>
      <w:r w:rsidRPr="00C4447E">
        <w:rPr>
          <w:rFonts w:ascii="Times New Roman" w:hAnsi="Times New Roman" w:cs="Times New Roman"/>
        </w:rPr>
        <w:t>. 56(3):345–365.</w:t>
      </w:r>
    </w:p>
    <w:p w14:paraId="0370A5A1"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Rakhmat J. 2018. </w:t>
      </w:r>
      <w:r w:rsidRPr="00C4447E">
        <w:rPr>
          <w:rFonts w:ascii="Times New Roman" w:hAnsi="Times New Roman" w:cs="Times New Roman"/>
          <w:i/>
          <w:iCs/>
        </w:rPr>
        <w:t>Psikologi komunikasi</w:t>
      </w:r>
      <w:r w:rsidRPr="00C4447E">
        <w:rPr>
          <w:rFonts w:ascii="Times New Roman" w:hAnsi="Times New Roman" w:cs="Times New Roman"/>
        </w:rPr>
        <w:t>. Bandung: Remaja Rosdakarya.</w:t>
      </w:r>
    </w:p>
    <w:p w14:paraId="138EC38B"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Sawyer SM, et al. 2018. Adolescence: a foundation for future health. </w:t>
      </w:r>
      <w:r w:rsidRPr="00C4447E">
        <w:rPr>
          <w:rFonts w:ascii="Times New Roman" w:hAnsi="Times New Roman" w:cs="Times New Roman"/>
          <w:i/>
          <w:iCs/>
        </w:rPr>
        <w:t>Lancet</w:t>
      </w:r>
      <w:r w:rsidRPr="00C4447E">
        <w:rPr>
          <w:rFonts w:ascii="Times New Roman" w:hAnsi="Times New Roman" w:cs="Times New Roman"/>
        </w:rPr>
        <w:t>. 379:1630–1640.</w:t>
      </w:r>
    </w:p>
    <w:p w14:paraId="66F06BDC"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Socci V, Tempesta D, Desideri G, De Gennaro L, Ferrara M. 2017. Enhancing human cognition with cocoa flavonoids. </w:t>
      </w:r>
      <w:r w:rsidRPr="00C4447E">
        <w:rPr>
          <w:rFonts w:ascii="Times New Roman" w:hAnsi="Times New Roman" w:cs="Times New Roman"/>
          <w:i/>
          <w:iCs/>
        </w:rPr>
        <w:t>Front Nutr</w:t>
      </w:r>
      <w:r w:rsidRPr="00C4447E">
        <w:rPr>
          <w:rFonts w:ascii="Times New Roman" w:hAnsi="Times New Roman" w:cs="Times New Roman"/>
        </w:rPr>
        <w:t>. 4:19.</w:t>
      </w:r>
    </w:p>
    <w:p w14:paraId="3066B1E3"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Vibriyanti D. 2020. Kesehatan mental masyarakat: mengelola kecemasan di tengah pandemi COVID-19.</w:t>
      </w:r>
    </w:p>
    <w:p w14:paraId="6EC31892"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World Health Organization (WHO). 2017. Depression and other common mental disorders: global health estimates.</w:t>
      </w:r>
    </w:p>
    <w:p w14:paraId="4D928157"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World Health Organization (WHO). 2021. Cardiovascular diseases (CVDs). Available from: </w:t>
      </w:r>
      <w:hyperlink r:id="rId6" w:tgtFrame="_new" w:history="1">
        <w:r w:rsidRPr="00C4447E">
          <w:rPr>
            <w:rStyle w:val="Hyperlink"/>
            <w:rFonts w:ascii="Times New Roman" w:hAnsi="Times New Roman" w:cs="Times New Roman"/>
          </w:rPr>
          <w:t>https://www.who.int/health-topics/cardiovascular-diseases</w:t>
        </w:r>
      </w:hyperlink>
    </w:p>
    <w:p w14:paraId="0878BA74"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I-NAMHS. 2021. Indonesia National Adolescent Mental Health Survey.</w:t>
      </w:r>
    </w:p>
    <w:p w14:paraId="226DF3C2" w14:textId="50BECFE0" w:rsidR="00F150B2" w:rsidRPr="00E23AFC" w:rsidRDefault="00C4447E" w:rsidP="0052261C">
      <w:pPr>
        <w:pStyle w:val="ListParagraph"/>
        <w:numPr>
          <w:ilvl w:val="0"/>
          <w:numId w:val="1"/>
        </w:numPr>
        <w:ind w:left="426" w:hanging="426"/>
        <w:jc w:val="both"/>
        <w:rPr>
          <w:rFonts w:ascii="Times New Roman" w:hAnsi="Times New Roman" w:cs="Times New Roman"/>
        </w:rPr>
      </w:pPr>
      <w:r w:rsidRPr="00E23AFC">
        <w:rPr>
          <w:rFonts w:ascii="Times New Roman" w:hAnsi="Times New Roman" w:cs="Times New Roman"/>
        </w:rPr>
        <w:t>Online JFP. 2002. Oat ingestion reduces systolic and diastolic blood pressure in patients with mild hypertension.</w:t>
      </w:r>
      <w:r w:rsidR="0052261C" w:rsidRPr="00E23AFC">
        <w:rPr>
          <w:rFonts w:ascii="Times New Roman" w:hAnsi="Times New Roman" w:cs="Times New Roman"/>
          <w:lang w:val="en-US"/>
        </w:rPr>
        <w:t xml:space="preserve"> </w:t>
      </w:r>
      <w:r w:rsidR="0052261C" w:rsidRPr="00E23AFC">
        <w:rPr>
          <w:rFonts w:ascii="Times New Roman" w:hAnsi="Times New Roman" w:cs="Times New Roman"/>
        </w:rPr>
        <w:fldChar w:fldCharType="end"/>
      </w:r>
    </w:p>
    <w:sectPr w:rsidR="00F150B2" w:rsidRPr="00E23A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A11EA"/>
    <w:multiLevelType w:val="hybridMultilevel"/>
    <w:tmpl w:val="D4C2D2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09045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61C"/>
    <w:rsid w:val="00000F1E"/>
    <w:rsid w:val="00052C55"/>
    <w:rsid w:val="00093B40"/>
    <w:rsid w:val="0023381E"/>
    <w:rsid w:val="00233826"/>
    <w:rsid w:val="002D4C0D"/>
    <w:rsid w:val="0031193F"/>
    <w:rsid w:val="00324007"/>
    <w:rsid w:val="0036726A"/>
    <w:rsid w:val="003A4F73"/>
    <w:rsid w:val="003E5FA9"/>
    <w:rsid w:val="00401319"/>
    <w:rsid w:val="00466D45"/>
    <w:rsid w:val="004C5FDF"/>
    <w:rsid w:val="004D16F1"/>
    <w:rsid w:val="0052261C"/>
    <w:rsid w:val="005A5321"/>
    <w:rsid w:val="006731CF"/>
    <w:rsid w:val="00674AC3"/>
    <w:rsid w:val="00704153"/>
    <w:rsid w:val="00740D45"/>
    <w:rsid w:val="00761659"/>
    <w:rsid w:val="007B31CB"/>
    <w:rsid w:val="007B615F"/>
    <w:rsid w:val="00815541"/>
    <w:rsid w:val="00840102"/>
    <w:rsid w:val="00841006"/>
    <w:rsid w:val="008A066F"/>
    <w:rsid w:val="008F449C"/>
    <w:rsid w:val="00913E5A"/>
    <w:rsid w:val="00A04F53"/>
    <w:rsid w:val="00A11C24"/>
    <w:rsid w:val="00A42741"/>
    <w:rsid w:val="00A72A77"/>
    <w:rsid w:val="00A9347D"/>
    <w:rsid w:val="00AA2820"/>
    <w:rsid w:val="00AD50D9"/>
    <w:rsid w:val="00B515E0"/>
    <w:rsid w:val="00BB296D"/>
    <w:rsid w:val="00C265F1"/>
    <w:rsid w:val="00C4447E"/>
    <w:rsid w:val="00C75631"/>
    <w:rsid w:val="00DC3173"/>
    <w:rsid w:val="00E23AFC"/>
    <w:rsid w:val="00ED2A96"/>
    <w:rsid w:val="00ED65C1"/>
    <w:rsid w:val="00F150B2"/>
    <w:rsid w:val="00F1698F"/>
    <w:rsid w:val="00F74B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445D"/>
  <w15:chartTrackingRefBased/>
  <w15:docId w15:val="{7EAEA528-9AE7-411A-B703-72AFAFD25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6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6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6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6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6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6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6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6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6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6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61C"/>
    <w:rPr>
      <w:rFonts w:eastAsiaTheme="majorEastAsia" w:cstheme="majorBidi"/>
      <w:color w:val="272727" w:themeColor="text1" w:themeTint="D8"/>
    </w:rPr>
  </w:style>
  <w:style w:type="paragraph" w:styleId="Title">
    <w:name w:val="Title"/>
    <w:basedOn w:val="Normal"/>
    <w:next w:val="Normal"/>
    <w:link w:val="TitleChar"/>
    <w:uiPriority w:val="10"/>
    <w:qFormat/>
    <w:rsid w:val="00522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61C"/>
    <w:pPr>
      <w:spacing w:before="160"/>
      <w:jc w:val="center"/>
    </w:pPr>
    <w:rPr>
      <w:i/>
      <w:iCs/>
      <w:color w:val="404040" w:themeColor="text1" w:themeTint="BF"/>
    </w:rPr>
  </w:style>
  <w:style w:type="character" w:customStyle="1" w:styleId="QuoteChar">
    <w:name w:val="Quote Char"/>
    <w:basedOn w:val="DefaultParagraphFont"/>
    <w:link w:val="Quote"/>
    <w:uiPriority w:val="29"/>
    <w:rsid w:val="0052261C"/>
    <w:rPr>
      <w:i/>
      <w:iCs/>
      <w:color w:val="404040" w:themeColor="text1" w:themeTint="BF"/>
    </w:rPr>
  </w:style>
  <w:style w:type="paragraph" w:styleId="ListParagraph">
    <w:name w:val="List Paragraph"/>
    <w:basedOn w:val="Normal"/>
    <w:uiPriority w:val="34"/>
    <w:qFormat/>
    <w:rsid w:val="0052261C"/>
    <w:pPr>
      <w:ind w:left="720"/>
      <w:contextualSpacing/>
    </w:pPr>
  </w:style>
  <w:style w:type="character" w:styleId="IntenseEmphasis">
    <w:name w:val="Intense Emphasis"/>
    <w:basedOn w:val="DefaultParagraphFont"/>
    <w:uiPriority w:val="21"/>
    <w:qFormat/>
    <w:rsid w:val="0052261C"/>
    <w:rPr>
      <w:i/>
      <w:iCs/>
      <w:color w:val="2F5496" w:themeColor="accent1" w:themeShade="BF"/>
    </w:rPr>
  </w:style>
  <w:style w:type="paragraph" w:styleId="IntenseQuote">
    <w:name w:val="Intense Quote"/>
    <w:basedOn w:val="Normal"/>
    <w:next w:val="Normal"/>
    <w:link w:val="IntenseQuoteChar"/>
    <w:uiPriority w:val="30"/>
    <w:qFormat/>
    <w:rsid w:val="00522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61C"/>
    <w:rPr>
      <w:i/>
      <w:iCs/>
      <w:color w:val="2F5496" w:themeColor="accent1" w:themeShade="BF"/>
    </w:rPr>
  </w:style>
  <w:style w:type="character" w:styleId="IntenseReference">
    <w:name w:val="Intense Reference"/>
    <w:basedOn w:val="DefaultParagraphFont"/>
    <w:uiPriority w:val="32"/>
    <w:qFormat/>
    <w:rsid w:val="0052261C"/>
    <w:rPr>
      <w:b/>
      <w:bCs/>
      <w:smallCaps/>
      <w:color w:val="2F5496" w:themeColor="accent1" w:themeShade="BF"/>
      <w:spacing w:val="5"/>
    </w:rPr>
  </w:style>
  <w:style w:type="table" w:styleId="TableGrid">
    <w:name w:val="Table Grid"/>
    <w:basedOn w:val="TableNormal"/>
    <w:uiPriority w:val="39"/>
    <w:rsid w:val="00522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447E"/>
    <w:rPr>
      <w:color w:val="0563C1" w:themeColor="hyperlink"/>
      <w:u w:val="single"/>
    </w:rPr>
  </w:style>
  <w:style w:type="character" w:styleId="UnresolvedMention">
    <w:name w:val="Unresolved Mention"/>
    <w:basedOn w:val="DefaultParagraphFont"/>
    <w:uiPriority w:val="99"/>
    <w:semiHidden/>
    <w:unhideWhenUsed/>
    <w:rsid w:val="00C44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o.int/health-topics/cardiovascular-diseases" TargetMode="External"/><Relationship Id="rId5" Type="http://schemas.openxmlformats.org/officeDocument/2006/relationships/hyperlink" Target="mailto:arsulfaahmad@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7</Pages>
  <Words>2366</Words>
  <Characters>13488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48</cp:revision>
  <dcterms:created xsi:type="dcterms:W3CDTF">2026-04-11T02:59:00Z</dcterms:created>
  <dcterms:modified xsi:type="dcterms:W3CDTF">2026-04-11T06:36:00Z</dcterms:modified>
</cp:coreProperties>
</file>