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5E91" w14:textId="77777777" w:rsidR="00077B8F" w:rsidRPr="00077B8F" w:rsidRDefault="00077B8F" w:rsidP="00077B8F">
      <w:pPr>
        <w:jc w:val="both"/>
        <w:rPr>
          <w:rFonts w:ascii="Times New Roman" w:hAnsi="Times New Roman" w:cs="Times New Roman"/>
          <w:b/>
          <w:bCs/>
          <w:sz w:val="28"/>
          <w:szCs w:val="28"/>
        </w:rPr>
      </w:pPr>
      <w:r w:rsidRPr="00077B8F">
        <w:rPr>
          <w:rFonts w:ascii="Times New Roman" w:hAnsi="Times New Roman" w:cs="Times New Roman"/>
          <w:b/>
          <w:bCs/>
          <w:sz w:val="28"/>
          <w:szCs w:val="28"/>
        </w:rPr>
        <w:t>Effect of Dark Chocolate and Oat-Based Snack Intervention on Anxiety, Blood Pressure, and Heart Rate among Adolescents: A Quasi-Experimental Study</w:t>
      </w:r>
    </w:p>
    <w:p w14:paraId="632FE96E" w14:textId="77777777" w:rsidR="00052C55" w:rsidRPr="0052261C" w:rsidRDefault="00052C55" w:rsidP="0052261C">
      <w:pPr>
        <w:jc w:val="both"/>
        <w:rPr>
          <w:rFonts w:ascii="Times New Roman" w:hAnsi="Times New Roman" w:cs="Times New Roman"/>
          <w:bCs/>
          <w:lang w:val="en-US"/>
        </w:rPr>
      </w:pPr>
    </w:p>
    <w:p w14:paraId="655EFE11"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Adolescent anxiety is a growing public health concern globally, particularly in low- and middle-income countries where access to mental health services remains limited. Nutrition-based non-pharmacological interventions have gained attention as practical and scalable approaches to improve both psychological and physiological outcomes. This study aimed to evaluate the effect of a dark chocolate and oat-based snack intervention on anxiety, blood pressure, and heart rate among adolescents.</w:t>
      </w:r>
    </w:p>
    <w:p w14:paraId="0845D095"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A quasi-experimental study with a pretest–posttest control group design was conducted among 60 adolescents. Participants were allocated into an intervention group (n=30) and a control group (n=30). The intervention group received 40 g of dark chocolate and 30 g of oat-based snacks once daily for 14 days. Anxiety was assessed using a validated questionnaire, while blood pressure and heart rate were measured using standardized instruments. Data were analyzed using paired and independent t-tests with a significance level of p&lt;0.05.</w:t>
      </w:r>
    </w:p>
    <w:p w14:paraId="795FA803"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The intervention group showed a significant reduction in anxiety levels compared to the control group (p&lt;0.001). Significant reductions were also observed in systolic and diastolic blood pressure (p&lt;0.001). Heart rate demonstrated statistically significant changes following the intervention (p&lt;0.001).</w:t>
      </w:r>
    </w:p>
    <w:p w14:paraId="65BD6AA8"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rPr>
        <w:t>This study demonstrates that a simple functional food–based intervention can improve both psychological and cardiovascular outcomes among adolescents. Such interventions may be integrated into school-based health promotion programs, particularly in resource-limited settings.</w:t>
      </w:r>
    </w:p>
    <w:p w14:paraId="2EB19AB4" w14:textId="77777777" w:rsidR="00077B8F" w:rsidRPr="00077B8F" w:rsidRDefault="00077B8F" w:rsidP="00077B8F">
      <w:pPr>
        <w:jc w:val="both"/>
        <w:rPr>
          <w:rFonts w:ascii="Times New Roman" w:hAnsi="Times New Roman" w:cs="Times New Roman"/>
        </w:rPr>
      </w:pPr>
      <w:r w:rsidRPr="00077B8F">
        <w:rPr>
          <w:rFonts w:ascii="Times New Roman" w:hAnsi="Times New Roman" w:cs="Times New Roman"/>
          <w:b/>
          <w:bCs/>
        </w:rPr>
        <w:t>Keywords:</w:t>
      </w:r>
      <w:r w:rsidRPr="00077B8F">
        <w:rPr>
          <w:rFonts w:ascii="Times New Roman" w:hAnsi="Times New Roman" w:cs="Times New Roman"/>
        </w:rPr>
        <w:t xml:space="preserve"> adolescent health, anxiety, functional food, blood pressure, heart rate</w:t>
      </w:r>
    </w:p>
    <w:p w14:paraId="27A61EAA" w14:textId="77777777" w:rsidR="002D4C0D" w:rsidRPr="00C4447E" w:rsidRDefault="002D4C0D" w:rsidP="00C4447E">
      <w:pPr>
        <w:jc w:val="both"/>
        <w:rPr>
          <w:rFonts w:ascii="Times New Roman" w:hAnsi="Times New Roman" w:cs="Times New Roman"/>
          <w:bCs/>
        </w:rPr>
      </w:pPr>
    </w:p>
    <w:p w14:paraId="7A59924A" w14:textId="03066CF3"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t>INTRODUCTION</w:t>
      </w:r>
    </w:p>
    <w:p w14:paraId="4B1CDC3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Adolescence is a developmental phase characterized by significant biological, psychological, and social changes (1). During this period, individuals are often exposed to increased academic demands, interpersonal challenges, and social expectations, which make adolescents particularly vulnerable to mental health problems, especially anxiety (2). Anxiety disorders not only affect psychological well-being but also trigger physiological responses, including increased blood pressure and heart rate, as a result of sympathetic nervous system activation (3).</w:t>
      </w:r>
    </w:p>
    <w:p w14:paraId="2D39E80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prevalence of anxiety disorders among adolescents in Indonesia remains a significant public health concern. Previous data indicate that approximately 68.7% of the Indonesian population experiences varying levels of anxiety, ranging from mild to severe (4). In addition, findings from the Indonesia National Adolescent Mental Health Survey (I-NAMHS) reported </w:t>
      </w:r>
      <w:r w:rsidRPr="00C4447E">
        <w:rPr>
          <w:rFonts w:ascii="Times New Roman" w:hAnsi="Times New Roman" w:cs="Times New Roman"/>
          <w:bCs/>
        </w:rPr>
        <w:lastRenderedPageBreak/>
        <w:t>that 3.7% of adolescents aged 10–17 years experienced anxiety disorders within a 12-month period, making it one of the most common mental health conditions in this age group (5).</w:t>
      </w:r>
    </w:p>
    <w:p w14:paraId="21881709"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Physiologically, chronic anxiety is associated with sustained activation of the sympathetic nervous system, leading to increased secretion of stress hormones such as cortisol and catecholamines. This condition results in elevated heart rate and vasoconstriction, which ultimately contributes to increased blood pressure (6). Previous studies have demonstrated a significant relationship between anxiety levels and blood pressure among adolescents, indicating that individuals with higher anxiety levels tend to exhibit higher blood pressure (7). Furthermore, epidemiological data from Indonesia show that the prevalence of prehypertension among adolescents reaches 16.8%, while hypertension accounts for 2.6% of cases, highlighting the early onset of cardiovascular risk in this population (8). Globally, the prevalence of hypertension among children and adolescents has also increased over the past two decades, rising from 3.2% to more than 6.2% (9).</w:t>
      </w:r>
    </w:p>
    <w:p w14:paraId="7CE885B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Non-pharmacological approaches, particularly those based on nutritional interventions, have gained increasing attention in adolescent health research. Certain functional foods are known to influence both physiological and psychological responses. Dark chocolate, which is rich in flavonoids such as epicatechin, has been shown to enhance endothelial function through increased nitric oxide production, resulting in vasodilation and reduced blood pressure (10). Moreover, flavonoids have been associated with improved mood and reduced stress responses.</w:t>
      </w:r>
    </w:p>
    <w:p w14:paraId="7F5EA85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Oats, on the other hand, are a rich source of soluble fiber (beta-glucan), magnesium, and B-complex vitamins, all of which play essential roles in metabolic regulation and neurotransmitter synthesis. These components contribute to improved glucose stability and increased serotonin production, which is closely related to mood regulation and stress reduction (11). Additionally, regular oat consumption has been linked to improved cardiovascular health and reduced risk of metabolic disorders.</w:t>
      </w:r>
    </w:p>
    <w:p w14:paraId="6D6C7940"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combination of dark chocolate and oats presents a promising functional food intervention that may exert synergistic effects on both psychological and physiological parameters. This combination is expected to improve endothelial function, modulate autonomic nervous system activity, and enhance stress regulation (12). However, studies investigating the combined effects of these functional foods on anxiety, blood pressure, and heart rate in adolescents remain limited (13). Therefore, this study was conducted to address this gap and to provide evidence-based support for the use of simple nutritional interventions in adolescent health promotion and preventive strategies.</w:t>
      </w:r>
    </w:p>
    <w:p w14:paraId="4303A19A" w14:textId="77777777" w:rsidR="0052261C" w:rsidRDefault="0052261C" w:rsidP="0052261C">
      <w:pPr>
        <w:jc w:val="both"/>
        <w:rPr>
          <w:rFonts w:ascii="Times New Roman" w:hAnsi="Times New Roman" w:cs="Times New Roman"/>
          <w:lang w:val="en-US"/>
        </w:rPr>
      </w:pPr>
    </w:p>
    <w:p w14:paraId="347EB0D3" w14:textId="77777777"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t>METHODS</w:t>
      </w:r>
    </w:p>
    <w:p w14:paraId="2C557F02"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This study employed a quasi-experimental design with a pretest–posttest control group approach. The study was conducted at SMA Negeri 2 Kendari, Indonesia, in September 2021.</w:t>
      </w:r>
    </w:p>
    <w:p w14:paraId="66F633C2"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lastRenderedPageBreak/>
        <w:t>A total of 60 adolescents were selected from a population of 1,510 students using purposive sampling based on predefined inclusion and exclusion criteria. Participants were then equally allocated into an intervention group (n=30) and a control group (n=30).</w:t>
      </w:r>
    </w:p>
    <w:p w14:paraId="0E2C96FC"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The intervention group received standardized portions of dark chocolate (40 g) and oat-based snacks (30 g) once daily for 14 consecutive days, while the control group did not receive any intervention. Participants were instructed to maintain their usual dietary habits and physical activity levels during the study period.</w:t>
      </w:r>
    </w:p>
    <w:p w14:paraId="5FA8FE89"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Anxiety levels were assessed using a validated questionnaire. Blood pressure was measured using a calibrated digital sphygmomanometer, and heart rate was recorded under resting conditions. All measurements were performed before and after the intervention.</w:t>
      </w:r>
    </w:p>
    <w:p w14:paraId="7139C86D"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Data were analyzed using SPSS version 25. Descriptive statistics were used to summarize participant characteristics. Paired t-tests were used to assess within-group differences, while independent t-tests were used for between-group comparisons. A p-value of &lt;0.05 was considered statistically significant.</w:t>
      </w:r>
    </w:p>
    <w:p w14:paraId="50CAE4B3" w14:textId="77777777" w:rsidR="00077B8F" w:rsidRPr="00077B8F" w:rsidRDefault="00077B8F" w:rsidP="00077B8F">
      <w:pPr>
        <w:jc w:val="both"/>
        <w:rPr>
          <w:rFonts w:ascii="Times New Roman" w:hAnsi="Times New Roman" w:cs="Times New Roman"/>
          <w:bCs/>
        </w:rPr>
      </w:pPr>
      <w:r w:rsidRPr="00077B8F">
        <w:rPr>
          <w:rFonts w:ascii="Times New Roman" w:hAnsi="Times New Roman" w:cs="Times New Roman"/>
          <w:bCs/>
        </w:rPr>
        <w:t>Ethical approval was obtained from the Health Research Ethics Committee (No. 80/STIKES-NH/KEPK/II/2021). Written informed consent was obtained from all participants and their guardians.</w:t>
      </w:r>
    </w:p>
    <w:p w14:paraId="70716E10" w14:textId="77777777" w:rsidR="00740D45" w:rsidRDefault="00740D45" w:rsidP="0052261C">
      <w:pPr>
        <w:jc w:val="both"/>
        <w:rPr>
          <w:rFonts w:ascii="Times New Roman" w:hAnsi="Times New Roman" w:cs="Times New Roman"/>
          <w:bCs/>
        </w:rPr>
      </w:pPr>
    </w:p>
    <w:p w14:paraId="6505D6B7" w14:textId="58E1FB45" w:rsidR="0052261C" w:rsidRPr="0052261C" w:rsidRDefault="0052261C" w:rsidP="0052261C">
      <w:pPr>
        <w:jc w:val="both"/>
        <w:rPr>
          <w:rFonts w:ascii="Times New Roman" w:hAnsi="Times New Roman" w:cs="Times New Roman"/>
          <w:b/>
          <w:sz w:val="26"/>
          <w:szCs w:val="26"/>
          <w:lang w:val="en-US"/>
        </w:rPr>
      </w:pPr>
      <w:r w:rsidRPr="0052261C">
        <w:rPr>
          <w:rFonts w:ascii="Times New Roman" w:hAnsi="Times New Roman" w:cs="Times New Roman"/>
          <w:b/>
          <w:sz w:val="26"/>
          <w:szCs w:val="26"/>
          <w:lang w:val="en-US"/>
        </w:rPr>
        <w:t>RESULT</w:t>
      </w:r>
    </w:p>
    <w:p w14:paraId="2C0B1E19" w14:textId="77777777" w:rsidR="0052261C" w:rsidRPr="0052261C" w:rsidRDefault="0052261C" w:rsidP="0052261C">
      <w:pPr>
        <w:jc w:val="both"/>
        <w:rPr>
          <w:rFonts w:ascii="Times New Roman" w:hAnsi="Times New Roman" w:cs="Times New Roman"/>
          <w:lang w:val="en-US"/>
        </w:rPr>
      </w:pPr>
      <w:bookmarkStart w:id="0" w:name="_heading=h.4d34og8"/>
      <w:bookmarkEnd w:id="0"/>
      <w:r w:rsidRPr="0052261C">
        <w:rPr>
          <w:rFonts w:ascii="Times New Roman" w:hAnsi="Times New Roman" w:cs="Times New Roman"/>
          <w:lang w:val="en-US"/>
        </w:rPr>
        <w:t>Table 1. Characteristics of Respondents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2010"/>
        <w:gridCol w:w="1559"/>
        <w:gridCol w:w="1560"/>
        <w:gridCol w:w="1275"/>
      </w:tblGrid>
      <w:tr w:rsidR="0052261C" w:rsidRPr="0052261C" w14:paraId="45E114BC" w14:textId="77777777">
        <w:tc>
          <w:tcPr>
            <w:tcW w:w="2096" w:type="dxa"/>
            <w:vMerge w:val="restart"/>
            <w:tcBorders>
              <w:top w:val="single" w:sz="4" w:space="0" w:color="auto"/>
              <w:left w:val="nil"/>
              <w:bottom w:val="single" w:sz="4" w:space="0" w:color="auto"/>
              <w:right w:val="nil"/>
            </w:tcBorders>
            <w:hideMark/>
          </w:tcPr>
          <w:p w14:paraId="418E62F9" w14:textId="14A37EC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582" w:type="dxa"/>
            <w:gridSpan w:val="2"/>
            <w:tcBorders>
              <w:top w:val="single" w:sz="4" w:space="0" w:color="auto"/>
              <w:left w:val="nil"/>
              <w:bottom w:val="single" w:sz="4" w:space="0" w:color="auto"/>
              <w:right w:val="nil"/>
            </w:tcBorders>
            <w:hideMark/>
          </w:tcPr>
          <w:p w14:paraId="0E77C5A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3119" w:type="dxa"/>
            <w:gridSpan w:val="2"/>
            <w:tcBorders>
              <w:top w:val="single" w:sz="4" w:space="0" w:color="auto"/>
              <w:left w:val="nil"/>
              <w:bottom w:val="single" w:sz="4" w:space="0" w:color="auto"/>
              <w:right w:val="nil"/>
            </w:tcBorders>
            <w:hideMark/>
          </w:tcPr>
          <w:p w14:paraId="23E626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275" w:type="dxa"/>
            <w:vMerge w:val="restart"/>
            <w:tcBorders>
              <w:top w:val="single" w:sz="4" w:space="0" w:color="auto"/>
              <w:left w:val="nil"/>
              <w:bottom w:val="single" w:sz="4" w:space="0" w:color="auto"/>
              <w:right w:val="nil"/>
            </w:tcBorders>
            <w:hideMark/>
          </w:tcPr>
          <w:p w14:paraId="4F713A9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DD3341F" w14:textId="77777777">
        <w:tc>
          <w:tcPr>
            <w:tcW w:w="0" w:type="auto"/>
            <w:vMerge/>
            <w:tcBorders>
              <w:top w:val="single" w:sz="4" w:space="0" w:color="auto"/>
              <w:left w:val="nil"/>
              <w:bottom w:val="single" w:sz="4" w:space="0" w:color="auto"/>
              <w:right w:val="nil"/>
            </w:tcBorders>
            <w:vAlign w:val="center"/>
            <w:hideMark/>
          </w:tcPr>
          <w:p w14:paraId="66E54962" w14:textId="77777777" w:rsidR="0052261C" w:rsidRPr="0052261C" w:rsidRDefault="0052261C" w:rsidP="0052261C">
            <w:pPr>
              <w:spacing w:after="160" w:line="278" w:lineRule="auto"/>
              <w:jc w:val="both"/>
              <w:rPr>
                <w:rFonts w:ascii="Times New Roman" w:hAnsi="Times New Roman" w:cs="Times New Roman"/>
                <w:lang w:val="en-US"/>
              </w:rPr>
            </w:pPr>
          </w:p>
        </w:tc>
        <w:tc>
          <w:tcPr>
            <w:tcW w:w="572" w:type="dxa"/>
            <w:tcBorders>
              <w:top w:val="single" w:sz="4" w:space="0" w:color="auto"/>
              <w:left w:val="nil"/>
              <w:bottom w:val="single" w:sz="4" w:space="0" w:color="auto"/>
              <w:right w:val="nil"/>
            </w:tcBorders>
            <w:hideMark/>
          </w:tcPr>
          <w:p w14:paraId="053D33A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2010" w:type="dxa"/>
            <w:tcBorders>
              <w:top w:val="single" w:sz="4" w:space="0" w:color="auto"/>
              <w:left w:val="nil"/>
              <w:bottom w:val="single" w:sz="4" w:space="0" w:color="auto"/>
              <w:right w:val="nil"/>
            </w:tcBorders>
            <w:hideMark/>
          </w:tcPr>
          <w:p w14:paraId="17F4767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559" w:type="dxa"/>
            <w:tcBorders>
              <w:top w:val="single" w:sz="4" w:space="0" w:color="auto"/>
              <w:left w:val="nil"/>
              <w:bottom w:val="single" w:sz="4" w:space="0" w:color="auto"/>
              <w:right w:val="nil"/>
            </w:tcBorders>
            <w:hideMark/>
          </w:tcPr>
          <w:p w14:paraId="1870E44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560" w:type="dxa"/>
            <w:tcBorders>
              <w:top w:val="single" w:sz="4" w:space="0" w:color="auto"/>
              <w:left w:val="nil"/>
              <w:bottom w:val="single" w:sz="4" w:space="0" w:color="auto"/>
              <w:right w:val="nil"/>
            </w:tcBorders>
            <w:hideMark/>
          </w:tcPr>
          <w:p w14:paraId="3DF1809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74DEAE57"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773050D1" w14:textId="77777777">
        <w:tc>
          <w:tcPr>
            <w:tcW w:w="2096" w:type="dxa"/>
            <w:tcBorders>
              <w:top w:val="single" w:sz="4" w:space="0" w:color="auto"/>
              <w:left w:val="nil"/>
              <w:bottom w:val="single" w:sz="4" w:space="0" w:color="auto"/>
              <w:right w:val="nil"/>
            </w:tcBorders>
            <w:hideMark/>
          </w:tcPr>
          <w:p w14:paraId="4A834E1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Age (Years)</w:t>
            </w:r>
          </w:p>
          <w:p w14:paraId="2A58D2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15</w:t>
            </w:r>
          </w:p>
          <w:p w14:paraId="2C89BCE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w:t>
            </w:r>
          </w:p>
          <w:p w14:paraId="3B20C25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17</w:t>
            </w:r>
          </w:p>
        </w:tc>
        <w:tc>
          <w:tcPr>
            <w:tcW w:w="572" w:type="dxa"/>
            <w:tcBorders>
              <w:top w:val="single" w:sz="4" w:space="0" w:color="auto"/>
              <w:left w:val="nil"/>
              <w:bottom w:val="single" w:sz="4" w:space="0" w:color="auto"/>
              <w:right w:val="nil"/>
            </w:tcBorders>
          </w:tcPr>
          <w:p w14:paraId="72CC1D9A" w14:textId="77777777" w:rsidR="0052261C" w:rsidRPr="0052261C" w:rsidRDefault="0052261C" w:rsidP="0052261C">
            <w:pPr>
              <w:spacing w:after="160" w:line="278" w:lineRule="auto"/>
              <w:jc w:val="both"/>
              <w:rPr>
                <w:rFonts w:ascii="Times New Roman" w:hAnsi="Times New Roman" w:cs="Times New Roman"/>
                <w:lang w:val="en-US"/>
              </w:rPr>
            </w:pPr>
          </w:p>
          <w:p w14:paraId="1B989E4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48FCAAB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13</w:t>
            </w:r>
          </w:p>
          <w:p w14:paraId="202CF1D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w:t>
            </w:r>
          </w:p>
        </w:tc>
        <w:tc>
          <w:tcPr>
            <w:tcW w:w="2010" w:type="dxa"/>
            <w:tcBorders>
              <w:top w:val="single" w:sz="4" w:space="0" w:color="auto"/>
              <w:left w:val="nil"/>
              <w:bottom w:val="single" w:sz="4" w:space="0" w:color="auto"/>
              <w:right w:val="nil"/>
            </w:tcBorders>
          </w:tcPr>
          <w:p w14:paraId="77458429" w14:textId="77777777" w:rsidR="0052261C" w:rsidRPr="0052261C" w:rsidRDefault="0052261C" w:rsidP="0052261C">
            <w:pPr>
              <w:spacing w:after="160" w:line="278" w:lineRule="auto"/>
              <w:jc w:val="both"/>
              <w:rPr>
                <w:rFonts w:ascii="Times New Roman" w:hAnsi="Times New Roman" w:cs="Times New Roman"/>
                <w:lang w:val="en-US"/>
              </w:rPr>
            </w:pPr>
          </w:p>
          <w:p w14:paraId="40EC23A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3E20F38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43.3</w:t>
            </w:r>
          </w:p>
          <w:p w14:paraId="112B091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20.0</w:t>
            </w:r>
          </w:p>
        </w:tc>
        <w:tc>
          <w:tcPr>
            <w:tcW w:w="1559" w:type="dxa"/>
            <w:tcBorders>
              <w:top w:val="single" w:sz="4" w:space="0" w:color="auto"/>
              <w:left w:val="nil"/>
              <w:bottom w:val="single" w:sz="4" w:space="0" w:color="auto"/>
              <w:right w:val="nil"/>
            </w:tcBorders>
          </w:tcPr>
          <w:p w14:paraId="3B086DAE" w14:textId="77777777" w:rsidR="0052261C" w:rsidRPr="0052261C" w:rsidRDefault="0052261C" w:rsidP="0052261C">
            <w:pPr>
              <w:spacing w:after="160" w:line="278" w:lineRule="auto"/>
              <w:jc w:val="both"/>
              <w:rPr>
                <w:rFonts w:ascii="Times New Roman" w:hAnsi="Times New Roman" w:cs="Times New Roman"/>
                <w:lang w:val="en-US"/>
              </w:rPr>
            </w:pPr>
          </w:p>
          <w:p w14:paraId="4D647A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22AE66F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14</w:t>
            </w:r>
          </w:p>
          <w:p w14:paraId="17B0A17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5</w:t>
            </w:r>
          </w:p>
        </w:tc>
        <w:tc>
          <w:tcPr>
            <w:tcW w:w="1560" w:type="dxa"/>
            <w:tcBorders>
              <w:top w:val="single" w:sz="4" w:space="0" w:color="auto"/>
              <w:left w:val="nil"/>
              <w:bottom w:val="single" w:sz="4" w:space="0" w:color="auto"/>
              <w:right w:val="nil"/>
            </w:tcBorders>
          </w:tcPr>
          <w:p w14:paraId="6E2F319D" w14:textId="77777777" w:rsidR="0052261C" w:rsidRPr="0052261C" w:rsidRDefault="0052261C" w:rsidP="0052261C">
            <w:pPr>
              <w:spacing w:after="160" w:line="278" w:lineRule="auto"/>
              <w:jc w:val="both"/>
              <w:rPr>
                <w:rFonts w:ascii="Times New Roman" w:hAnsi="Times New Roman" w:cs="Times New Roman"/>
                <w:lang w:val="en-US"/>
              </w:rPr>
            </w:pPr>
          </w:p>
          <w:p w14:paraId="238F36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48300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46.7</w:t>
            </w:r>
          </w:p>
          <w:p w14:paraId="766C56F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16.6</w:t>
            </w:r>
          </w:p>
        </w:tc>
        <w:tc>
          <w:tcPr>
            <w:tcW w:w="1275" w:type="dxa"/>
            <w:tcBorders>
              <w:top w:val="single" w:sz="4" w:space="0" w:color="auto"/>
              <w:left w:val="nil"/>
              <w:bottom w:val="single" w:sz="4" w:space="0" w:color="auto"/>
              <w:right w:val="nil"/>
            </w:tcBorders>
            <w:hideMark/>
          </w:tcPr>
          <w:p w14:paraId="3550C8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0.632</w:t>
            </w:r>
          </w:p>
        </w:tc>
      </w:tr>
    </w:tbl>
    <w:p w14:paraId="154D68FD" w14:textId="4839015E" w:rsidR="0052261C" w:rsidRPr="0052261C" w:rsidRDefault="0052261C" w:rsidP="0052261C">
      <w:pPr>
        <w:jc w:val="both"/>
        <w:rPr>
          <w:rFonts w:ascii="Times New Roman" w:hAnsi="Times New Roman" w:cs="Times New Roman"/>
          <w:b/>
          <w:bCs/>
          <w:lang w:val="en-US"/>
        </w:rPr>
      </w:pPr>
      <w:r w:rsidRPr="0052261C">
        <w:rPr>
          <w:rFonts w:ascii="Times New Roman" w:hAnsi="Times New Roman" w:cs="Times New Roman"/>
          <w:b/>
          <w:bCs/>
          <w:lang w:val="en-US"/>
        </w:rPr>
        <w:t xml:space="preserve"> </w:t>
      </w:r>
    </w:p>
    <w:p w14:paraId="55C17C2A"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2. Anxiety Levels of Respondents Before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276"/>
        <w:gridCol w:w="1275"/>
        <w:gridCol w:w="1418"/>
        <w:gridCol w:w="1417"/>
      </w:tblGrid>
      <w:tr w:rsidR="0052261C" w:rsidRPr="0052261C" w14:paraId="3BDE42FA" w14:textId="77777777">
        <w:tc>
          <w:tcPr>
            <w:tcW w:w="2174" w:type="dxa"/>
            <w:vMerge w:val="restart"/>
            <w:tcBorders>
              <w:top w:val="single" w:sz="4" w:space="0" w:color="auto"/>
              <w:left w:val="nil"/>
              <w:bottom w:val="single" w:sz="4" w:space="0" w:color="auto"/>
              <w:right w:val="nil"/>
            </w:tcBorders>
            <w:hideMark/>
          </w:tcPr>
          <w:p w14:paraId="7AC53151" w14:textId="4EFFD9FC"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788" w:type="dxa"/>
            <w:gridSpan w:val="2"/>
            <w:tcBorders>
              <w:top w:val="single" w:sz="4" w:space="0" w:color="auto"/>
              <w:left w:val="nil"/>
              <w:bottom w:val="single" w:sz="4" w:space="0" w:color="auto"/>
              <w:right w:val="nil"/>
            </w:tcBorders>
            <w:hideMark/>
          </w:tcPr>
          <w:p w14:paraId="7A01FD5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693" w:type="dxa"/>
            <w:gridSpan w:val="2"/>
            <w:tcBorders>
              <w:top w:val="single" w:sz="4" w:space="0" w:color="auto"/>
              <w:left w:val="nil"/>
              <w:bottom w:val="single" w:sz="4" w:space="0" w:color="auto"/>
              <w:right w:val="nil"/>
            </w:tcBorders>
            <w:hideMark/>
          </w:tcPr>
          <w:p w14:paraId="3961CC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417" w:type="dxa"/>
            <w:vMerge w:val="restart"/>
            <w:tcBorders>
              <w:top w:val="single" w:sz="4" w:space="0" w:color="auto"/>
              <w:left w:val="nil"/>
              <w:bottom w:val="single" w:sz="4" w:space="0" w:color="auto"/>
              <w:right w:val="nil"/>
            </w:tcBorders>
            <w:hideMark/>
          </w:tcPr>
          <w:p w14:paraId="77E589A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79C19D30" w14:textId="77777777">
        <w:tc>
          <w:tcPr>
            <w:tcW w:w="0" w:type="auto"/>
            <w:vMerge/>
            <w:tcBorders>
              <w:top w:val="single" w:sz="4" w:space="0" w:color="auto"/>
              <w:left w:val="nil"/>
              <w:bottom w:val="single" w:sz="4" w:space="0" w:color="auto"/>
              <w:right w:val="nil"/>
            </w:tcBorders>
            <w:vAlign w:val="center"/>
            <w:hideMark/>
          </w:tcPr>
          <w:p w14:paraId="58BC47F6"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A218BB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6" w:type="dxa"/>
            <w:tcBorders>
              <w:top w:val="single" w:sz="4" w:space="0" w:color="auto"/>
              <w:left w:val="nil"/>
              <w:bottom w:val="single" w:sz="4" w:space="0" w:color="auto"/>
              <w:right w:val="nil"/>
            </w:tcBorders>
            <w:hideMark/>
          </w:tcPr>
          <w:p w14:paraId="03FA0C8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5" w:type="dxa"/>
            <w:tcBorders>
              <w:top w:val="single" w:sz="4" w:space="0" w:color="auto"/>
              <w:left w:val="nil"/>
              <w:bottom w:val="single" w:sz="4" w:space="0" w:color="auto"/>
              <w:right w:val="nil"/>
            </w:tcBorders>
            <w:hideMark/>
          </w:tcPr>
          <w:p w14:paraId="2ABE71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418" w:type="dxa"/>
            <w:tcBorders>
              <w:top w:val="single" w:sz="4" w:space="0" w:color="auto"/>
              <w:left w:val="nil"/>
              <w:bottom w:val="single" w:sz="4" w:space="0" w:color="auto"/>
              <w:right w:val="nil"/>
            </w:tcBorders>
            <w:hideMark/>
          </w:tcPr>
          <w:p w14:paraId="6718F86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43FDC6D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0107116" w14:textId="77777777">
        <w:tc>
          <w:tcPr>
            <w:tcW w:w="2174" w:type="dxa"/>
            <w:tcBorders>
              <w:top w:val="single" w:sz="4" w:space="0" w:color="auto"/>
              <w:left w:val="nil"/>
              <w:bottom w:val="single" w:sz="4" w:space="0" w:color="auto"/>
              <w:right w:val="nil"/>
            </w:tcBorders>
            <w:hideMark/>
          </w:tcPr>
          <w:p w14:paraId="13B823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1A24FF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Mild </w:t>
            </w:r>
          </w:p>
          <w:p w14:paraId="187D601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 xml:space="preserve">Moderate </w:t>
            </w:r>
          </w:p>
          <w:p w14:paraId="1CDBD0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Severe </w:t>
            </w:r>
          </w:p>
          <w:p w14:paraId="37EB29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Very Severe</w:t>
            </w:r>
          </w:p>
        </w:tc>
        <w:tc>
          <w:tcPr>
            <w:tcW w:w="1512" w:type="dxa"/>
            <w:tcBorders>
              <w:top w:val="single" w:sz="4" w:space="0" w:color="auto"/>
              <w:left w:val="nil"/>
              <w:bottom w:val="single" w:sz="4" w:space="0" w:color="auto"/>
              <w:right w:val="nil"/>
            </w:tcBorders>
          </w:tcPr>
          <w:p w14:paraId="539E5B4E" w14:textId="77777777" w:rsidR="0052261C" w:rsidRPr="0052261C" w:rsidRDefault="0052261C" w:rsidP="0052261C">
            <w:pPr>
              <w:spacing w:after="160" w:line="278" w:lineRule="auto"/>
              <w:jc w:val="both"/>
              <w:rPr>
                <w:rFonts w:ascii="Times New Roman" w:hAnsi="Times New Roman" w:cs="Times New Roman"/>
                <w:lang w:val="en-US"/>
              </w:rPr>
            </w:pPr>
          </w:p>
          <w:p w14:paraId="7D21919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0BDBD21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9</w:t>
            </w:r>
          </w:p>
          <w:p w14:paraId="0B1743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167E9CE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1254E910" w14:textId="77777777" w:rsidR="0052261C" w:rsidRPr="0052261C" w:rsidRDefault="0052261C" w:rsidP="0052261C">
            <w:pPr>
              <w:spacing w:after="160" w:line="278" w:lineRule="auto"/>
              <w:jc w:val="both"/>
              <w:rPr>
                <w:rFonts w:ascii="Times New Roman" w:hAnsi="Times New Roman" w:cs="Times New Roman"/>
                <w:lang w:val="en-US"/>
              </w:rPr>
            </w:pPr>
          </w:p>
          <w:p w14:paraId="5E7DBA51" w14:textId="39E30DE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761659">
              <w:rPr>
                <w:rFonts w:ascii="Times New Roman" w:hAnsi="Times New Roman" w:cs="Times New Roman"/>
                <w:lang w:val="en-US"/>
              </w:rPr>
              <w:t>.</w:t>
            </w:r>
            <w:r w:rsidRPr="0052261C">
              <w:rPr>
                <w:rFonts w:ascii="Times New Roman" w:hAnsi="Times New Roman" w:cs="Times New Roman"/>
                <w:lang w:val="en-US"/>
              </w:rPr>
              <w:t>0</w:t>
            </w:r>
          </w:p>
          <w:p w14:paraId="18619569" w14:textId="1209E189"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30</w:t>
            </w:r>
            <w:r w:rsidR="00761659">
              <w:rPr>
                <w:rFonts w:ascii="Times New Roman" w:hAnsi="Times New Roman" w:cs="Times New Roman"/>
                <w:lang w:val="en-US"/>
              </w:rPr>
              <w:t>.</w:t>
            </w:r>
            <w:r w:rsidRPr="0052261C">
              <w:rPr>
                <w:rFonts w:ascii="Times New Roman" w:hAnsi="Times New Roman" w:cs="Times New Roman"/>
                <w:lang w:val="en-US"/>
              </w:rPr>
              <w:t>0</w:t>
            </w:r>
          </w:p>
          <w:p w14:paraId="72ADAAC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0B7D284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5" w:type="dxa"/>
            <w:tcBorders>
              <w:top w:val="single" w:sz="4" w:space="0" w:color="auto"/>
              <w:left w:val="nil"/>
              <w:bottom w:val="single" w:sz="4" w:space="0" w:color="auto"/>
              <w:right w:val="nil"/>
            </w:tcBorders>
          </w:tcPr>
          <w:p w14:paraId="5B7FD8A1" w14:textId="77777777" w:rsidR="0052261C" w:rsidRPr="0052261C" w:rsidRDefault="0052261C" w:rsidP="0052261C">
            <w:pPr>
              <w:spacing w:after="160" w:line="278" w:lineRule="auto"/>
              <w:jc w:val="both"/>
              <w:rPr>
                <w:rFonts w:ascii="Times New Roman" w:hAnsi="Times New Roman" w:cs="Times New Roman"/>
                <w:lang w:val="en-US"/>
              </w:rPr>
            </w:pPr>
          </w:p>
          <w:p w14:paraId="52A67D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58235F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9</w:t>
            </w:r>
          </w:p>
          <w:p w14:paraId="600722C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0CCD250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8" w:type="dxa"/>
            <w:tcBorders>
              <w:top w:val="single" w:sz="4" w:space="0" w:color="auto"/>
              <w:left w:val="nil"/>
              <w:bottom w:val="single" w:sz="4" w:space="0" w:color="auto"/>
              <w:right w:val="nil"/>
            </w:tcBorders>
          </w:tcPr>
          <w:p w14:paraId="35131C85" w14:textId="77777777" w:rsidR="0052261C" w:rsidRPr="0052261C" w:rsidRDefault="0052261C" w:rsidP="0052261C">
            <w:pPr>
              <w:spacing w:after="160" w:line="278" w:lineRule="auto"/>
              <w:jc w:val="both"/>
              <w:rPr>
                <w:rFonts w:ascii="Times New Roman" w:hAnsi="Times New Roman" w:cs="Times New Roman"/>
                <w:lang w:val="en-US"/>
              </w:rPr>
            </w:pPr>
          </w:p>
          <w:p w14:paraId="3939E805" w14:textId="0B2DCC2A"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8A066F">
              <w:rPr>
                <w:rFonts w:ascii="Times New Roman" w:hAnsi="Times New Roman" w:cs="Times New Roman"/>
                <w:lang w:val="en-US"/>
              </w:rPr>
              <w:t>.</w:t>
            </w:r>
            <w:r w:rsidRPr="0052261C">
              <w:rPr>
                <w:rFonts w:ascii="Times New Roman" w:hAnsi="Times New Roman" w:cs="Times New Roman"/>
                <w:lang w:val="en-US"/>
              </w:rPr>
              <w:t>0</w:t>
            </w:r>
          </w:p>
          <w:p w14:paraId="7D86C927" w14:textId="0D1AF28F"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30</w:t>
            </w:r>
            <w:r w:rsidR="008A066F">
              <w:rPr>
                <w:rFonts w:ascii="Times New Roman" w:hAnsi="Times New Roman" w:cs="Times New Roman"/>
                <w:lang w:val="en-US"/>
              </w:rPr>
              <w:t>.</w:t>
            </w:r>
            <w:r w:rsidRPr="0052261C">
              <w:rPr>
                <w:rFonts w:ascii="Times New Roman" w:hAnsi="Times New Roman" w:cs="Times New Roman"/>
                <w:lang w:val="en-US"/>
              </w:rPr>
              <w:t>0</w:t>
            </w:r>
          </w:p>
          <w:p w14:paraId="36DFC5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1BB7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7" w:type="dxa"/>
            <w:tcBorders>
              <w:top w:val="single" w:sz="4" w:space="0" w:color="auto"/>
              <w:left w:val="nil"/>
              <w:bottom w:val="single" w:sz="4" w:space="0" w:color="auto"/>
              <w:right w:val="nil"/>
            </w:tcBorders>
            <w:hideMark/>
          </w:tcPr>
          <w:p w14:paraId="511B517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0.712</w:t>
            </w:r>
          </w:p>
        </w:tc>
      </w:tr>
    </w:tbl>
    <w:p w14:paraId="5226609E" w14:textId="77777777" w:rsidR="00740D45" w:rsidRPr="0052261C" w:rsidRDefault="00740D45" w:rsidP="0052261C">
      <w:pPr>
        <w:jc w:val="both"/>
        <w:rPr>
          <w:rFonts w:ascii="Times New Roman" w:hAnsi="Times New Roman" w:cs="Times New Roman"/>
          <w:lang w:val="en-US"/>
        </w:rPr>
      </w:pPr>
    </w:p>
    <w:p w14:paraId="5617A77E"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3. Anxiety Levels of Respondents After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134"/>
        <w:gridCol w:w="1276"/>
        <w:gridCol w:w="1275"/>
        <w:gridCol w:w="1701"/>
      </w:tblGrid>
      <w:tr w:rsidR="0052261C" w:rsidRPr="0052261C" w14:paraId="2EE98A64" w14:textId="77777777">
        <w:tc>
          <w:tcPr>
            <w:tcW w:w="2174" w:type="dxa"/>
            <w:vMerge w:val="restart"/>
            <w:tcBorders>
              <w:top w:val="single" w:sz="4" w:space="0" w:color="auto"/>
              <w:left w:val="nil"/>
              <w:bottom w:val="single" w:sz="4" w:space="0" w:color="auto"/>
              <w:right w:val="nil"/>
            </w:tcBorders>
            <w:hideMark/>
          </w:tcPr>
          <w:p w14:paraId="648180E9" w14:textId="68B1B0C0"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646" w:type="dxa"/>
            <w:gridSpan w:val="2"/>
            <w:tcBorders>
              <w:top w:val="single" w:sz="4" w:space="0" w:color="auto"/>
              <w:left w:val="nil"/>
              <w:bottom w:val="single" w:sz="4" w:space="0" w:color="auto"/>
              <w:right w:val="nil"/>
            </w:tcBorders>
            <w:hideMark/>
          </w:tcPr>
          <w:p w14:paraId="573B59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551" w:type="dxa"/>
            <w:gridSpan w:val="2"/>
            <w:tcBorders>
              <w:top w:val="single" w:sz="4" w:space="0" w:color="auto"/>
              <w:left w:val="nil"/>
              <w:bottom w:val="single" w:sz="4" w:space="0" w:color="auto"/>
              <w:right w:val="nil"/>
            </w:tcBorders>
            <w:hideMark/>
          </w:tcPr>
          <w:p w14:paraId="1ADE36C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701" w:type="dxa"/>
            <w:vMerge w:val="restart"/>
            <w:tcBorders>
              <w:top w:val="single" w:sz="4" w:space="0" w:color="auto"/>
              <w:left w:val="nil"/>
              <w:bottom w:val="single" w:sz="4" w:space="0" w:color="auto"/>
              <w:right w:val="nil"/>
            </w:tcBorders>
            <w:hideMark/>
          </w:tcPr>
          <w:p w14:paraId="59E7DBD6"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4556BD67" w14:textId="77777777">
        <w:tc>
          <w:tcPr>
            <w:tcW w:w="0" w:type="auto"/>
            <w:vMerge/>
            <w:tcBorders>
              <w:top w:val="single" w:sz="4" w:space="0" w:color="auto"/>
              <w:left w:val="nil"/>
              <w:bottom w:val="single" w:sz="4" w:space="0" w:color="auto"/>
              <w:right w:val="nil"/>
            </w:tcBorders>
            <w:vAlign w:val="center"/>
            <w:hideMark/>
          </w:tcPr>
          <w:p w14:paraId="506EFC83"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CDA13C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134" w:type="dxa"/>
            <w:tcBorders>
              <w:top w:val="single" w:sz="4" w:space="0" w:color="auto"/>
              <w:left w:val="nil"/>
              <w:bottom w:val="single" w:sz="4" w:space="0" w:color="auto"/>
              <w:right w:val="nil"/>
            </w:tcBorders>
            <w:hideMark/>
          </w:tcPr>
          <w:p w14:paraId="6536234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6" w:type="dxa"/>
            <w:tcBorders>
              <w:top w:val="single" w:sz="4" w:space="0" w:color="auto"/>
              <w:left w:val="nil"/>
              <w:bottom w:val="single" w:sz="4" w:space="0" w:color="auto"/>
              <w:right w:val="nil"/>
            </w:tcBorders>
            <w:hideMark/>
          </w:tcPr>
          <w:p w14:paraId="68F4D8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5" w:type="dxa"/>
            <w:tcBorders>
              <w:top w:val="single" w:sz="4" w:space="0" w:color="auto"/>
              <w:left w:val="nil"/>
              <w:bottom w:val="single" w:sz="4" w:space="0" w:color="auto"/>
              <w:right w:val="nil"/>
            </w:tcBorders>
            <w:hideMark/>
          </w:tcPr>
          <w:p w14:paraId="1417023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51BC7163"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55952A71" w14:textId="77777777">
        <w:tc>
          <w:tcPr>
            <w:tcW w:w="2174" w:type="dxa"/>
            <w:tcBorders>
              <w:top w:val="single" w:sz="4" w:space="0" w:color="auto"/>
              <w:left w:val="nil"/>
              <w:bottom w:val="single" w:sz="4" w:space="0" w:color="auto"/>
              <w:right w:val="nil"/>
            </w:tcBorders>
            <w:hideMark/>
          </w:tcPr>
          <w:p w14:paraId="2BACFB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26382FB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None </w:t>
            </w:r>
          </w:p>
          <w:p w14:paraId="548C5D3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Mild </w:t>
            </w:r>
          </w:p>
          <w:p w14:paraId="27E20FD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Moderate </w:t>
            </w:r>
          </w:p>
        </w:tc>
        <w:tc>
          <w:tcPr>
            <w:tcW w:w="1512" w:type="dxa"/>
            <w:tcBorders>
              <w:top w:val="single" w:sz="4" w:space="0" w:color="auto"/>
              <w:left w:val="nil"/>
              <w:bottom w:val="single" w:sz="4" w:space="0" w:color="auto"/>
              <w:right w:val="nil"/>
            </w:tcBorders>
          </w:tcPr>
          <w:p w14:paraId="26861EF8" w14:textId="77777777" w:rsidR="0052261C" w:rsidRPr="0052261C" w:rsidRDefault="0052261C" w:rsidP="0052261C">
            <w:pPr>
              <w:spacing w:after="160" w:line="278" w:lineRule="auto"/>
              <w:jc w:val="both"/>
              <w:rPr>
                <w:rFonts w:ascii="Times New Roman" w:hAnsi="Times New Roman" w:cs="Times New Roman"/>
                <w:lang w:val="en-US"/>
              </w:rPr>
            </w:pPr>
          </w:p>
          <w:p w14:paraId="025ED9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p w14:paraId="0BCEA3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116A8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134" w:type="dxa"/>
            <w:tcBorders>
              <w:top w:val="single" w:sz="4" w:space="0" w:color="auto"/>
              <w:left w:val="nil"/>
              <w:bottom w:val="single" w:sz="4" w:space="0" w:color="auto"/>
              <w:right w:val="nil"/>
            </w:tcBorders>
          </w:tcPr>
          <w:p w14:paraId="3DCB500F" w14:textId="77777777" w:rsidR="0052261C" w:rsidRPr="0052261C" w:rsidRDefault="0052261C" w:rsidP="0052261C">
            <w:pPr>
              <w:spacing w:after="160" w:line="278" w:lineRule="auto"/>
              <w:jc w:val="both"/>
              <w:rPr>
                <w:rFonts w:ascii="Times New Roman" w:hAnsi="Times New Roman" w:cs="Times New Roman"/>
                <w:lang w:val="en-US"/>
              </w:rPr>
            </w:pPr>
          </w:p>
          <w:p w14:paraId="3BCB29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7C0B9CE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648E504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42ABC82E" w14:textId="77777777" w:rsidR="0052261C" w:rsidRPr="0052261C" w:rsidRDefault="0052261C" w:rsidP="0052261C">
            <w:pPr>
              <w:spacing w:after="160" w:line="278" w:lineRule="auto"/>
              <w:jc w:val="both"/>
              <w:rPr>
                <w:rFonts w:ascii="Times New Roman" w:hAnsi="Times New Roman" w:cs="Times New Roman"/>
                <w:lang w:val="en-US"/>
              </w:rPr>
            </w:pPr>
          </w:p>
          <w:p w14:paraId="532B729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D8CC1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4C19C2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tc>
        <w:tc>
          <w:tcPr>
            <w:tcW w:w="1275" w:type="dxa"/>
            <w:tcBorders>
              <w:top w:val="single" w:sz="4" w:space="0" w:color="auto"/>
              <w:left w:val="nil"/>
              <w:bottom w:val="single" w:sz="4" w:space="0" w:color="auto"/>
              <w:right w:val="nil"/>
            </w:tcBorders>
          </w:tcPr>
          <w:p w14:paraId="1359D501" w14:textId="77777777" w:rsidR="0052261C" w:rsidRPr="0052261C" w:rsidRDefault="0052261C" w:rsidP="0052261C">
            <w:pPr>
              <w:spacing w:after="160" w:line="278" w:lineRule="auto"/>
              <w:jc w:val="both"/>
              <w:rPr>
                <w:rFonts w:ascii="Times New Roman" w:hAnsi="Times New Roman" w:cs="Times New Roman"/>
                <w:lang w:val="en-US"/>
              </w:rPr>
            </w:pPr>
          </w:p>
          <w:p w14:paraId="784D353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FF857A" w14:textId="007A4FD5"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761659">
              <w:rPr>
                <w:rFonts w:ascii="Times New Roman" w:hAnsi="Times New Roman" w:cs="Times New Roman"/>
                <w:lang w:val="en-US"/>
              </w:rPr>
              <w:t>.</w:t>
            </w:r>
            <w:r w:rsidRPr="0052261C">
              <w:rPr>
                <w:rFonts w:ascii="Times New Roman" w:hAnsi="Times New Roman" w:cs="Times New Roman"/>
                <w:lang w:val="en-US"/>
              </w:rPr>
              <w:t>0</w:t>
            </w:r>
          </w:p>
          <w:p w14:paraId="19B074F6" w14:textId="36C4D526"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761659">
              <w:rPr>
                <w:rFonts w:ascii="Times New Roman" w:hAnsi="Times New Roman" w:cs="Times New Roman"/>
                <w:lang w:val="en-US"/>
              </w:rPr>
              <w:t>.</w:t>
            </w:r>
            <w:r w:rsidRPr="0052261C">
              <w:rPr>
                <w:rFonts w:ascii="Times New Roman" w:hAnsi="Times New Roman" w:cs="Times New Roman"/>
                <w:lang w:val="en-US"/>
              </w:rPr>
              <w:t>0</w:t>
            </w:r>
          </w:p>
        </w:tc>
        <w:tc>
          <w:tcPr>
            <w:tcW w:w="1701" w:type="dxa"/>
            <w:tcBorders>
              <w:top w:val="single" w:sz="4" w:space="0" w:color="auto"/>
              <w:left w:val="nil"/>
              <w:bottom w:val="single" w:sz="4" w:space="0" w:color="auto"/>
              <w:right w:val="nil"/>
            </w:tcBorders>
            <w:hideMark/>
          </w:tcPr>
          <w:p w14:paraId="2183BA77" w14:textId="15464F21" w:rsidR="0052261C" w:rsidRPr="0052261C" w:rsidRDefault="00401319" w:rsidP="0052261C">
            <w:pPr>
              <w:spacing w:after="160" w:line="278" w:lineRule="auto"/>
              <w:jc w:val="both"/>
              <w:rPr>
                <w:rFonts w:ascii="Times New Roman" w:hAnsi="Times New Roman" w:cs="Times New Roman"/>
                <w:lang w:val="en-US"/>
              </w:rPr>
            </w:pPr>
            <w:r w:rsidRPr="00401319">
              <w:rPr>
                <w:rFonts w:ascii="Times New Roman" w:hAnsi="Times New Roman" w:cs="Times New Roman"/>
                <w:lang w:val="en-US"/>
              </w:rPr>
              <w:t>p &lt; 0.001</w:t>
            </w:r>
          </w:p>
        </w:tc>
      </w:tr>
    </w:tbl>
    <w:p w14:paraId="32BCF3B8" w14:textId="25556A76"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 </w:t>
      </w:r>
    </w:p>
    <w:p w14:paraId="15DE9AF6" w14:textId="0943C20D"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Table 4. </w:t>
      </w:r>
      <w:r w:rsidR="009F24C0" w:rsidRPr="009F24C0">
        <w:rPr>
          <w:rFonts w:ascii="Times New Roman" w:hAnsi="Times New Roman" w:cs="Times New Roman"/>
        </w:rPr>
        <w:t>Effect of Intervention on Blood Pressure in Anxious Adolescents</w:t>
      </w:r>
    </w:p>
    <w:tbl>
      <w:tblPr>
        <w:tblStyle w:val="TableGrid"/>
        <w:tblW w:w="9072" w:type="dxa"/>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1408"/>
        <w:gridCol w:w="839"/>
        <w:gridCol w:w="763"/>
        <w:gridCol w:w="707"/>
        <w:gridCol w:w="707"/>
        <w:gridCol w:w="849"/>
        <w:gridCol w:w="707"/>
        <w:gridCol w:w="707"/>
        <w:gridCol w:w="1126"/>
      </w:tblGrid>
      <w:tr w:rsidR="0052261C" w:rsidRPr="0052261C" w14:paraId="649C92E4" w14:textId="77777777" w:rsidTr="007B31CB">
        <w:tc>
          <w:tcPr>
            <w:tcW w:w="2690" w:type="dxa"/>
            <w:gridSpan w:val="2"/>
            <w:vMerge w:val="restart"/>
            <w:hideMark/>
          </w:tcPr>
          <w:p w14:paraId="17EB7C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847" w:type="dxa"/>
            <w:vMerge w:val="restart"/>
            <w:hideMark/>
          </w:tcPr>
          <w:p w14:paraId="402454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4402" w:type="dxa"/>
            <w:gridSpan w:val="6"/>
            <w:hideMark/>
          </w:tcPr>
          <w:p w14:paraId="4CC5131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Blood Pressure</w:t>
            </w:r>
          </w:p>
        </w:tc>
        <w:tc>
          <w:tcPr>
            <w:tcW w:w="1133" w:type="dxa"/>
            <w:vMerge w:val="restart"/>
            <w:hideMark/>
          </w:tcPr>
          <w:p w14:paraId="3F7AC9CD"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271CEFD6" w14:textId="77777777" w:rsidTr="007B31CB">
        <w:tc>
          <w:tcPr>
            <w:tcW w:w="0" w:type="auto"/>
            <w:gridSpan w:val="2"/>
            <w:vMerge/>
            <w:vAlign w:val="center"/>
            <w:hideMark/>
          </w:tcPr>
          <w:p w14:paraId="65BC115D"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vAlign w:val="center"/>
            <w:hideMark/>
          </w:tcPr>
          <w:p w14:paraId="7AF30322" w14:textId="77777777" w:rsidR="0052261C" w:rsidRPr="0052261C" w:rsidRDefault="0052261C" w:rsidP="0052261C">
            <w:pPr>
              <w:spacing w:after="160" w:line="278" w:lineRule="auto"/>
              <w:jc w:val="both"/>
              <w:rPr>
                <w:rFonts w:ascii="Times New Roman" w:hAnsi="Times New Roman" w:cs="Times New Roman"/>
                <w:lang w:val="en-US"/>
              </w:rPr>
            </w:pPr>
          </w:p>
        </w:tc>
        <w:tc>
          <w:tcPr>
            <w:tcW w:w="2134" w:type="dxa"/>
            <w:gridSpan w:val="3"/>
            <w:hideMark/>
          </w:tcPr>
          <w:p w14:paraId="57CC34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nil"/>
              <w:bottom w:val="single" w:sz="4" w:space="0" w:color="auto"/>
            </w:tcBorders>
            <w:hideMark/>
          </w:tcPr>
          <w:p w14:paraId="4FFB64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vAlign w:val="center"/>
            <w:hideMark/>
          </w:tcPr>
          <w:p w14:paraId="7A443E7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834B006" w14:textId="77777777" w:rsidTr="007B31CB">
        <w:tc>
          <w:tcPr>
            <w:tcW w:w="0" w:type="auto"/>
            <w:gridSpan w:val="2"/>
            <w:vMerge/>
            <w:tcBorders>
              <w:top w:val="single" w:sz="4" w:space="0" w:color="auto"/>
              <w:bottom w:val="single" w:sz="4" w:space="0" w:color="auto"/>
            </w:tcBorders>
            <w:vAlign w:val="center"/>
            <w:hideMark/>
          </w:tcPr>
          <w:p w14:paraId="1C29BCC9"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bottom w:val="single" w:sz="4" w:space="0" w:color="auto"/>
            </w:tcBorders>
            <w:vAlign w:val="center"/>
            <w:hideMark/>
          </w:tcPr>
          <w:p w14:paraId="083C2EE9" w14:textId="77777777" w:rsidR="0052261C" w:rsidRPr="0052261C" w:rsidRDefault="0052261C" w:rsidP="0052261C">
            <w:pPr>
              <w:spacing w:after="160" w:line="278" w:lineRule="auto"/>
              <w:jc w:val="both"/>
              <w:rPr>
                <w:rFonts w:ascii="Times New Roman" w:hAnsi="Times New Roman" w:cs="Times New Roman"/>
                <w:lang w:val="en-US"/>
              </w:rPr>
            </w:pPr>
          </w:p>
        </w:tc>
        <w:tc>
          <w:tcPr>
            <w:tcW w:w="717" w:type="dxa"/>
            <w:tcBorders>
              <w:top w:val="single" w:sz="4" w:space="0" w:color="auto"/>
              <w:bottom w:val="single" w:sz="4" w:space="0" w:color="auto"/>
            </w:tcBorders>
            <w:hideMark/>
          </w:tcPr>
          <w:p w14:paraId="07E0437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4189D7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6022A87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bottom w:val="single" w:sz="4" w:space="0" w:color="auto"/>
            </w:tcBorders>
            <w:hideMark/>
          </w:tcPr>
          <w:p w14:paraId="2CA68B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0C36B11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293494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bottom w:val="single" w:sz="4" w:space="0" w:color="auto"/>
            </w:tcBorders>
            <w:vAlign w:val="center"/>
            <w:hideMark/>
          </w:tcPr>
          <w:p w14:paraId="6130CCFB"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6DEBD300" w14:textId="77777777" w:rsidTr="007B31CB">
        <w:tc>
          <w:tcPr>
            <w:tcW w:w="1276" w:type="dxa"/>
            <w:tcBorders>
              <w:top w:val="single" w:sz="4" w:space="0" w:color="auto"/>
              <w:bottom w:val="nil"/>
            </w:tcBorders>
            <w:hideMark/>
          </w:tcPr>
          <w:p w14:paraId="08518CC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1414" w:type="dxa"/>
            <w:tcBorders>
              <w:top w:val="single" w:sz="4" w:space="0" w:color="auto"/>
              <w:bottom w:val="nil"/>
            </w:tcBorders>
            <w:hideMark/>
          </w:tcPr>
          <w:p w14:paraId="3B937E46" w14:textId="222291F0"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single" w:sz="4" w:space="0" w:color="auto"/>
              <w:bottom w:val="nil"/>
            </w:tcBorders>
            <w:hideMark/>
          </w:tcPr>
          <w:p w14:paraId="246009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single" w:sz="4" w:space="0" w:color="auto"/>
              <w:bottom w:val="nil"/>
            </w:tcBorders>
            <w:hideMark/>
          </w:tcPr>
          <w:p w14:paraId="134D546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single" w:sz="4" w:space="0" w:color="auto"/>
              <w:bottom w:val="nil"/>
            </w:tcBorders>
            <w:hideMark/>
          </w:tcPr>
          <w:p w14:paraId="18AB9E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single" w:sz="4" w:space="0" w:color="auto"/>
              <w:bottom w:val="nil"/>
            </w:tcBorders>
            <w:hideMark/>
          </w:tcPr>
          <w:p w14:paraId="0AE6B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single" w:sz="4" w:space="0" w:color="auto"/>
              <w:bottom w:val="nil"/>
            </w:tcBorders>
            <w:hideMark/>
          </w:tcPr>
          <w:p w14:paraId="515180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115</w:t>
            </w:r>
          </w:p>
        </w:tc>
        <w:tc>
          <w:tcPr>
            <w:tcW w:w="709" w:type="dxa"/>
            <w:tcBorders>
              <w:top w:val="single" w:sz="4" w:space="0" w:color="auto"/>
              <w:bottom w:val="nil"/>
            </w:tcBorders>
            <w:hideMark/>
          </w:tcPr>
          <w:p w14:paraId="3EADAE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708" w:type="dxa"/>
            <w:tcBorders>
              <w:top w:val="single" w:sz="4" w:space="0" w:color="auto"/>
              <w:bottom w:val="nil"/>
            </w:tcBorders>
            <w:hideMark/>
          </w:tcPr>
          <w:p w14:paraId="281DCA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single" w:sz="4" w:space="0" w:color="auto"/>
              <w:bottom w:val="nil"/>
            </w:tcBorders>
            <w:hideMark/>
          </w:tcPr>
          <w:p w14:paraId="19F1D7AD" w14:textId="074F3512"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334E14D5" w14:textId="77777777" w:rsidTr="007B31CB">
        <w:tc>
          <w:tcPr>
            <w:tcW w:w="1276" w:type="dxa"/>
            <w:tcBorders>
              <w:top w:val="nil"/>
              <w:bottom w:val="nil"/>
            </w:tcBorders>
          </w:tcPr>
          <w:p w14:paraId="0B0A87F6"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tcBorders>
              <w:top w:val="nil"/>
              <w:bottom w:val="nil"/>
            </w:tcBorders>
            <w:hideMark/>
          </w:tcPr>
          <w:p w14:paraId="2E0E9DA5" w14:textId="3933D57A"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tcBorders>
              <w:top w:val="nil"/>
              <w:bottom w:val="nil"/>
            </w:tcBorders>
            <w:hideMark/>
          </w:tcPr>
          <w:p w14:paraId="01C27C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bottom w:val="nil"/>
            </w:tcBorders>
            <w:hideMark/>
          </w:tcPr>
          <w:p w14:paraId="1D1D4ED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85</w:t>
            </w:r>
          </w:p>
        </w:tc>
        <w:tc>
          <w:tcPr>
            <w:tcW w:w="709" w:type="dxa"/>
            <w:tcBorders>
              <w:top w:val="nil"/>
              <w:bottom w:val="nil"/>
            </w:tcBorders>
            <w:hideMark/>
          </w:tcPr>
          <w:p w14:paraId="08668B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bottom w:val="nil"/>
            </w:tcBorders>
            <w:hideMark/>
          </w:tcPr>
          <w:p w14:paraId="6109B9E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tcBorders>
              <w:top w:val="nil"/>
              <w:bottom w:val="nil"/>
            </w:tcBorders>
            <w:hideMark/>
          </w:tcPr>
          <w:p w14:paraId="4D2D9A0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9" w:type="dxa"/>
            <w:tcBorders>
              <w:top w:val="nil"/>
              <w:bottom w:val="nil"/>
            </w:tcBorders>
            <w:hideMark/>
          </w:tcPr>
          <w:p w14:paraId="697AC0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73</w:t>
            </w:r>
          </w:p>
        </w:tc>
        <w:tc>
          <w:tcPr>
            <w:tcW w:w="708" w:type="dxa"/>
            <w:tcBorders>
              <w:top w:val="nil"/>
              <w:bottom w:val="nil"/>
            </w:tcBorders>
            <w:hideMark/>
          </w:tcPr>
          <w:p w14:paraId="2537028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1133" w:type="dxa"/>
            <w:tcBorders>
              <w:top w:val="nil"/>
              <w:bottom w:val="nil"/>
            </w:tcBorders>
            <w:hideMark/>
          </w:tcPr>
          <w:p w14:paraId="4A68D8B3" w14:textId="3D86C40B"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5A8D618A" w14:textId="77777777" w:rsidTr="007B31CB">
        <w:tc>
          <w:tcPr>
            <w:tcW w:w="1276" w:type="dxa"/>
            <w:tcBorders>
              <w:top w:val="nil"/>
            </w:tcBorders>
            <w:hideMark/>
          </w:tcPr>
          <w:p w14:paraId="558205F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1414" w:type="dxa"/>
            <w:tcBorders>
              <w:top w:val="nil"/>
            </w:tcBorders>
            <w:hideMark/>
          </w:tcPr>
          <w:p w14:paraId="782CE093" w14:textId="58600465"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nil"/>
            </w:tcBorders>
            <w:hideMark/>
          </w:tcPr>
          <w:p w14:paraId="6CB0588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tcBorders>
            <w:hideMark/>
          </w:tcPr>
          <w:p w14:paraId="4441B12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2734F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tcBorders>
            <w:hideMark/>
          </w:tcPr>
          <w:p w14:paraId="34F6148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nil"/>
            </w:tcBorders>
            <w:hideMark/>
          </w:tcPr>
          <w:p w14:paraId="5F7E32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075F2A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nil"/>
            </w:tcBorders>
            <w:hideMark/>
          </w:tcPr>
          <w:p w14:paraId="68E4948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nil"/>
            </w:tcBorders>
            <w:hideMark/>
          </w:tcPr>
          <w:p w14:paraId="24227FCB" w14:textId="6644DDF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01DE3FA8" w14:textId="77777777" w:rsidTr="007B31CB">
        <w:tc>
          <w:tcPr>
            <w:tcW w:w="1276" w:type="dxa"/>
          </w:tcPr>
          <w:p w14:paraId="7CE3E051"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hideMark/>
          </w:tcPr>
          <w:p w14:paraId="4D2186ED" w14:textId="6038C77B"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hideMark/>
          </w:tcPr>
          <w:p w14:paraId="1A42038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hideMark/>
          </w:tcPr>
          <w:p w14:paraId="718ED6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0FC1C8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71</w:t>
            </w:r>
          </w:p>
        </w:tc>
        <w:tc>
          <w:tcPr>
            <w:tcW w:w="708" w:type="dxa"/>
            <w:hideMark/>
          </w:tcPr>
          <w:p w14:paraId="1837E0A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hideMark/>
          </w:tcPr>
          <w:p w14:paraId="32B2442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7BEE66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hideMark/>
          </w:tcPr>
          <w:p w14:paraId="03E171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hideMark/>
          </w:tcPr>
          <w:p w14:paraId="7ACF6839" w14:textId="512317D7"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5F4648D3" w14:textId="77777777" w:rsidR="0052261C" w:rsidRPr="0052261C" w:rsidRDefault="0052261C" w:rsidP="0052261C">
      <w:pPr>
        <w:jc w:val="both"/>
        <w:rPr>
          <w:rFonts w:ascii="Times New Roman" w:hAnsi="Times New Roman" w:cs="Times New Roman"/>
          <w:lang w:val="en-US"/>
        </w:rPr>
      </w:pPr>
    </w:p>
    <w:p w14:paraId="2664A0CB" w14:textId="03714F9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Table 5. Effect of </w:t>
      </w:r>
      <w:r w:rsidR="007C6A8C" w:rsidRPr="007C6A8C">
        <w:rPr>
          <w:rFonts w:ascii="Times New Roman" w:hAnsi="Times New Roman" w:cs="Times New Roman"/>
        </w:rPr>
        <w:t>the intervention</w:t>
      </w:r>
      <w:r w:rsidRPr="0052261C">
        <w:rPr>
          <w:rFonts w:ascii="Times New Roman" w:hAnsi="Times New Roman" w:cs="Times New Roman"/>
          <w:lang w:val="en-US"/>
        </w:rPr>
        <w:t xml:space="preserve"> on Heart Rate in Anxious Adolescents</w:t>
      </w:r>
    </w:p>
    <w:tbl>
      <w:tblPr>
        <w:tblStyle w:val="TableGrid"/>
        <w:tblW w:w="9072" w:type="dxa"/>
        <w:tblInd w:w="-5" w:type="dxa"/>
        <w:tblLook w:val="04A0" w:firstRow="1" w:lastRow="0" w:firstColumn="1" w:lastColumn="0" w:noHBand="0" w:noVBand="1"/>
      </w:tblPr>
      <w:tblGrid>
        <w:gridCol w:w="1560"/>
        <w:gridCol w:w="992"/>
        <w:gridCol w:w="992"/>
        <w:gridCol w:w="992"/>
        <w:gridCol w:w="1135"/>
        <w:gridCol w:w="851"/>
        <w:gridCol w:w="709"/>
        <w:gridCol w:w="708"/>
        <w:gridCol w:w="1133"/>
      </w:tblGrid>
      <w:tr w:rsidR="0052261C" w:rsidRPr="0052261C" w14:paraId="71E4872B" w14:textId="77777777" w:rsidTr="007B31CB">
        <w:tc>
          <w:tcPr>
            <w:tcW w:w="1560" w:type="dxa"/>
            <w:vMerge w:val="restart"/>
            <w:tcBorders>
              <w:top w:val="single" w:sz="4" w:space="0" w:color="auto"/>
              <w:left w:val="nil"/>
              <w:bottom w:val="single" w:sz="4" w:space="0" w:color="auto"/>
              <w:right w:val="nil"/>
            </w:tcBorders>
            <w:hideMark/>
          </w:tcPr>
          <w:p w14:paraId="7D7952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992" w:type="dxa"/>
            <w:vMerge w:val="restart"/>
            <w:tcBorders>
              <w:top w:val="single" w:sz="4" w:space="0" w:color="auto"/>
              <w:left w:val="nil"/>
              <w:bottom w:val="single" w:sz="4" w:space="0" w:color="auto"/>
              <w:right w:val="nil"/>
            </w:tcBorders>
            <w:hideMark/>
          </w:tcPr>
          <w:p w14:paraId="326F3D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5387" w:type="dxa"/>
            <w:gridSpan w:val="6"/>
            <w:tcBorders>
              <w:top w:val="single" w:sz="4" w:space="0" w:color="auto"/>
              <w:left w:val="nil"/>
              <w:bottom w:val="single" w:sz="4" w:space="0" w:color="auto"/>
              <w:right w:val="nil"/>
            </w:tcBorders>
            <w:hideMark/>
          </w:tcPr>
          <w:p w14:paraId="70920EF2" w14:textId="22DBB55B" w:rsidR="0052261C" w:rsidRPr="0052261C" w:rsidRDefault="00674AC3" w:rsidP="0052261C">
            <w:pPr>
              <w:spacing w:after="160" w:line="278" w:lineRule="auto"/>
              <w:jc w:val="both"/>
              <w:rPr>
                <w:rFonts w:ascii="Times New Roman" w:hAnsi="Times New Roman" w:cs="Times New Roman"/>
                <w:lang w:val="en-US"/>
              </w:rPr>
            </w:pPr>
            <w:r w:rsidRPr="00674AC3">
              <w:rPr>
                <w:rFonts w:ascii="Times New Roman" w:hAnsi="Times New Roman" w:cs="Times New Roman"/>
                <w:lang w:val="en-US"/>
              </w:rPr>
              <w:t>Heart Rate</w:t>
            </w:r>
          </w:p>
        </w:tc>
        <w:tc>
          <w:tcPr>
            <w:tcW w:w="1133" w:type="dxa"/>
            <w:vMerge w:val="restart"/>
            <w:tcBorders>
              <w:top w:val="single" w:sz="4" w:space="0" w:color="auto"/>
              <w:left w:val="nil"/>
              <w:bottom w:val="single" w:sz="4" w:space="0" w:color="auto"/>
              <w:right w:val="nil"/>
            </w:tcBorders>
            <w:hideMark/>
          </w:tcPr>
          <w:p w14:paraId="2E5444EA"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E98595E" w14:textId="77777777" w:rsidTr="007B31CB">
        <w:tc>
          <w:tcPr>
            <w:tcW w:w="0" w:type="auto"/>
            <w:vMerge/>
            <w:tcBorders>
              <w:top w:val="single" w:sz="4" w:space="0" w:color="auto"/>
              <w:left w:val="nil"/>
              <w:bottom w:val="single" w:sz="4" w:space="0" w:color="auto"/>
              <w:right w:val="nil"/>
            </w:tcBorders>
            <w:vAlign w:val="center"/>
            <w:hideMark/>
          </w:tcPr>
          <w:p w14:paraId="6722655E"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2D97C4F4" w14:textId="77777777" w:rsidR="0052261C" w:rsidRPr="0052261C" w:rsidRDefault="0052261C" w:rsidP="0052261C">
            <w:pPr>
              <w:spacing w:after="160" w:line="278" w:lineRule="auto"/>
              <w:jc w:val="both"/>
              <w:rPr>
                <w:rFonts w:ascii="Times New Roman" w:hAnsi="Times New Roman" w:cs="Times New Roman"/>
                <w:lang w:val="en-US"/>
              </w:rPr>
            </w:pPr>
          </w:p>
        </w:tc>
        <w:tc>
          <w:tcPr>
            <w:tcW w:w="3119" w:type="dxa"/>
            <w:gridSpan w:val="3"/>
            <w:tcBorders>
              <w:top w:val="single" w:sz="4" w:space="0" w:color="auto"/>
              <w:left w:val="nil"/>
              <w:bottom w:val="single" w:sz="4" w:space="0" w:color="auto"/>
              <w:right w:val="nil"/>
            </w:tcBorders>
            <w:hideMark/>
          </w:tcPr>
          <w:p w14:paraId="326B9D8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single" w:sz="4" w:space="0" w:color="auto"/>
              <w:left w:val="nil"/>
              <w:bottom w:val="single" w:sz="4" w:space="0" w:color="auto"/>
              <w:right w:val="nil"/>
            </w:tcBorders>
            <w:hideMark/>
          </w:tcPr>
          <w:p w14:paraId="6586480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tcBorders>
              <w:top w:val="single" w:sz="4" w:space="0" w:color="auto"/>
              <w:left w:val="nil"/>
              <w:bottom w:val="single" w:sz="4" w:space="0" w:color="auto"/>
              <w:right w:val="nil"/>
            </w:tcBorders>
            <w:vAlign w:val="center"/>
            <w:hideMark/>
          </w:tcPr>
          <w:p w14:paraId="6B8669DE"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38CBF260" w14:textId="77777777" w:rsidTr="007B31CB">
        <w:tc>
          <w:tcPr>
            <w:tcW w:w="0" w:type="auto"/>
            <w:vMerge/>
            <w:tcBorders>
              <w:top w:val="single" w:sz="4" w:space="0" w:color="auto"/>
              <w:left w:val="nil"/>
              <w:bottom w:val="single" w:sz="4" w:space="0" w:color="auto"/>
              <w:right w:val="nil"/>
            </w:tcBorders>
            <w:vAlign w:val="center"/>
            <w:hideMark/>
          </w:tcPr>
          <w:p w14:paraId="55A93E65"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58CB7AF6" w14:textId="77777777" w:rsidR="0052261C" w:rsidRPr="0052261C" w:rsidRDefault="0052261C" w:rsidP="0052261C">
            <w:pPr>
              <w:spacing w:after="160" w:line="278" w:lineRule="auto"/>
              <w:jc w:val="both"/>
              <w:rPr>
                <w:rFonts w:ascii="Times New Roman" w:hAnsi="Times New Roman" w:cs="Times New Roman"/>
                <w:lang w:val="en-US"/>
              </w:rPr>
            </w:pPr>
          </w:p>
        </w:tc>
        <w:tc>
          <w:tcPr>
            <w:tcW w:w="992" w:type="dxa"/>
            <w:tcBorders>
              <w:top w:val="single" w:sz="4" w:space="0" w:color="auto"/>
              <w:left w:val="nil"/>
              <w:bottom w:val="single" w:sz="4" w:space="0" w:color="auto"/>
              <w:right w:val="nil"/>
            </w:tcBorders>
            <w:hideMark/>
          </w:tcPr>
          <w:p w14:paraId="11391A2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992" w:type="dxa"/>
            <w:tcBorders>
              <w:top w:val="single" w:sz="4" w:space="0" w:color="auto"/>
              <w:left w:val="nil"/>
              <w:bottom w:val="single" w:sz="4" w:space="0" w:color="auto"/>
              <w:right w:val="nil"/>
            </w:tcBorders>
            <w:hideMark/>
          </w:tcPr>
          <w:p w14:paraId="56ACAAB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1135" w:type="dxa"/>
            <w:tcBorders>
              <w:top w:val="single" w:sz="4" w:space="0" w:color="auto"/>
              <w:left w:val="nil"/>
              <w:bottom w:val="single" w:sz="4" w:space="0" w:color="auto"/>
              <w:right w:val="nil"/>
            </w:tcBorders>
            <w:hideMark/>
          </w:tcPr>
          <w:p w14:paraId="391D63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left w:val="nil"/>
              <w:bottom w:val="single" w:sz="4" w:space="0" w:color="auto"/>
              <w:right w:val="nil"/>
            </w:tcBorders>
            <w:hideMark/>
          </w:tcPr>
          <w:p w14:paraId="37899F7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left w:val="nil"/>
              <w:bottom w:val="single" w:sz="4" w:space="0" w:color="auto"/>
              <w:right w:val="nil"/>
            </w:tcBorders>
            <w:hideMark/>
          </w:tcPr>
          <w:p w14:paraId="35B747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left w:val="nil"/>
              <w:bottom w:val="single" w:sz="4" w:space="0" w:color="auto"/>
              <w:right w:val="nil"/>
            </w:tcBorders>
            <w:hideMark/>
          </w:tcPr>
          <w:p w14:paraId="533977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top w:val="single" w:sz="4" w:space="0" w:color="auto"/>
              <w:left w:val="nil"/>
              <w:bottom w:val="single" w:sz="4" w:space="0" w:color="auto"/>
              <w:right w:val="nil"/>
            </w:tcBorders>
            <w:vAlign w:val="center"/>
            <w:hideMark/>
          </w:tcPr>
          <w:p w14:paraId="5EBAA15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11EFC0FE" w14:textId="77777777" w:rsidTr="007B31CB">
        <w:tc>
          <w:tcPr>
            <w:tcW w:w="1560" w:type="dxa"/>
            <w:tcBorders>
              <w:top w:val="single" w:sz="4" w:space="0" w:color="auto"/>
              <w:left w:val="nil"/>
              <w:bottom w:val="nil"/>
              <w:right w:val="nil"/>
            </w:tcBorders>
            <w:hideMark/>
          </w:tcPr>
          <w:p w14:paraId="031E251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992" w:type="dxa"/>
            <w:tcBorders>
              <w:top w:val="single" w:sz="4" w:space="0" w:color="auto"/>
              <w:left w:val="nil"/>
              <w:bottom w:val="nil"/>
              <w:right w:val="nil"/>
            </w:tcBorders>
            <w:hideMark/>
          </w:tcPr>
          <w:p w14:paraId="3680CF0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single" w:sz="4" w:space="0" w:color="auto"/>
              <w:left w:val="nil"/>
              <w:bottom w:val="nil"/>
              <w:right w:val="nil"/>
            </w:tcBorders>
            <w:hideMark/>
          </w:tcPr>
          <w:p w14:paraId="0691F3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992" w:type="dxa"/>
            <w:tcBorders>
              <w:top w:val="single" w:sz="4" w:space="0" w:color="auto"/>
              <w:left w:val="nil"/>
              <w:bottom w:val="nil"/>
              <w:right w:val="nil"/>
            </w:tcBorders>
            <w:hideMark/>
          </w:tcPr>
          <w:p w14:paraId="284927B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single" w:sz="4" w:space="0" w:color="auto"/>
              <w:left w:val="nil"/>
              <w:bottom w:val="nil"/>
              <w:right w:val="nil"/>
            </w:tcBorders>
            <w:hideMark/>
          </w:tcPr>
          <w:p w14:paraId="1985814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851" w:type="dxa"/>
            <w:tcBorders>
              <w:top w:val="single" w:sz="4" w:space="0" w:color="auto"/>
              <w:left w:val="nil"/>
              <w:bottom w:val="nil"/>
              <w:right w:val="nil"/>
            </w:tcBorders>
            <w:hideMark/>
          </w:tcPr>
          <w:p w14:paraId="31BD6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709" w:type="dxa"/>
            <w:tcBorders>
              <w:top w:val="single" w:sz="4" w:space="0" w:color="auto"/>
              <w:left w:val="nil"/>
              <w:bottom w:val="nil"/>
              <w:right w:val="nil"/>
            </w:tcBorders>
            <w:hideMark/>
          </w:tcPr>
          <w:p w14:paraId="4B082A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8" w:type="dxa"/>
            <w:tcBorders>
              <w:top w:val="single" w:sz="4" w:space="0" w:color="auto"/>
              <w:left w:val="nil"/>
              <w:bottom w:val="nil"/>
              <w:right w:val="nil"/>
            </w:tcBorders>
            <w:hideMark/>
          </w:tcPr>
          <w:p w14:paraId="13653D6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tcBorders>
              <w:top w:val="single" w:sz="4" w:space="0" w:color="auto"/>
              <w:left w:val="nil"/>
              <w:bottom w:val="nil"/>
              <w:right w:val="nil"/>
            </w:tcBorders>
            <w:hideMark/>
          </w:tcPr>
          <w:p w14:paraId="2DF1023E" w14:textId="2867748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63B25B71" w14:textId="77777777" w:rsidTr="007B31CB">
        <w:tc>
          <w:tcPr>
            <w:tcW w:w="1560" w:type="dxa"/>
            <w:tcBorders>
              <w:top w:val="nil"/>
              <w:left w:val="nil"/>
              <w:bottom w:val="single" w:sz="4" w:space="0" w:color="auto"/>
              <w:right w:val="nil"/>
            </w:tcBorders>
            <w:hideMark/>
          </w:tcPr>
          <w:p w14:paraId="35CB9A2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992" w:type="dxa"/>
            <w:tcBorders>
              <w:top w:val="nil"/>
              <w:left w:val="nil"/>
              <w:bottom w:val="single" w:sz="4" w:space="0" w:color="auto"/>
              <w:right w:val="nil"/>
            </w:tcBorders>
            <w:hideMark/>
          </w:tcPr>
          <w:p w14:paraId="5EE5A7C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nil"/>
              <w:left w:val="nil"/>
              <w:bottom w:val="single" w:sz="4" w:space="0" w:color="auto"/>
              <w:right w:val="nil"/>
            </w:tcBorders>
            <w:hideMark/>
          </w:tcPr>
          <w:p w14:paraId="2B616B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76</w:t>
            </w:r>
          </w:p>
        </w:tc>
        <w:tc>
          <w:tcPr>
            <w:tcW w:w="992" w:type="dxa"/>
            <w:tcBorders>
              <w:top w:val="nil"/>
              <w:left w:val="nil"/>
              <w:bottom w:val="single" w:sz="4" w:space="0" w:color="auto"/>
              <w:right w:val="nil"/>
            </w:tcBorders>
            <w:hideMark/>
          </w:tcPr>
          <w:p w14:paraId="53767A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nil"/>
              <w:left w:val="nil"/>
              <w:bottom w:val="single" w:sz="4" w:space="0" w:color="auto"/>
              <w:right w:val="nil"/>
            </w:tcBorders>
            <w:hideMark/>
          </w:tcPr>
          <w:p w14:paraId="0358A9C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105</w:t>
            </w:r>
          </w:p>
        </w:tc>
        <w:tc>
          <w:tcPr>
            <w:tcW w:w="851" w:type="dxa"/>
            <w:tcBorders>
              <w:top w:val="nil"/>
              <w:left w:val="nil"/>
              <w:bottom w:val="single" w:sz="4" w:space="0" w:color="auto"/>
              <w:right w:val="nil"/>
            </w:tcBorders>
            <w:hideMark/>
          </w:tcPr>
          <w:p w14:paraId="7B7612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9" w:type="dxa"/>
            <w:tcBorders>
              <w:top w:val="nil"/>
              <w:left w:val="nil"/>
              <w:bottom w:val="single" w:sz="4" w:space="0" w:color="auto"/>
              <w:right w:val="nil"/>
            </w:tcBorders>
            <w:hideMark/>
          </w:tcPr>
          <w:p w14:paraId="7BBB54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708" w:type="dxa"/>
            <w:tcBorders>
              <w:top w:val="nil"/>
              <w:left w:val="nil"/>
              <w:bottom w:val="single" w:sz="4" w:space="0" w:color="auto"/>
              <w:right w:val="nil"/>
            </w:tcBorders>
            <w:hideMark/>
          </w:tcPr>
          <w:p w14:paraId="5C99342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102</w:t>
            </w:r>
          </w:p>
        </w:tc>
        <w:tc>
          <w:tcPr>
            <w:tcW w:w="1133" w:type="dxa"/>
            <w:tcBorders>
              <w:top w:val="nil"/>
              <w:left w:val="nil"/>
              <w:bottom w:val="single" w:sz="4" w:space="0" w:color="auto"/>
              <w:right w:val="nil"/>
            </w:tcBorders>
            <w:hideMark/>
          </w:tcPr>
          <w:p w14:paraId="7C7305CC" w14:textId="7216F940"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4C6AF377" w14:textId="77777777" w:rsidR="0052261C" w:rsidRPr="0052261C" w:rsidRDefault="0052261C" w:rsidP="0052261C">
      <w:pPr>
        <w:jc w:val="both"/>
        <w:rPr>
          <w:rFonts w:ascii="Times New Roman" w:hAnsi="Times New Roman" w:cs="Times New Roman"/>
          <w:lang w:val="en-US"/>
        </w:rPr>
      </w:pPr>
    </w:p>
    <w:p w14:paraId="2E53E24C" w14:textId="77777777" w:rsidR="00740D45" w:rsidRPr="00740D45" w:rsidRDefault="00740D45" w:rsidP="00740D45">
      <w:pPr>
        <w:jc w:val="both"/>
        <w:rPr>
          <w:rFonts w:ascii="Times New Roman" w:hAnsi="Times New Roman" w:cs="Times New Roman"/>
        </w:rPr>
      </w:pPr>
      <w:r w:rsidRPr="00740D45">
        <w:rPr>
          <w:rFonts w:ascii="Times New Roman" w:hAnsi="Times New Roman" w:cs="Times New Roman"/>
        </w:rPr>
        <w:lastRenderedPageBreak/>
        <w:t>After the intervention, all respondents in Group I were categorized as not anxious, while most respondents in Group II remained mildly anxious.</w:t>
      </w:r>
    </w:p>
    <w:p w14:paraId="631D5A98" w14:textId="40174784" w:rsidR="00740D45" w:rsidRPr="00740D45" w:rsidRDefault="00740D45" w:rsidP="00740D45">
      <w:pPr>
        <w:jc w:val="both"/>
        <w:rPr>
          <w:rFonts w:ascii="Times New Roman" w:hAnsi="Times New Roman" w:cs="Times New Roman"/>
        </w:rPr>
      </w:pPr>
      <w:r w:rsidRPr="00740D45">
        <w:rPr>
          <w:rFonts w:ascii="Times New Roman" w:hAnsi="Times New Roman" w:cs="Times New Roman"/>
        </w:rPr>
        <w:t>Blood pressure decreased significantly in the intervention group compared to the control group (p&lt;0.001).</w:t>
      </w:r>
    </w:p>
    <w:p w14:paraId="10485A01" w14:textId="405BCD74" w:rsidR="00A42741" w:rsidRPr="00077B8F" w:rsidRDefault="00A42741" w:rsidP="0052261C">
      <w:pPr>
        <w:jc w:val="both"/>
      </w:pPr>
      <w:r w:rsidRPr="00A42741">
        <w:rPr>
          <w:rFonts w:ascii="Times New Roman" w:hAnsi="Times New Roman" w:cs="Times New Roman"/>
        </w:rPr>
        <w:t xml:space="preserve">Heart rate showed significant changes after the intervention, </w:t>
      </w:r>
      <w:r w:rsidR="007C6A8C" w:rsidRPr="007C6A8C">
        <w:t>indicating a physiological response related to autonomic nervous system activity</w:t>
      </w:r>
      <w:r w:rsidR="009F24C0">
        <w:t xml:space="preserve"> </w:t>
      </w:r>
      <w:r w:rsidRPr="00A42741">
        <w:rPr>
          <w:rFonts w:ascii="Times New Roman" w:hAnsi="Times New Roman" w:cs="Times New Roman"/>
        </w:rPr>
        <w:t>(p&lt;0.001).</w:t>
      </w:r>
    </w:p>
    <w:p w14:paraId="14B680A7" w14:textId="7D2BB193" w:rsidR="00466D45" w:rsidRDefault="00A42741" w:rsidP="0052261C">
      <w:pPr>
        <w:jc w:val="both"/>
        <w:rPr>
          <w:rFonts w:ascii="Times New Roman" w:hAnsi="Times New Roman" w:cs="Times New Roman"/>
        </w:rPr>
      </w:pPr>
      <w:r w:rsidRPr="00A42741">
        <w:rPr>
          <w:rFonts w:ascii="Times New Roman" w:hAnsi="Times New Roman" w:cs="Times New Roman"/>
        </w:rPr>
        <w:t>These findings indicate that the intervention effectively improved both psychological and physiological outcomes among adolescents.</w:t>
      </w:r>
    </w:p>
    <w:p w14:paraId="238E5ED1" w14:textId="77777777" w:rsidR="00A42741" w:rsidRDefault="00A42741" w:rsidP="0052261C">
      <w:pPr>
        <w:jc w:val="both"/>
        <w:rPr>
          <w:rFonts w:ascii="Times New Roman" w:hAnsi="Times New Roman" w:cs="Times New Roman"/>
        </w:rPr>
      </w:pPr>
    </w:p>
    <w:p w14:paraId="2C6A500E" w14:textId="77777777" w:rsidR="00A42741" w:rsidRDefault="00A42741" w:rsidP="0052261C">
      <w:pPr>
        <w:jc w:val="both"/>
        <w:rPr>
          <w:rFonts w:ascii="Times New Roman" w:hAnsi="Times New Roman" w:cs="Times New Roman"/>
        </w:rPr>
      </w:pPr>
    </w:p>
    <w:p w14:paraId="322A65C2" w14:textId="77777777" w:rsidR="00A42741" w:rsidRDefault="00A42741" w:rsidP="0052261C">
      <w:pPr>
        <w:jc w:val="both"/>
        <w:rPr>
          <w:rFonts w:ascii="Times New Roman" w:hAnsi="Times New Roman" w:cs="Times New Roman"/>
        </w:rPr>
      </w:pPr>
    </w:p>
    <w:p w14:paraId="2B8CDDAC" w14:textId="14813093"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t>DISCUSSION</w:t>
      </w:r>
    </w:p>
    <w:p w14:paraId="4E29D2D2" w14:textId="04103D99"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present study demonstrated that the administration of </w:t>
      </w:r>
      <w:r w:rsidR="007C6A8C" w:rsidRPr="007C6A8C">
        <w:rPr>
          <w:rFonts w:ascii="Times New Roman" w:hAnsi="Times New Roman" w:cs="Times New Roman"/>
          <w:bCs/>
        </w:rPr>
        <w:t>the intervention</w:t>
      </w:r>
      <w:r w:rsidRPr="00C4447E">
        <w:rPr>
          <w:rFonts w:ascii="Times New Roman" w:hAnsi="Times New Roman" w:cs="Times New Roman"/>
          <w:bCs/>
        </w:rPr>
        <w:t xml:space="preserve"> significantly reduced anxiety levels among adolescents. After the intervention, all respondents in the intervention group were categorized as not anxious, whereas the majority of respondents in the control group remained in the mild anxiety category. This finding indicates that the intervention had a substantial effect on improving psychological well-being.</w:t>
      </w:r>
    </w:p>
    <w:p w14:paraId="3589A81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reduction in anxiety levels observed in this study can be explained by the bioactive compounds present in dark chocolate and oats. Dark chocolate contains flavonoids, particularly epicatechin, which have been shown to enhance cerebral blood flow and modulate neurotransmitter activity involved in mood regulation (17). Previous studies have reported that flavonoid-rich foods are associated with reduced stress responses and improved emotional states.</w:t>
      </w:r>
    </w:p>
    <w:p w14:paraId="7D035AF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Oats also contribute to anxiety reduction through their nutritional composition, particularly beta-glucan and magnesium. Magnesium plays a role in inhibiting excessive neuronal excitation and has been reported to exert mild anxiolytic effects, while beta-glucan supports metabolic stability and stress response regulation (18). These mechanisms collectively contribute to improved emotional balance among adolescents.</w:t>
      </w:r>
    </w:p>
    <w:p w14:paraId="04C5AE4B"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In addition to psychological outcomes, this study found a significant reduction in systolic and diastolic blood pressure following the intervention. The decrease in blood pressure was more pronounced in the intervention group compared to the control group. These findings are consistent with previous studies demonstrating that flavonoids enhance endothelial function by increasing nitric oxide production, leading to vasodilation and reduced vascular resistance (19).</w:t>
      </w:r>
    </w:p>
    <w:p w14:paraId="2EBC30C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Furthermore, oats contribute to cardiovascular improvement through their beta-glucan content, which has been associated with reduced blood pressure and improved lipid metabolism. Several studies have shown that regular consumption of oats is linked to reductions in both systolic and diastolic blood pressure, particularly among individuals with elevated cardiovascular risk (20).</w:t>
      </w:r>
    </w:p>
    <w:p w14:paraId="04A7878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lastRenderedPageBreak/>
        <w:t>This study also demonstrated a significant change in heart rate following the intervention. The observed improvement in heart rate reflects better autonomic nervous system regulation, characterized by reduced sympathetic activity and increased parasympathetic dominance. This physiological response is closely associated with reduced anxiety and improved relaxation (21).</w:t>
      </w:r>
    </w:p>
    <w:p w14:paraId="2A07F67A" w14:textId="51CC4746"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combination of dark chocolate and oats in the form of </w:t>
      </w:r>
      <w:r w:rsidR="0009305C" w:rsidRPr="0009305C">
        <w:rPr>
          <w:rFonts w:ascii="Times New Roman" w:hAnsi="Times New Roman" w:cs="Times New Roman"/>
          <w:bCs/>
        </w:rPr>
        <w:t>snack-based intervention</w:t>
      </w:r>
      <w:r w:rsidRPr="00C4447E">
        <w:rPr>
          <w:rFonts w:ascii="Times New Roman" w:hAnsi="Times New Roman" w:cs="Times New Roman"/>
          <w:bCs/>
        </w:rPr>
        <w:t xml:space="preserve"> provides a practical and acceptable intervention for adolescents. This form not only enhances palatability but also improves adherence, which is a critical factor in the success of lifestyle-based interventions (22). The synergistic effect of these functional foods may offer a comprehensive approach to improving both mental and cardiovascular health among adolescents.</w:t>
      </w:r>
    </w:p>
    <w:p w14:paraId="0E878063" w14:textId="70F5E888" w:rsidR="00C4447E" w:rsidRDefault="00C4447E" w:rsidP="00C4447E">
      <w:pPr>
        <w:jc w:val="both"/>
        <w:rPr>
          <w:rFonts w:ascii="Times New Roman" w:hAnsi="Times New Roman" w:cs="Times New Roman"/>
          <w:bCs/>
        </w:rPr>
      </w:pPr>
      <w:r w:rsidRPr="00C4447E">
        <w:rPr>
          <w:rFonts w:ascii="Times New Roman" w:hAnsi="Times New Roman" w:cs="Times New Roman"/>
          <w:bCs/>
        </w:rPr>
        <w:t>Despite these promising findings, several limitations should be acknowledged. The duration of the intervention was relatively short, and potential confounding factors such as physical activity, dietary intake, and sleep patterns were not fully controlled. Future studies are recommended to include longer intervention periods and additional biomarkers, such as cortisol levels, to better understand the underlying mechanisms of the observed effects.</w:t>
      </w:r>
      <w:r w:rsidR="00077B8F">
        <w:rPr>
          <w:rFonts w:ascii="Times New Roman" w:hAnsi="Times New Roman" w:cs="Times New Roman"/>
          <w:bCs/>
        </w:rPr>
        <w:t>\</w:t>
      </w:r>
    </w:p>
    <w:p w14:paraId="00AA6762" w14:textId="659A6EDE" w:rsidR="00883479" w:rsidRPr="00C4447E" w:rsidRDefault="00077B8F" w:rsidP="00C4447E">
      <w:pPr>
        <w:jc w:val="both"/>
        <w:rPr>
          <w:rFonts w:ascii="Times New Roman" w:hAnsi="Times New Roman" w:cs="Times New Roman"/>
          <w:bCs/>
        </w:rPr>
      </w:pPr>
      <w:r w:rsidRPr="00077B8F">
        <w:rPr>
          <w:rFonts w:ascii="Times New Roman" w:hAnsi="Times New Roman" w:cs="Times New Roman"/>
          <w:bCs/>
        </w:rPr>
        <w:t>The findings of this study have important public health implications. Given the increasing burden of adolescent anxiety and early cardiovascular risk factors, simple and accessible nutritional interventions may provide a feasible strategy for early prevention. Integrating such interventions into school-based health programs could enhance both mental and physical health outcomes in adolescents, particularly in low- and middle-income countries where access to mental health services remains limited.</w:t>
      </w:r>
      <w:r w:rsidR="00134B27">
        <w:rPr>
          <w:rFonts w:ascii="Times New Roman" w:hAnsi="Times New Roman" w:cs="Times New Roman"/>
          <w:bCs/>
        </w:rPr>
        <w:t xml:space="preserve"> </w:t>
      </w:r>
      <w:r w:rsidR="00883479" w:rsidRPr="00883479">
        <w:rPr>
          <w:rFonts w:ascii="Times New Roman" w:hAnsi="Times New Roman" w:cs="Times New Roman"/>
          <w:bCs/>
        </w:rPr>
        <w:t>These findings support the growing evidence that dietary-based interventions can play a role in adolescent mental health management.</w:t>
      </w:r>
    </w:p>
    <w:p w14:paraId="26A81596" w14:textId="77777777" w:rsidR="00AD50D9" w:rsidRDefault="00AD50D9" w:rsidP="0052261C">
      <w:pPr>
        <w:jc w:val="both"/>
        <w:rPr>
          <w:rFonts w:ascii="Times New Roman" w:hAnsi="Times New Roman" w:cs="Times New Roman"/>
          <w:bCs/>
        </w:rPr>
      </w:pPr>
    </w:p>
    <w:p w14:paraId="193DD021" w14:textId="66D3FC17"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t>CONCLUSION</w:t>
      </w:r>
    </w:p>
    <w:p w14:paraId="7F59A837" w14:textId="4F2D36EA" w:rsidR="0052261C" w:rsidRDefault="00AA2820" w:rsidP="0052261C">
      <w:pPr>
        <w:jc w:val="both"/>
        <w:rPr>
          <w:rFonts w:ascii="Times New Roman" w:hAnsi="Times New Roman" w:cs="Times New Roman"/>
          <w:bCs/>
        </w:rPr>
      </w:pPr>
      <w:r w:rsidRPr="00AA2820">
        <w:rPr>
          <w:rFonts w:ascii="Times New Roman" w:hAnsi="Times New Roman" w:cs="Times New Roman"/>
          <w:bCs/>
        </w:rPr>
        <w:t xml:space="preserve">The administration of </w:t>
      </w:r>
      <w:r w:rsidR="007C6A8C" w:rsidRPr="007C6A8C">
        <w:rPr>
          <w:rFonts w:ascii="Times New Roman" w:hAnsi="Times New Roman" w:cs="Times New Roman"/>
          <w:bCs/>
        </w:rPr>
        <w:t>the intervention</w:t>
      </w:r>
      <w:r w:rsidRPr="00AA2820">
        <w:rPr>
          <w:rFonts w:ascii="Times New Roman" w:hAnsi="Times New Roman" w:cs="Times New Roman"/>
          <w:bCs/>
        </w:rPr>
        <w:t xml:space="preserve"> significantly reduced anxiety levels, blood pressure, and heart rate among adolescents. This functional food-based intervention may serve as a practical and non-pharmacological approach to support adolescent mental and cardiovascular health, particularly in school-based health promotion programs.</w:t>
      </w:r>
    </w:p>
    <w:p w14:paraId="39B42ADB" w14:textId="77777777" w:rsidR="00AA2820" w:rsidRPr="0052261C" w:rsidRDefault="00AA2820" w:rsidP="0052261C">
      <w:pPr>
        <w:jc w:val="both"/>
        <w:rPr>
          <w:rFonts w:ascii="Times New Roman" w:hAnsi="Times New Roman" w:cs="Times New Roman"/>
          <w:b/>
          <w:lang w:val="en-US"/>
        </w:rPr>
      </w:pPr>
    </w:p>
    <w:p w14:paraId="2D972F55" w14:textId="61041F4C" w:rsidR="0052261C" w:rsidRPr="0052261C" w:rsidRDefault="00233826" w:rsidP="0052261C">
      <w:pPr>
        <w:jc w:val="both"/>
        <w:rPr>
          <w:rFonts w:ascii="Times New Roman" w:hAnsi="Times New Roman" w:cs="Times New Roman"/>
          <w:b/>
          <w:bCs/>
          <w:sz w:val="26"/>
          <w:szCs w:val="26"/>
        </w:rPr>
      </w:pPr>
      <w:bookmarkStart w:id="1" w:name="_heading=h.26in1rg"/>
      <w:bookmarkEnd w:id="1"/>
      <w:r w:rsidRPr="00233826">
        <w:rPr>
          <w:rFonts w:ascii="Times New Roman" w:hAnsi="Times New Roman" w:cs="Times New Roman"/>
          <w:b/>
          <w:bCs/>
          <w:sz w:val="26"/>
          <w:szCs w:val="26"/>
        </w:rPr>
        <w:t>LIMITATIONS</w:t>
      </w:r>
    </w:p>
    <w:p w14:paraId="369DF1DE" w14:textId="70052244" w:rsidR="0052261C" w:rsidRPr="0052261C" w:rsidRDefault="005A5321" w:rsidP="0052261C">
      <w:pPr>
        <w:jc w:val="both"/>
        <w:rPr>
          <w:rFonts w:ascii="Times New Roman" w:hAnsi="Times New Roman" w:cs="Times New Roman"/>
          <w:bCs/>
          <w:lang w:val="en-US"/>
        </w:rPr>
      </w:pPr>
      <w:r w:rsidRPr="005A5321">
        <w:rPr>
          <w:rFonts w:ascii="Times New Roman" w:hAnsi="Times New Roman" w:cs="Times New Roman"/>
          <w:bCs/>
        </w:rPr>
        <w:t>This study did not fully control potential confounding variables such as physical activity, sleep quality, caffeine intake, and dietary patterns, which may have influenced blood pressure and heart rate outcomes.</w:t>
      </w:r>
    </w:p>
    <w:p w14:paraId="7F53BE3B" w14:textId="77777777" w:rsidR="005A5321" w:rsidRDefault="005A5321" w:rsidP="0052261C">
      <w:pPr>
        <w:jc w:val="both"/>
        <w:rPr>
          <w:rFonts w:ascii="Times New Roman" w:hAnsi="Times New Roman" w:cs="Times New Roman"/>
          <w:b/>
          <w:bCs/>
        </w:rPr>
      </w:pPr>
    </w:p>
    <w:p w14:paraId="04B465CC" w14:textId="67B16410" w:rsidR="00A04F53" w:rsidRPr="00233826" w:rsidRDefault="00233826" w:rsidP="00A04F53">
      <w:pPr>
        <w:jc w:val="both"/>
        <w:rPr>
          <w:rFonts w:ascii="Times New Roman" w:hAnsi="Times New Roman" w:cs="Times New Roman"/>
          <w:b/>
          <w:bCs/>
          <w:sz w:val="26"/>
          <w:szCs w:val="26"/>
        </w:rPr>
      </w:pPr>
      <w:r w:rsidRPr="00233826">
        <w:rPr>
          <w:rFonts w:ascii="Times New Roman" w:hAnsi="Times New Roman" w:cs="Times New Roman"/>
          <w:b/>
          <w:bCs/>
          <w:sz w:val="26"/>
          <w:szCs w:val="26"/>
        </w:rPr>
        <w:t>ACKNOWLEDGMENTS</w:t>
      </w:r>
    </w:p>
    <w:p w14:paraId="3FE49270" w14:textId="17B1F9F6" w:rsidR="005A5321" w:rsidRDefault="00A04F53" w:rsidP="00A04F53">
      <w:pPr>
        <w:jc w:val="both"/>
        <w:rPr>
          <w:rFonts w:ascii="Times New Roman" w:hAnsi="Times New Roman" w:cs="Times New Roman"/>
        </w:rPr>
      </w:pPr>
      <w:r w:rsidRPr="00A04F53">
        <w:rPr>
          <w:rFonts w:ascii="Times New Roman" w:hAnsi="Times New Roman" w:cs="Times New Roman"/>
        </w:rPr>
        <w:t>The authors would like to express their gratitude to the participating institutions for their support and cooperation in this study.</w:t>
      </w:r>
    </w:p>
    <w:p w14:paraId="1DE683BB" w14:textId="77777777" w:rsidR="00A04F53" w:rsidRPr="0052261C" w:rsidRDefault="00A04F53" w:rsidP="00A04F53">
      <w:pPr>
        <w:jc w:val="both"/>
        <w:rPr>
          <w:rFonts w:ascii="Times New Roman" w:hAnsi="Times New Roman" w:cs="Times New Roman"/>
        </w:rPr>
      </w:pPr>
    </w:p>
    <w:p w14:paraId="642E217D" w14:textId="0DD28D28"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AUTHOR CONTRIBUTIONS</w:t>
      </w:r>
    </w:p>
    <w:p w14:paraId="30CD6061" w14:textId="61E6D458" w:rsidR="00C4447E" w:rsidRDefault="00AD50D9" w:rsidP="0052261C">
      <w:pPr>
        <w:jc w:val="both"/>
        <w:rPr>
          <w:rFonts w:ascii="Times New Roman" w:hAnsi="Times New Roman" w:cs="Times New Roman"/>
          <w:b/>
          <w:bCs/>
        </w:rPr>
      </w:pPr>
      <w:r w:rsidRPr="00AD50D9">
        <w:rPr>
          <w:rFonts w:ascii="Times New Roman" w:hAnsi="Times New Roman" w:cs="Times New Roman"/>
          <w:bCs/>
        </w:rPr>
        <w:t>A.A., K., S.S., S., and A.M. designed research; A.A., S.S., and S. conducted research; S.S. analyzed data; A.A. and K. wrote the paper; A.A. had primary responsibility for final content. All authors read and approved the final manuscript.</w:t>
      </w:r>
    </w:p>
    <w:p w14:paraId="47557D3F" w14:textId="77777777" w:rsidR="00AD50D9" w:rsidRDefault="00AD50D9" w:rsidP="0052261C">
      <w:pPr>
        <w:jc w:val="both"/>
        <w:rPr>
          <w:rFonts w:ascii="Times New Roman" w:hAnsi="Times New Roman" w:cs="Times New Roman"/>
          <w:b/>
          <w:bCs/>
        </w:rPr>
      </w:pPr>
    </w:p>
    <w:p w14:paraId="7FC03F30" w14:textId="27C6FB73"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CONFLICT OF INTEREST STATEMENT</w:t>
      </w:r>
    </w:p>
    <w:p w14:paraId="0D451564" w14:textId="77777777" w:rsidR="0052261C" w:rsidRPr="0052261C" w:rsidRDefault="0052261C" w:rsidP="0052261C">
      <w:pPr>
        <w:jc w:val="both"/>
        <w:rPr>
          <w:rFonts w:ascii="Times New Roman" w:hAnsi="Times New Roman" w:cs="Times New Roman"/>
          <w:bCs/>
        </w:rPr>
      </w:pPr>
      <w:r w:rsidRPr="0052261C">
        <w:rPr>
          <w:rFonts w:ascii="Times New Roman" w:hAnsi="Times New Roman" w:cs="Times New Roman"/>
          <w:bCs/>
        </w:rPr>
        <w:t>The authors declare that there is no conflict of interest.</w:t>
      </w:r>
    </w:p>
    <w:p w14:paraId="2A6DD86B" w14:textId="77777777" w:rsidR="0052261C" w:rsidRPr="0052261C" w:rsidRDefault="0052261C" w:rsidP="0052261C">
      <w:pPr>
        <w:jc w:val="both"/>
        <w:rPr>
          <w:rFonts w:ascii="Times New Roman" w:hAnsi="Times New Roman" w:cs="Times New Roman"/>
          <w:lang w:val="en-US"/>
        </w:rPr>
      </w:pPr>
    </w:p>
    <w:p w14:paraId="53144EB9" w14:textId="77777777" w:rsidR="0052261C" w:rsidRPr="0052261C" w:rsidRDefault="0052261C" w:rsidP="0052261C">
      <w:pPr>
        <w:jc w:val="both"/>
        <w:rPr>
          <w:rFonts w:ascii="Times New Roman" w:hAnsi="Times New Roman" w:cs="Times New Roman"/>
          <w:b/>
          <w:lang w:val="en-US"/>
        </w:rPr>
      </w:pPr>
      <w:bookmarkStart w:id="2" w:name="_heading=h.3dy6vkm"/>
      <w:bookmarkEnd w:id="2"/>
      <w:r w:rsidRPr="0052261C">
        <w:rPr>
          <w:rFonts w:ascii="Times New Roman" w:hAnsi="Times New Roman" w:cs="Times New Roman"/>
          <w:b/>
          <w:lang w:val="en-US"/>
        </w:rPr>
        <w:t>REFERENCES</w:t>
      </w:r>
    </w:p>
    <w:p w14:paraId="7DE4B23B" w14:textId="77777777" w:rsidR="00C4447E" w:rsidRPr="00C4447E" w:rsidRDefault="0052261C" w:rsidP="007B615F">
      <w:pPr>
        <w:pStyle w:val="ListParagraph"/>
        <w:numPr>
          <w:ilvl w:val="0"/>
          <w:numId w:val="1"/>
        </w:numPr>
        <w:ind w:left="426" w:hanging="426"/>
        <w:jc w:val="both"/>
        <w:rPr>
          <w:rFonts w:ascii="Times New Roman" w:hAnsi="Times New Roman" w:cs="Times New Roman"/>
        </w:rPr>
      </w:pPr>
      <w:r w:rsidRPr="0052261C">
        <w:rPr>
          <w:rFonts w:ascii="Times New Roman" w:hAnsi="Times New Roman" w:cs="Times New Roman"/>
          <w:lang w:val="en-US"/>
        </w:rPr>
        <w:fldChar w:fldCharType="begin" w:fldLock="1"/>
      </w:r>
      <w:r w:rsidRPr="00C4447E">
        <w:rPr>
          <w:rFonts w:ascii="Times New Roman" w:hAnsi="Times New Roman" w:cs="Times New Roman"/>
          <w:lang w:val="en-US"/>
        </w:rPr>
        <w:instrText xml:space="preserve">ADDIN Mendeley Bibliography CSL_BIBLIOGRAPHY </w:instrText>
      </w:r>
      <w:r w:rsidRPr="0052261C">
        <w:rPr>
          <w:rFonts w:ascii="Times New Roman" w:hAnsi="Times New Roman" w:cs="Times New Roman"/>
          <w:lang w:val="en-US"/>
        </w:rPr>
        <w:fldChar w:fldCharType="separate"/>
      </w:r>
      <w:r w:rsidR="00C4447E" w:rsidRPr="00C4447E">
        <w:rPr>
          <w:rFonts w:ascii="Times New Roman" w:hAnsi="Times New Roman" w:cs="Times New Roman"/>
        </w:rPr>
        <w:t xml:space="preserve">Bondonno NP, et al. 2018. Flavonoid-rich apple improves endothelial function in individuals at risk for cardiovascular disease: a randomized controlled clinical trial. </w:t>
      </w:r>
      <w:r w:rsidR="00C4447E" w:rsidRPr="00C4447E">
        <w:rPr>
          <w:rFonts w:ascii="Times New Roman" w:hAnsi="Times New Roman" w:cs="Times New Roman"/>
          <w:i/>
          <w:iCs/>
        </w:rPr>
        <w:t>Mol Nutr Food Res</w:t>
      </w:r>
      <w:r w:rsidR="00C4447E" w:rsidRPr="00C4447E">
        <w:rPr>
          <w:rFonts w:ascii="Times New Roman" w:hAnsi="Times New Roman" w:cs="Times New Roman"/>
        </w:rPr>
        <w:t>. 62(3).</w:t>
      </w:r>
    </w:p>
    <w:p w14:paraId="49966A6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Calabrò V, et al. 2019. Effects of flavanol-rich cocoa on mood and anxiety symptoms: a randomized controlled study. </w:t>
      </w:r>
      <w:r w:rsidRPr="00C4447E">
        <w:rPr>
          <w:rFonts w:ascii="Times New Roman" w:hAnsi="Times New Roman" w:cs="Times New Roman"/>
          <w:i/>
          <w:iCs/>
        </w:rPr>
        <w:t>Nutrients</w:t>
      </w:r>
      <w:r w:rsidRPr="00C4447E">
        <w:rPr>
          <w:rFonts w:ascii="Times New Roman" w:hAnsi="Times New Roman" w:cs="Times New Roman"/>
        </w:rPr>
        <w:t>. 11(11):2786.</w:t>
      </w:r>
    </w:p>
    <w:p w14:paraId="2A7D040E"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Claresta LJ, Purwoko Y. 2017. Pengaruh konsumsi cokelat terhadap tingkat kecemasan. </w:t>
      </w:r>
      <w:r w:rsidRPr="00C4447E">
        <w:rPr>
          <w:rFonts w:ascii="Times New Roman" w:hAnsi="Times New Roman" w:cs="Times New Roman"/>
          <w:i/>
          <w:iCs/>
        </w:rPr>
        <w:t>Jurnal Kedokteran</w:t>
      </w:r>
      <w:r w:rsidRPr="00C4447E">
        <w:rPr>
          <w:rFonts w:ascii="Times New Roman" w:hAnsi="Times New Roman" w:cs="Times New Roman"/>
        </w:rPr>
        <w:t>. 6(2):737–747.</w:t>
      </w:r>
    </w:p>
    <w:p w14:paraId="1911529F"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Clark JL, Zahradka P, Taylor CG. 2015. Efficacy of flavonoids in the management of high blood pressure. </w:t>
      </w:r>
      <w:r w:rsidRPr="00C4447E">
        <w:rPr>
          <w:rFonts w:ascii="Times New Roman" w:hAnsi="Times New Roman" w:cs="Times New Roman"/>
          <w:i/>
          <w:iCs/>
        </w:rPr>
        <w:t>Nutr Rev</w:t>
      </w:r>
      <w:r w:rsidRPr="00C4447E">
        <w:rPr>
          <w:rFonts w:ascii="Times New Roman" w:hAnsi="Times New Roman" w:cs="Times New Roman"/>
        </w:rPr>
        <w:t>. 73(12):799–822.</w:t>
      </w:r>
    </w:p>
    <w:p w14:paraId="489B66D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Crichton GE, Elias MF, Alkerwi A. 2016. Chocolate intake is associated with better cognitive function and reduced stress. </w:t>
      </w:r>
      <w:r w:rsidRPr="00C4447E">
        <w:rPr>
          <w:rFonts w:ascii="Times New Roman" w:hAnsi="Times New Roman" w:cs="Times New Roman"/>
          <w:i/>
          <w:iCs/>
        </w:rPr>
        <w:t>Appetite</w:t>
      </w:r>
      <w:r w:rsidRPr="00C4447E">
        <w:rPr>
          <w:rFonts w:ascii="Times New Roman" w:hAnsi="Times New Roman" w:cs="Times New Roman"/>
        </w:rPr>
        <w:t>. 100:126–132.</w:t>
      </w:r>
    </w:p>
    <w:p w14:paraId="0CC43D9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Faktor A, Berhubungan Y, Hipertensi D, Remaja P, Suryawan ZF. 2019. Faktor yang berhubungan dengan hipertensi pada remaja. </w:t>
      </w:r>
      <w:r w:rsidRPr="00C4447E">
        <w:rPr>
          <w:rFonts w:ascii="Times New Roman" w:hAnsi="Times New Roman" w:cs="Times New Roman"/>
          <w:i/>
          <w:iCs/>
        </w:rPr>
        <w:t>Jurnal Keperawatan Muhammadiyah</w:t>
      </w:r>
      <w:r w:rsidRPr="00C4447E">
        <w:rPr>
          <w:rFonts w:ascii="Times New Roman" w:hAnsi="Times New Roman" w:cs="Times New Roman"/>
        </w:rPr>
        <w:t>. 4(1).</w:t>
      </w:r>
    </w:p>
    <w:p w14:paraId="5F7B7F4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Grassi D, Desideri G, Ferri C. 2018. Flavonoids: antioxidants against atherosclerosis. </w:t>
      </w:r>
      <w:r w:rsidRPr="00C4447E">
        <w:rPr>
          <w:rFonts w:ascii="Times New Roman" w:hAnsi="Times New Roman" w:cs="Times New Roman"/>
          <w:i/>
          <w:iCs/>
        </w:rPr>
        <w:t>Nutrients</w:t>
      </w:r>
      <w:r w:rsidRPr="00C4447E">
        <w:rPr>
          <w:rFonts w:ascii="Times New Roman" w:hAnsi="Times New Roman" w:cs="Times New Roman"/>
        </w:rPr>
        <w:t>. 10(4):450.</w:t>
      </w:r>
    </w:p>
    <w:p w14:paraId="1FCEB43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Indonesia HP. 2021. Kesehatan jiwa dan resolusi pascapandemi di Indonesia.</w:t>
      </w:r>
    </w:p>
    <w:p w14:paraId="57E376C5"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Jackson PA, et al. 2019. The impact of cocoa flavanol consumption on mood and stress. </w:t>
      </w:r>
      <w:r w:rsidRPr="00C4447E">
        <w:rPr>
          <w:rFonts w:ascii="Times New Roman" w:hAnsi="Times New Roman" w:cs="Times New Roman"/>
          <w:i/>
          <w:iCs/>
        </w:rPr>
        <w:t>Nutrients</w:t>
      </w:r>
      <w:r w:rsidRPr="00C4447E">
        <w:rPr>
          <w:rFonts w:ascii="Times New Roman" w:hAnsi="Times New Roman" w:cs="Times New Roman"/>
        </w:rPr>
        <w:t>. 11(5):1130.</w:t>
      </w:r>
    </w:p>
    <w:p w14:paraId="4C503B8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Ju Y, Zhang C, Zhang Z, Zhu H, Liu Y, et al. 2022. Effect of dietary fiber (oat bran) supplementation on heart rate in patients with hypertension: a randomized trial.</w:t>
      </w:r>
    </w:p>
    <w:p w14:paraId="3D08B3B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Maaliki D, Shaiti AA, Pintus G, Yazbi AE. 2019. Flavonoids in hypertension: a brief review of underlying mechanisms. </w:t>
      </w:r>
      <w:r w:rsidRPr="00C4447E">
        <w:rPr>
          <w:rFonts w:ascii="Times New Roman" w:hAnsi="Times New Roman" w:cs="Times New Roman"/>
          <w:i/>
          <w:iCs/>
        </w:rPr>
        <w:t>Curr Opin Pharmacol</w:t>
      </w:r>
      <w:r w:rsidRPr="00C4447E">
        <w:rPr>
          <w:rFonts w:ascii="Times New Roman" w:hAnsi="Times New Roman" w:cs="Times New Roman"/>
        </w:rPr>
        <w:t>. 45:57–65.</w:t>
      </w:r>
    </w:p>
    <w:p w14:paraId="11E2344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Mastroiacovo D, et al. 2015. Cocoa flavanols reduce stress reactivity and improve mood. </w:t>
      </w:r>
      <w:r w:rsidRPr="00C4447E">
        <w:rPr>
          <w:rFonts w:ascii="Times New Roman" w:hAnsi="Times New Roman" w:cs="Times New Roman"/>
          <w:i/>
          <w:iCs/>
        </w:rPr>
        <w:t>J Psychopharmacol</w:t>
      </w:r>
      <w:r w:rsidRPr="00C4447E">
        <w:rPr>
          <w:rFonts w:ascii="Times New Roman" w:hAnsi="Times New Roman" w:cs="Times New Roman"/>
        </w:rPr>
        <w:t>. 29(4):1–9.</w:t>
      </w:r>
    </w:p>
    <w:p w14:paraId="2DFBD99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Nagananda MS. Quantization of mental stress using physiological markers.</w:t>
      </w:r>
    </w:p>
    <w:p w14:paraId="31D6406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Polanczyk GV, Salum GA, Sugaya LS, Caye A. 2015. Annual research review: prevalence of mental disorders in children and adolescents. </w:t>
      </w:r>
      <w:r w:rsidRPr="00C4447E">
        <w:rPr>
          <w:rFonts w:ascii="Times New Roman" w:hAnsi="Times New Roman" w:cs="Times New Roman"/>
          <w:i/>
          <w:iCs/>
        </w:rPr>
        <w:t>J Child Psychol Psychiatry</w:t>
      </w:r>
      <w:r w:rsidRPr="00C4447E">
        <w:rPr>
          <w:rFonts w:ascii="Times New Roman" w:hAnsi="Times New Roman" w:cs="Times New Roman"/>
        </w:rPr>
        <w:t>. 56(3):345–365.</w:t>
      </w:r>
    </w:p>
    <w:p w14:paraId="0370A5A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Rakhmat J. 2018. </w:t>
      </w:r>
      <w:r w:rsidRPr="00C4447E">
        <w:rPr>
          <w:rFonts w:ascii="Times New Roman" w:hAnsi="Times New Roman" w:cs="Times New Roman"/>
          <w:i/>
          <w:iCs/>
        </w:rPr>
        <w:t>Psikologi komunikasi</w:t>
      </w:r>
      <w:r w:rsidRPr="00C4447E">
        <w:rPr>
          <w:rFonts w:ascii="Times New Roman" w:hAnsi="Times New Roman" w:cs="Times New Roman"/>
        </w:rPr>
        <w:t>. Bandung: Remaja Rosdakarya.</w:t>
      </w:r>
    </w:p>
    <w:p w14:paraId="138EC38B"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lastRenderedPageBreak/>
        <w:t xml:space="preserve">Sawyer SM, et al. 2018. Adolescence: a foundation for future health. </w:t>
      </w:r>
      <w:r w:rsidRPr="00C4447E">
        <w:rPr>
          <w:rFonts w:ascii="Times New Roman" w:hAnsi="Times New Roman" w:cs="Times New Roman"/>
          <w:i/>
          <w:iCs/>
        </w:rPr>
        <w:t>Lancet</w:t>
      </w:r>
      <w:r w:rsidRPr="00C4447E">
        <w:rPr>
          <w:rFonts w:ascii="Times New Roman" w:hAnsi="Times New Roman" w:cs="Times New Roman"/>
        </w:rPr>
        <w:t>. 379:1630–1640.</w:t>
      </w:r>
    </w:p>
    <w:p w14:paraId="66F06BDC"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Socci V, Tempesta D, Desideri G, De Gennaro L, Ferrara M. 2017. Enhancing human cognition with cocoa flavonoids. </w:t>
      </w:r>
      <w:r w:rsidRPr="00C4447E">
        <w:rPr>
          <w:rFonts w:ascii="Times New Roman" w:hAnsi="Times New Roman" w:cs="Times New Roman"/>
          <w:i/>
          <w:iCs/>
        </w:rPr>
        <w:t>Front Nutr</w:t>
      </w:r>
      <w:r w:rsidRPr="00C4447E">
        <w:rPr>
          <w:rFonts w:ascii="Times New Roman" w:hAnsi="Times New Roman" w:cs="Times New Roman"/>
        </w:rPr>
        <w:t>. 4:19.</w:t>
      </w:r>
    </w:p>
    <w:p w14:paraId="3066B1E3"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Vibriyanti D. 2020. Kesehatan mental masyarakat: mengelola kecemasan di tengah pandemi COVID-19.</w:t>
      </w:r>
    </w:p>
    <w:p w14:paraId="6EC31892"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World Health Organization (WHO). 2017. Depression and other common mental disorders: global health estimates.</w:t>
      </w:r>
    </w:p>
    <w:p w14:paraId="4D92815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World Health Organization (WHO). 2021. Cardiovascular diseases (CVDs). Available from: </w:t>
      </w:r>
      <w:hyperlink r:id="rId5" w:tgtFrame="_new" w:history="1">
        <w:r w:rsidRPr="00C4447E">
          <w:rPr>
            <w:rStyle w:val="Hyperlink"/>
            <w:rFonts w:ascii="Times New Roman" w:hAnsi="Times New Roman" w:cs="Times New Roman"/>
          </w:rPr>
          <w:t>https://www.who.int/health-topics/cardiovascular-diseases</w:t>
        </w:r>
      </w:hyperlink>
    </w:p>
    <w:p w14:paraId="0878BA7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I-NAMHS. 2021. Indonesia National Adolescent Mental Health Survey.</w:t>
      </w:r>
    </w:p>
    <w:p w14:paraId="1CC2CC68" w14:textId="4C725F9E" w:rsidR="0052261C" w:rsidRPr="0052261C" w:rsidRDefault="0052261C" w:rsidP="00C4447E">
      <w:pPr>
        <w:jc w:val="both"/>
        <w:rPr>
          <w:rFonts w:ascii="Times New Roman" w:hAnsi="Times New Roman" w:cs="Times New Roman"/>
          <w:lang w:val="en-US"/>
        </w:rPr>
      </w:pPr>
    </w:p>
    <w:p w14:paraId="226DF3C2" w14:textId="782875F7" w:rsidR="00F150B2" w:rsidRPr="0052261C" w:rsidRDefault="0052261C" w:rsidP="0052261C">
      <w:pPr>
        <w:jc w:val="both"/>
        <w:rPr>
          <w:rFonts w:ascii="Times New Roman" w:hAnsi="Times New Roman" w:cs="Times New Roman"/>
        </w:rPr>
      </w:pPr>
      <w:r w:rsidRPr="0052261C">
        <w:rPr>
          <w:rFonts w:ascii="Times New Roman" w:hAnsi="Times New Roman" w:cs="Times New Roman"/>
        </w:rPr>
        <w:fldChar w:fldCharType="end"/>
      </w:r>
    </w:p>
    <w:sectPr w:rsidR="00F150B2" w:rsidRPr="00522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11EA"/>
    <w:multiLevelType w:val="hybridMultilevel"/>
    <w:tmpl w:val="D4C2D2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0904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61C"/>
    <w:rsid w:val="00000F1E"/>
    <w:rsid w:val="00052C55"/>
    <w:rsid w:val="00077B8F"/>
    <w:rsid w:val="0009305C"/>
    <w:rsid w:val="00093B40"/>
    <w:rsid w:val="00095547"/>
    <w:rsid w:val="000E1535"/>
    <w:rsid w:val="00134B27"/>
    <w:rsid w:val="00202DA5"/>
    <w:rsid w:val="00215E25"/>
    <w:rsid w:val="0023381E"/>
    <w:rsid w:val="00233826"/>
    <w:rsid w:val="00253B4C"/>
    <w:rsid w:val="002B5B7B"/>
    <w:rsid w:val="002D4C0D"/>
    <w:rsid w:val="0031193F"/>
    <w:rsid w:val="0036726A"/>
    <w:rsid w:val="003A4F73"/>
    <w:rsid w:val="00401319"/>
    <w:rsid w:val="00466D45"/>
    <w:rsid w:val="004C5FDF"/>
    <w:rsid w:val="004D16F1"/>
    <w:rsid w:val="004E4B25"/>
    <w:rsid w:val="0052261C"/>
    <w:rsid w:val="005A5321"/>
    <w:rsid w:val="005F4763"/>
    <w:rsid w:val="006731CF"/>
    <w:rsid w:val="00674AC3"/>
    <w:rsid w:val="00704153"/>
    <w:rsid w:val="00740D45"/>
    <w:rsid w:val="00761659"/>
    <w:rsid w:val="007B31CB"/>
    <w:rsid w:val="007B615F"/>
    <w:rsid w:val="007C6A8C"/>
    <w:rsid w:val="00815541"/>
    <w:rsid w:val="00840102"/>
    <w:rsid w:val="00883479"/>
    <w:rsid w:val="008A066F"/>
    <w:rsid w:val="008F449C"/>
    <w:rsid w:val="00913E5A"/>
    <w:rsid w:val="009255C4"/>
    <w:rsid w:val="00947AB8"/>
    <w:rsid w:val="009A30FC"/>
    <w:rsid w:val="009F24C0"/>
    <w:rsid w:val="00A04F53"/>
    <w:rsid w:val="00A11C24"/>
    <w:rsid w:val="00A42741"/>
    <w:rsid w:val="00A72A77"/>
    <w:rsid w:val="00A9347D"/>
    <w:rsid w:val="00AA2820"/>
    <w:rsid w:val="00AC6203"/>
    <w:rsid w:val="00AD50D9"/>
    <w:rsid w:val="00B515E0"/>
    <w:rsid w:val="00BB296D"/>
    <w:rsid w:val="00C13225"/>
    <w:rsid w:val="00C265F1"/>
    <w:rsid w:val="00C4447E"/>
    <w:rsid w:val="00DC3173"/>
    <w:rsid w:val="00DD4918"/>
    <w:rsid w:val="00DE2DD2"/>
    <w:rsid w:val="00E36B82"/>
    <w:rsid w:val="00ED2A96"/>
    <w:rsid w:val="00F150B2"/>
    <w:rsid w:val="00F1698F"/>
    <w:rsid w:val="00F74B7F"/>
    <w:rsid w:val="00FC69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445D"/>
  <w15:chartTrackingRefBased/>
  <w15:docId w15:val="{7EAEA528-9AE7-411A-B703-72AFAFD2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61C"/>
    <w:rPr>
      <w:rFonts w:eastAsiaTheme="majorEastAsia" w:cstheme="majorBidi"/>
      <w:color w:val="272727" w:themeColor="text1" w:themeTint="D8"/>
    </w:rPr>
  </w:style>
  <w:style w:type="paragraph" w:styleId="Title">
    <w:name w:val="Title"/>
    <w:basedOn w:val="Normal"/>
    <w:next w:val="Normal"/>
    <w:link w:val="TitleChar"/>
    <w:uiPriority w:val="10"/>
    <w:qFormat/>
    <w:rsid w:val="0052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61C"/>
    <w:pPr>
      <w:spacing w:before="160"/>
      <w:jc w:val="center"/>
    </w:pPr>
    <w:rPr>
      <w:i/>
      <w:iCs/>
      <w:color w:val="404040" w:themeColor="text1" w:themeTint="BF"/>
    </w:rPr>
  </w:style>
  <w:style w:type="character" w:customStyle="1" w:styleId="QuoteChar">
    <w:name w:val="Quote Char"/>
    <w:basedOn w:val="DefaultParagraphFont"/>
    <w:link w:val="Quote"/>
    <w:uiPriority w:val="29"/>
    <w:rsid w:val="0052261C"/>
    <w:rPr>
      <w:i/>
      <w:iCs/>
      <w:color w:val="404040" w:themeColor="text1" w:themeTint="BF"/>
    </w:rPr>
  </w:style>
  <w:style w:type="paragraph" w:styleId="ListParagraph">
    <w:name w:val="List Paragraph"/>
    <w:basedOn w:val="Normal"/>
    <w:uiPriority w:val="34"/>
    <w:qFormat/>
    <w:rsid w:val="0052261C"/>
    <w:pPr>
      <w:ind w:left="720"/>
      <w:contextualSpacing/>
    </w:pPr>
  </w:style>
  <w:style w:type="character" w:styleId="IntenseEmphasis">
    <w:name w:val="Intense Emphasis"/>
    <w:basedOn w:val="DefaultParagraphFont"/>
    <w:uiPriority w:val="21"/>
    <w:qFormat/>
    <w:rsid w:val="0052261C"/>
    <w:rPr>
      <w:i/>
      <w:iCs/>
      <w:color w:val="2F5496" w:themeColor="accent1" w:themeShade="BF"/>
    </w:rPr>
  </w:style>
  <w:style w:type="paragraph" w:styleId="IntenseQuote">
    <w:name w:val="Intense Quote"/>
    <w:basedOn w:val="Normal"/>
    <w:next w:val="Normal"/>
    <w:link w:val="IntenseQuoteChar"/>
    <w:uiPriority w:val="30"/>
    <w:qFormat/>
    <w:rsid w:val="0052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61C"/>
    <w:rPr>
      <w:i/>
      <w:iCs/>
      <w:color w:val="2F5496" w:themeColor="accent1" w:themeShade="BF"/>
    </w:rPr>
  </w:style>
  <w:style w:type="character" w:styleId="IntenseReference">
    <w:name w:val="Intense Reference"/>
    <w:basedOn w:val="DefaultParagraphFont"/>
    <w:uiPriority w:val="32"/>
    <w:qFormat/>
    <w:rsid w:val="0052261C"/>
    <w:rPr>
      <w:b/>
      <w:bCs/>
      <w:smallCaps/>
      <w:color w:val="2F5496" w:themeColor="accent1" w:themeShade="BF"/>
      <w:spacing w:val="5"/>
    </w:rPr>
  </w:style>
  <w:style w:type="table" w:styleId="TableGrid">
    <w:name w:val="Table Grid"/>
    <w:basedOn w:val="TableNormal"/>
    <w:uiPriority w:val="39"/>
    <w:rsid w:val="00522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447E"/>
    <w:rPr>
      <w:color w:val="0563C1" w:themeColor="hyperlink"/>
      <w:u w:val="single"/>
    </w:rPr>
  </w:style>
  <w:style w:type="character" w:styleId="UnresolvedMention">
    <w:name w:val="Unresolved Mention"/>
    <w:basedOn w:val="DefaultParagraphFont"/>
    <w:uiPriority w:val="99"/>
    <w:semiHidden/>
    <w:unhideWhenUsed/>
    <w:rsid w:val="00C4447E"/>
    <w:rPr>
      <w:color w:val="605E5C"/>
      <w:shd w:val="clear" w:color="auto" w:fill="E1DFDD"/>
    </w:rPr>
  </w:style>
  <w:style w:type="paragraph" w:styleId="NormalWeb">
    <w:name w:val="Normal (Web)"/>
    <w:basedOn w:val="Normal"/>
    <w:uiPriority w:val="99"/>
    <w:semiHidden/>
    <w:unhideWhenUsed/>
    <w:rsid w:val="00077B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o.int/health-topics/cardiovascular-dise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8</Pages>
  <Words>2492</Words>
  <Characters>14210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cp:lastModifiedBy>
  <cp:revision>64</cp:revision>
  <dcterms:created xsi:type="dcterms:W3CDTF">2026-04-11T02:59:00Z</dcterms:created>
  <dcterms:modified xsi:type="dcterms:W3CDTF">2026-04-28T02:06:00Z</dcterms:modified>
</cp:coreProperties>
</file>