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2DE37608">
                <wp:simplePos x="0" y="0"/>
                <wp:positionH relativeFrom="margin">
                  <wp:posOffset>-165735</wp:posOffset>
                </wp:positionH>
                <wp:positionV relativeFrom="paragraph">
                  <wp:posOffset>26035</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2.05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12YvojBQAAcBEAAA4AAABkcnMvZTJvRG9jLnht&#10;bOxYW2/bNhR+H7D/IOi9sSXLkm3EKYZmCQp0a5B22DNNUZYQSRRI+pL++n2HFGUncd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">
                <v:group id="Group 18461" o:spid="_x0000_s1027"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0"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1"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2"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5AFC4C6F" w14:textId="7C95CEBE" w:rsidR="006E0898" w:rsidRPr="00E64FFB" w:rsidRDefault="00E64FFB" w:rsidP="00E64FFB">
      <w:pPr>
        <w:spacing w:after="0" w:line="240" w:lineRule="auto"/>
        <w:rPr>
          <w:rFonts w:eastAsia="Calibri" w:cs="Times New Roman"/>
          <w:b/>
          <w:sz w:val="36"/>
          <w:szCs w:val="36"/>
        </w:rPr>
      </w:pPr>
      <w:r w:rsidRPr="002D6F1A">
        <w:rPr>
          <w:rFonts w:eastAsia="Calibri" w:cs="Times New Roman"/>
          <w:b/>
          <w:sz w:val="36"/>
          <w:szCs w:val="36"/>
        </w:rPr>
        <w:t>THE EFFECTS OF THE CONSUMPTION OF PUREBRED CHICKEN EGGS ON HEMOGLOBIN LEVEL AND MID-UPPER ARM CIRCUMFERENCE AMONG PREGNANT WOMEN WITH CHRONIC ENERGY DEFICIENCY</w:t>
      </w:r>
    </w:p>
    <w:p w14:paraId="34F8043B" w14:textId="37C2227C" w:rsidR="00664C6B" w:rsidRDefault="00000000">
      <w:pPr>
        <w:pStyle w:val="Heading1"/>
        <w:spacing w:after="0"/>
        <w:ind w:left="-5"/>
      </w:pPr>
      <w:r>
        <w:rPr>
          <w:vertAlign w:val="superscript"/>
        </w:rPr>
        <w:t>1</w:t>
      </w:r>
      <w:r w:rsidR="007C5CBB" w:rsidRPr="007C5CBB">
        <w:rPr>
          <w:rFonts w:eastAsia="Calibri" w:cs="Times New Roman"/>
          <w:sz w:val="22"/>
        </w:rPr>
        <w:t xml:space="preserve"> </w:t>
      </w:r>
      <w:r w:rsidR="007C5CBB" w:rsidRPr="007C5CBB">
        <w:rPr>
          <w:rFonts w:eastAsia="Calibri" w:cs="Times New Roman"/>
          <w:szCs w:val="24"/>
        </w:rPr>
        <w:t>Sitti Aisa</w:t>
      </w:r>
      <w:r w:rsidRPr="007C5CBB">
        <w:rPr>
          <w:szCs w:val="24"/>
        </w:rPr>
        <w:t xml:space="preserve">*, </w:t>
      </w:r>
      <w:r w:rsidRPr="007C5CBB">
        <w:rPr>
          <w:szCs w:val="24"/>
          <w:vertAlign w:val="superscript"/>
        </w:rPr>
        <w:t>2</w:t>
      </w:r>
      <w:r w:rsidR="007C5CBB" w:rsidRPr="007C5CBB">
        <w:rPr>
          <w:rFonts w:eastAsia="Calibri" w:cs="Times New Roman"/>
          <w:szCs w:val="24"/>
        </w:rPr>
        <w:t xml:space="preserve"> </w:t>
      </w:r>
      <w:proofErr w:type="spellStart"/>
      <w:r w:rsidR="007C5CBB" w:rsidRPr="007C5CBB">
        <w:rPr>
          <w:rFonts w:eastAsia="Calibri" w:cs="Times New Roman"/>
          <w:szCs w:val="24"/>
        </w:rPr>
        <w:t>Nurmiaty</w:t>
      </w:r>
      <w:proofErr w:type="spellEnd"/>
      <w:r w:rsidR="007C5CBB" w:rsidRPr="007C5CBB">
        <w:rPr>
          <w:rFonts w:eastAsia="Calibri" w:cs="Times New Roman"/>
          <w:szCs w:val="24"/>
        </w:rPr>
        <w:t xml:space="preserve">, </w:t>
      </w:r>
      <w:r w:rsidR="007C5CBB" w:rsidRPr="007C5CBB">
        <w:rPr>
          <w:rFonts w:eastAsia="Calibri" w:cs="Times New Roman"/>
          <w:szCs w:val="24"/>
          <w:vertAlign w:val="superscript"/>
        </w:rPr>
        <w:t xml:space="preserve">1 </w:t>
      </w:r>
      <w:r w:rsidR="007C5CBB" w:rsidRPr="007C5CBB">
        <w:rPr>
          <w:rFonts w:eastAsia="Calibri" w:cs="Times New Roman"/>
          <w:szCs w:val="24"/>
          <w:lang w:val="id-ID"/>
        </w:rPr>
        <w:t xml:space="preserve">Hesti Wulandari, </w:t>
      </w:r>
      <w:r w:rsidR="007C5CBB" w:rsidRPr="007C5CBB">
        <w:rPr>
          <w:rFonts w:eastAsia="Calibri" w:cs="Times New Roman"/>
          <w:szCs w:val="24"/>
          <w:vertAlign w:val="superscript"/>
          <w:lang w:val="id-ID"/>
        </w:rPr>
        <w:t>3</w:t>
      </w:r>
      <w:r w:rsidR="007C5CBB" w:rsidRPr="007C5CBB">
        <w:rPr>
          <w:rFonts w:eastAsia="Calibri" w:cs="Times New Roman"/>
          <w:szCs w:val="24"/>
        </w:rPr>
        <w:t xml:space="preserve"> Ni Gusti </w:t>
      </w:r>
      <w:proofErr w:type="spellStart"/>
      <w:r w:rsidR="007C5CBB" w:rsidRPr="007C5CBB">
        <w:rPr>
          <w:rFonts w:eastAsia="Calibri" w:cs="Times New Roman"/>
          <w:szCs w:val="24"/>
        </w:rPr>
        <w:t>Kompiang</w:t>
      </w:r>
      <w:proofErr w:type="spellEnd"/>
      <w:r w:rsidR="007C5CBB" w:rsidRPr="007C5CBB">
        <w:rPr>
          <w:rFonts w:eastAsia="Calibri" w:cs="Times New Roman"/>
          <w:szCs w:val="24"/>
        </w:rPr>
        <w:t xml:space="preserve"> Sri Asi</w:t>
      </w:r>
      <w:r w:rsidR="007C5CBB">
        <w:rPr>
          <w:rFonts w:eastAsia="Calibri" w:cs="Times New Roman"/>
          <w:sz w:val="22"/>
        </w:rPr>
        <w:t xml:space="preserve"> </w:t>
      </w:r>
    </w:p>
    <w:p w14:paraId="29C7183D" w14:textId="7C10A55A" w:rsidR="00664C6B" w:rsidRDefault="006E0898">
      <w:pPr>
        <w:spacing w:after="0" w:line="259" w:lineRule="auto"/>
        <w:ind w:left="0" w:right="0" w:firstLine="0"/>
        <w:jc w:val="left"/>
      </w:pPr>
      <w:r>
        <w:rPr>
          <w:sz w:val="20"/>
        </w:rPr>
        <w:t xml:space="preserve">Corresponding Author: </w:t>
      </w:r>
      <w:r>
        <w:rPr>
          <w:b/>
          <w:sz w:val="20"/>
          <w:vertAlign w:val="superscript"/>
        </w:rPr>
        <w:t xml:space="preserve">* </w:t>
      </w:r>
      <w:r w:rsidR="003C1D1A" w:rsidRPr="003C1D1A">
        <w:rPr>
          <w:color w:val="0000FF"/>
          <w:sz w:val="20"/>
          <w:u w:val="single" w:color="0000FF"/>
        </w:rPr>
        <w:t>sittiaisakeb@gmail.com</w:t>
      </w:r>
      <w:r>
        <w:rPr>
          <w:sz w:val="20"/>
        </w:rPr>
        <w:t xml:space="preserve">  </w:t>
      </w:r>
    </w:p>
    <w:p w14:paraId="73C77428" w14:textId="5ACE56DE" w:rsidR="006E0898" w:rsidRDefault="00000000" w:rsidP="007C5CBB">
      <w:pPr>
        <w:spacing w:after="0" w:line="360" w:lineRule="auto"/>
        <w:ind w:right="0"/>
        <w:rPr>
          <w:rFonts w:eastAsia="Calibri" w:cs="Times New Roman"/>
          <w:bCs/>
          <w:sz w:val="20"/>
          <w:szCs w:val="20"/>
        </w:rPr>
      </w:pPr>
      <w:r w:rsidRPr="007C5CBB">
        <w:rPr>
          <w:sz w:val="20"/>
          <w:vertAlign w:val="superscript"/>
        </w:rPr>
        <w:t>1</w:t>
      </w:r>
      <w:r w:rsidR="006E0898" w:rsidRPr="006E0898">
        <w:t xml:space="preserve"> </w:t>
      </w:r>
      <w:proofErr w:type="spellStart"/>
      <w:r w:rsidR="00BB4B59" w:rsidRPr="00BB4B59">
        <w:rPr>
          <w:rFonts w:eastAsia="Calibri" w:cs="Times New Roman"/>
          <w:bCs/>
          <w:sz w:val="20"/>
          <w:szCs w:val="20"/>
        </w:rPr>
        <w:t>Poltekkes</w:t>
      </w:r>
      <w:proofErr w:type="spellEnd"/>
      <w:r w:rsidR="00BB4B59" w:rsidRPr="00BB4B59">
        <w:rPr>
          <w:rFonts w:eastAsia="Calibri" w:cs="Times New Roman"/>
          <w:bCs/>
          <w:sz w:val="20"/>
          <w:szCs w:val="20"/>
        </w:rPr>
        <w:t xml:space="preserve"> </w:t>
      </w:r>
      <w:proofErr w:type="spellStart"/>
      <w:r w:rsidR="00BB4B59" w:rsidRPr="00BB4B59">
        <w:rPr>
          <w:rFonts w:eastAsia="Calibri" w:cs="Times New Roman"/>
          <w:bCs/>
          <w:sz w:val="20"/>
          <w:szCs w:val="20"/>
        </w:rPr>
        <w:t>Kemenkes</w:t>
      </w:r>
      <w:proofErr w:type="spellEnd"/>
      <w:r w:rsidR="00BB4B59" w:rsidRPr="00BB4B59">
        <w:rPr>
          <w:rFonts w:eastAsia="Calibri" w:cs="Times New Roman"/>
          <w:bCs/>
          <w:sz w:val="20"/>
          <w:szCs w:val="20"/>
        </w:rPr>
        <w:t xml:space="preserve"> Kendari, Faculty of Midwifery, Indonesia</w:t>
      </w:r>
    </w:p>
    <w:p w14:paraId="56FF6CB5" w14:textId="76111C6B" w:rsidR="007C5CBB" w:rsidRPr="007C5CBB" w:rsidRDefault="007C5CBB" w:rsidP="007C5CBB">
      <w:pPr>
        <w:spacing w:after="0" w:line="360" w:lineRule="auto"/>
        <w:ind w:right="0"/>
        <w:rPr>
          <w:rFonts w:eastAsia="Calibri" w:cs="Times New Roman"/>
          <w:bCs/>
          <w:sz w:val="20"/>
          <w:szCs w:val="20"/>
        </w:rPr>
      </w:pPr>
      <w:r>
        <w:rPr>
          <w:sz w:val="20"/>
          <w:vertAlign w:val="superscript"/>
        </w:rPr>
        <w:t>2</w:t>
      </w:r>
      <w:r w:rsidRPr="006E0898">
        <w:t xml:space="preserve"> </w:t>
      </w:r>
      <w:proofErr w:type="spellStart"/>
      <w:r w:rsidR="00BB4B59" w:rsidRPr="00BB4B59">
        <w:rPr>
          <w:rFonts w:eastAsia="Calibri" w:cs="Times New Roman"/>
          <w:bCs/>
          <w:sz w:val="20"/>
          <w:szCs w:val="20"/>
        </w:rPr>
        <w:t>Poltekkes</w:t>
      </w:r>
      <w:proofErr w:type="spellEnd"/>
      <w:r w:rsidR="00BB4B59" w:rsidRPr="00BB4B59">
        <w:rPr>
          <w:rFonts w:eastAsia="Calibri" w:cs="Times New Roman"/>
          <w:bCs/>
          <w:sz w:val="20"/>
          <w:szCs w:val="20"/>
        </w:rPr>
        <w:t xml:space="preserve"> </w:t>
      </w:r>
      <w:proofErr w:type="spellStart"/>
      <w:r w:rsidR="00BB4B59" w:rsidRPr="00BB4B59">
        <w:rPr>
          <w:rFonts w:eastAsia="Calibri" w:cs="Times New Roman"/>
          <w:bCs/>
          <w:sz w:val="20"/>
          <w:szCs w:val="20"/>
        </w:rPr>
        <w:t>Kemenkes</w:t>
      </w:r>
      <w:proofErr w:type="spellEnd"/>
      <w:r w:rsidR="00BB4B59" w:rsidRPr="00BB4B59">
        <w:rPr>
          <w:rFonts w:eastAsia="Calibri" w:cs="Times New Roman"/>
          <w:bCs/>
          <w:sz w:val="20"/>
          <w:szCs w:val="20"/>
        </w:rPr>
        <w:t xml:space="preserve"> </w:t>
      </w:r>
      <w:r w:rsidR="00BB4B59">
        <w:rPr>
          <w:rFonts w:eastAsia="Calibri" w:cs="Times New Roman"/>
          <w:bCs/>
          <w:sz w:val="20"/>
          <w:szCs w:val="20"/>
        </w:rPr>
        <w:t>Palu</w:t>
      </w:r>
      <w:r w:rsidR="00BB4B59" w:rsidRPr="00BB4B59">
        <w:rPr>
          <w:rFonts w:eastAsia="Calibri" w:cs="Times New Roman"/>
          <w:bCs/>
          <w:sz w:val="20"/>
          <w:szCs w:val="20"/>
        </w:rPr>
        <w:t>, Faculty of Midwifery, Indonesia</w:t>
      </w:r>
    </w:p>
    <w:p w14:paraId="302B652A" w14:textId="76AB0574" w:rsidR="00664C6B" w:rsidRDefault="007C5CBB" w:rsidP="00BB4B59">
      <w:pPr>
        <w:spacing w:after="0" w:line="360" w:lineRule="auto"/>
        <w:ind w:right="0"/>
        <w:rPr>
          <w:sz w:val="20"/>
        </w:rPr>
      </w:pPr>
      <w:r>
        <w:rPr>
          <w:noProof/>
        </w:rPr>
        <mc:AlternateContent>
          <mc:Choice Requires="wps">
            <w:drawing>
              <wp:anchor distT="0" distB="0" distL="114300" distR="114300" simplePos="0" relativeHeight="251664384" behindDoc="0" locked="0" layoutInCell="1" allowOverlap="1" wp14:anchorId="14368089" wp14:editId="66D7123A">
                <wp:simplePos x="0" y="0"/>
                <wp:positionH relativeFrom="margin">
                  <wp:align>center</wp:align>
                </wp:positionH>
                <wp:positionV relativeFrom="paragraph">
                  <wp:posOffset>248285</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174876DF" id="Shape 19995" o:spid="_x0000_s1026" style="position:absolute;margin-left:0;margin-top:19.55pt;width:463.15pt;height:0;z-index:251664384;visibility:visible;mso-wrap-style:square;mso-wrap-distance-left:9pt;mso-wrap-distance-top:0;mso-wrap-distance-right:9pt;mso-wrap-distance-bottom:0;mso-position-horizontal:center;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" path="m,l155448,r,18288l,18288,,e" fillcolor="#2f5496 [2404]" strokecolor="#2f5496 [2404]" strokeweight="2.25pt">
                <v:stroke miterlimit="66585f" joinstyle="miter"/>
                <v:path arrowok="t" textboxrect="0,0,155448,18288"/>
                <w10:wrap anchorx="margin"/>
              </v:shape>
            </w:pict>
          </mc:Fallback>
        </mc:AlternateContent>
      </w:r>
      <w:r>
        <w:rPr>
          <w:sz w:val="20"/>
          <w:vertAlign w:val="superscript"/>
        </w:rPr>
        <w:t>3</w:t>
      </w:r>
      <w:r w:rsidRPr="006E0898">
        <w:t xml:space="preserve"> </w:t>
      </w:r>
      <w:proofErr w:type="spellStart"/>
      <w:r w:rsidR="00BB4B59" w:rsidRPr="00BB4B59">
        <w:rPr>
          <w:rFonts w:eastAsia="Calibri" w:cs="Times New Roman"/>
          <w:bCs/>
          <w:sz w:val="20"/>
          <w:szCs w:val="20"/>
        </w:rPr>
        <w:t>Poltekkes</w:t>
      </w:r>
      <w:proofErr w:type="spellEnd"/>
      <w:r w:rsidR="00BB4B59" w:rsidRPr="00BB4B59">
        <w:rPr>
          <w:rFonts w:eastAsia="Calibri" w:cs="Times New Roman"/>
          <w:bCs/>
          <w:sz w:val="20"/>
          <w:szCs w:val="20"/>
        </w:rPr>
        <w:t xml:space="preserve"> </w:t>
      </w:r>
      <w:proofErr w:type="spellStart"/>
      <w:r w:rsidR="00BB4B59" w:rsidRPr="00BB4B59">
        <w:rPr>
          <w:rFonts w:eastAsia="Calibri" w:cs="Times New Roman"/>
          <w:bCs/>
          <w:sz w:val="20"/>
          <w:szCs w:val="20"/>
        </w:rPr>
        <w:t>Kemenkes</w:t>
      </w:r>
      <w:proofErr w:type="spellEnd"/>
      <w:r w:rsidR="00BB4B59" w:rsidRPr="00BB4B59">
        <w:rPr>
          <w:rFonts w:eastAsia="Calibri" w:cs="Times New Roman"/>
          <w:bCs/>
          <w:sz w:val="20"/>
          <w:szCs w:val="20"/>
        </w:rPr>
        <w:t xml:space="preserve"> </w:t>
      </w:r>
      <w:r w:rsidR="00BB4B59">
        <w:rPr>
          <w:rFonts w:eastAsia="Calibri" w:cs="Times New Roman"/>
          <w:bCs/>
          <w:sz w:val="20"/>
          <w:szCs w:val="20"/>
        </w:rPr>
        <w:t>Denpasar</w:t>
      </w:r>
      <w:r w:rsidR="00BB4B59" w:rsidRPr="00BB4B59">
        <w:rPr>
          <w:rFonts w:eastAsia="Calibri" w:cs="Times New Roman"/>
          <w:bCs/>
          <w:sz w:val="20"/>
          <w:szCs w:val="20"/>
        </w:rPr>
        <w:t>, Faculty of Midwifery, Indonesia</w:t>
      </w:r>
      <w:r w:rsidR="00000000">
        <w:rPr>
          <w:b/>
          <w:sz w:val="20"/>
        </w:rPr>
        <w:t xml:space="preserve"> </w:t>
      </w:r>
      <w:r w:rsidR="00000000">
        <w:rPr>
          <w:b/>
          <w:sz w:val="20"/>
        </w:rPr>
        <w:tab/>
      </w:r>
      <w:r w:rsidR="00000000">
        <w:rPr>
          <w:sz w:val="20"/>
        </w:rPr>
        <w:t xml:space="preserve"> </w:t>
      </w:r>
    </w:p>
    <w:p w14:paraId="2245A1AE" w14:textId="77777777" w:rsidR="00BB4B59" w:rsidRDefault="00BB4B59" w:rsidP="00BB4B59">
      <w:pPr>
        <w:spacing w:after="0" w:line="360" w:lineRule="auto"/>
        <w:ind w:right="0"/>
      </w:pPr>
    </w:p>
    <w:p w14:paraId="0BD4D115" w14:textId="5551A3F1" w:rsidR="00664C6B" w:rsidRDefault="00000000">
      <w:pPr>
        <w:tabs>
          <w:tab w:val="center" w:pos="3314"/>
        </w:tabs>
        <w:spacing w:after="53" w:line="254" w:lineRule="auto"/>
        <w:ind w:left="-15" w:right="0" w:firstLine="0"/>
        <w:jc w:val="left"/>
      </w:pPr>
      <w:r>
        <w:rPr>
          <w:sz w:val="20"/>
        </w:rPr>
        <w:tab/>
        <w:t>ABSTRACT</w:t>
      </w:r>
      <w:r>
        <w:rPr>
          <w:b/>
          <w:sz w:val="20"/>
        </w:rPr>
        <w:t xml:space="preserve"> </w:t>
      </w:r>
    </w:p>
    <w:tbl>
      <w:tblPr>
        <w:tblStyle w:val="TableGrid"/>
        <w:tblW w:w="9168"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977"/>
        <w:gridCol w:w="6191"/>
      </w:tblGrid>
      <w:tr w:rsidR="00664C6B" w14:paraId="761EE158" w14:textId="77777777" w:rsidTr="00D94FA8">
        <w:trPr>
          <w:trHeight w:val="1237"/>
        </w:trPr>
        <w:tc>
          <w:tcPr>
            <w:tcW w:w="2977"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4ACAB648" w14:textId="77777777" w:rsidR="00E64FFB" w:rsidRDefault="00E64FFB">
            <w:pPr>
              <w:spacing w:after="0" w:line="259" w:lineRule="auto"/>
              <w:ind w:left="0" w:right="0" w:firstLine="0"/>
              <w:jc w:val="left"/>
              <w:rPr>
                <w:b/>
              </w:rPr>
            </w:pPr>
          </w:p>
          <w:p w14:paraId="2BFC65CB" w14:textId="77777777" w:rsidR="002A3672" w:rsidRDefault="002A3672">
            <w:pPr>
              <w:spacing w:after="0" w:line="259" w:lineRule="auto"/>
              <w:ind w:left="0" w:right="0" w:firstLine="0"/>
              <w:jc w:val="left"/>
              <w:rPr>
                <w:b/>
                <w:i/>
              </w:rPr>
            </w:pPr>
          </w:p>
          <w:p w14:paraId="1FEFB483" w14:textId="77777777" w:rsidR="002A3672" w:rsidRDefault="002A3672">
            <w:pPr>
              <w:spacing w:after="0" w:line="259" w:lineRule="auto"/>
              <w:ind w:left="0" w:right="0" w:firstLine="0"/>
              <w:jc w:val="left"/>
              <w:rPr>
                <w:i/>
              </w:rPr>
            </w:pPr>
          </w:p>
          <w:p w14:paraId="3393499A" w14:textId="77777777" w:rsidR="00E64FFB" w:rsidRDefault="00E64FFB" w:rsidP="00E64FFB">
            <w:pPr>
              <w:spacing w:after="0" w:line="259" w:lineRule="auto"/>
              <w:ind w:left="0" w:right="0" w:firstLine="0"/>
              <w:jc w:val="left"/>
              <w:rPr>
                <w:b/>
              </w:rPr>
            </w:pPr>
          </w:p>
          <w:p w14:paraId="7E9EDE4F" w14:textId="77777777" w:rsidR="00E64FFB" w:rsidRDefault="00E64FFB" w:rsidP="00E64FFB">
            <w:pPr>
              <w:spacing w:after="0" w:line="259" w:lineRule="auto"/>
              <w:ind w:left="0" w:right="0" w:firstLine="0"/>
              <w:jc w:val="left"/>
              <w:rPr>
                <w:b/>
              </w:rPr>
            </w:pPr>
          </w:p>
          <w:p w14:paraId="7995BBEC" w14:textId="77777777" w:rsidR="00E64FFB" w:rsidRDefault="00E64FFB" w:rsidP="00E64FFB">
            <w:pPr>
              <w:spacing w:after="0" w:line="259" w:lineRule="auto"/>
              <w:ind w:left="0" w:right="0" w:firstLine="0"/>
              <w:jc w:val="left"/>
              <w:rPr>
                <w:b/>
              </w:rPr>
            </w:pPr>
          </w:p>
          <w:p w14:paraId="2CA5ED99" w14:textId="77777777" w:rsidR="00E64FFB" w:rsidRDefault="00E64FFB" w:rsidP="00E64FFB">
            <w:pPr>
              <w:spacing w:after="0" w:line="259" w:lineRule="auto"/>
              <w:ind w:left="0" w:right="0" w:firstLine="0"/>
              <w:jc w:val="left"/>
              <w:rPr>
                <w:b/>
              </w:rPr>
            </w:pPr>
          </w:p>
          <w:p w14:paraId="26E69ACE" w14:textId="77777777" w:rsidR="00E64FFB" w:rsidRDefault="00E64FFB" w:rsidP="00E64FFB">
            <w:pPr>
              <w:spacing w:after="0" w:line="259" w:lineRule="auto"/>
              <w:ind w:left="0" w:right="0" w:firstLine="0"/>
              <w:jc w:val="left"/>
              <w:rPr>
                <w:b/>
              </w:rPr>
            </w:pPr>
          </w:p>
          <w:p w14:paraId="24CC668B" w14:textId="77777777" w:rsidR="00E64FFB" w:rsidRDefault="00E64FFB" w:rsidP="00E64FFB">
            <w:pPr>
              <w:spacing w:after="0" w:line="259" w:lineRule="auto"/>
              <w:ind w:left="0" w:right="0" w:firstLine="0"/>
              <w:jc w:val="left"/>
              <w:rPr>
                <w:b/>
              </w:rPr>
            </w:pPr>
          </w:p>
          <w:p w14:paraId="597B9D5D" w14:textId="77777777" w:rsidR="00E64FFB" w:rsidRDefault="00E64FFB" w:rsidP="00E64FFB">
            <w:pPr>
              <w:spacing w:after="0" w:line="259" w:lineRule="auto"/>
              <w:ind w:left="0" w:right="0" w:firstLine="0"/>
              <w:jc w:val="left"/>
              <w:rPr>
                <w:b/>
              </w:rPr>
            </w:pPr>
          </w:p>
          <w:p w14:paraId="193F2CAD" w14:textId="77777777" w:rsidR="00E64FFB" w:rsidRDefault="00E64FFB" w:rsidP="00E64FFB">
            <w:pPr>
              <w:spacing w:after="0" w:line="259" w:lineRule="auto"/>
              <w:ind w:left="0" w:right="0" w:firstLine="0"/>
              <w:jc w:val="left"/>
              <w:rPr>
                <w:b/>
              </w:rPr>
            </w:pPr>
          </w:p>
          <w:p w14:paraId="5DBFC870" w14:textId="7650EA73" w:rsidR="00E64FFB" w:rsidRPr="00C929A8" w:rsidRDefault="00E64FFB" w:rsidP="00E64FFB">
            <w:pPr>
              <w:spacing w:after="0" w:line="259" w:lineRule="auto"/>
              <w:ind w:left="0" w:right="0" w:firstLine="0"/>
              <w:jc w:val="left"/>
            </w:pPr>
            <w:r w:rsidRPr="00C929A8">
              <w:rPr>
                <w:b/>
              </w:rPr>
              <w:t xml:space="preserve">Keywords </w:t>
            </w:r>
          </w:p>
          <w:p w14:paraId="7071D6C4" w14:textId="143890F2" w:rsidR="00D94FA8" w:rsidRDefault="00C81805" w:rsidP="00E64FFB">
            <w:pPr>
              <w:spacing w:after="0" w:line="259" w:lineRule="auto"/>
              <w:ind w:left="0" w:right="0" w:firstLine="0"/>
              <w:jc w:val="left"/>
              <w:rPr>
                <w:rFonts w:eastAsia="Calibri" w:cs="Times New Roman"/>
                <w:bCs/>
              </w:rPr>
            </w:pPr>
            <w:r w:rsidRPr="002D6F1A">
              <w:rPr>
                <w:rFonts w:eastAsia="Calibri" w:cs="Times New Roman"/>
                <w:bCs/>
              </w:rPr>
              <w:t>chronic energy deficiency</w:t>
            </w:r>
          </w:p>
          <w:p w14:paraId="22358057" w14:textId="0C865902" w:rsidR="00D94FA8" w:rsidRDefault="00C81805" w:rsidP="00E64FFB">
            <w:pPr>
              <w:spacing w:after="0" w:line="259" w:lineRule="auto"/>
              <w:ind w:left="0" w:right="0" w:firstLine="0"/>
              <w:jc w:val="left"/>
            </w:pPr>
            <w:r>
              <w:rPr>
                <w:rFonts w:eastAsia="Calibri" w:cs="Times New Roman"/>
                <w:bCs/>
              </w:rPr>
              <w:t>p</w:t>
            </w:r>
            <w:r w:rsidRPr="002D6F1A">
              <w:rPr>
                <w:rFonts w:eastAsia="Calibri" w:cs="Times New Roman"/>
                <w:bCs/>
              </w:rPr>
              <w:t>regnancy</w:t>
            </w:r>
            <w:r w:rsidRPr="00C929A8">
              <w:t xml:space="preserve"> </w:t>
            </w:r>
          </w:p>
          <w:p w14:paraId="4E29AED4" w14:textId="7CF61572" w:rsidR="00D94FA8" w:rsidRDefault="00C81805" w:rsidP="00E64FFB">
            <w:pPr>
              <w:spacing w:after="0" w:line="259" w:lineRule="auto"/>
              <w:ind w:left="0" w:right="0" w:firstLine="0"/>
              <w:jc w:val="left"/>
            </w:pPr>
            <w:r>
              <w:rPr>
                <w:rFonts w:eastAsia="Calibri" w:cs="Times New Roman"/>
                <w:bCs/>
              </w:rPr>
              <w:t>b</w:t>
            </w:r>
            <w:r w:rsidRPr="002D6F1A">
              <w:rPr>
                <w:rFonts w:eastAsia="Calibri" w:cs="Times New Roman"/>
                <w:bCs/>
              </w:rPr>
              <w:t>oiled purebred chicken eggs</w:t>
            </w:r>
            <w:r w:rsidRPr="00C929A8">
              <w:t xml:space="preserve"> </w:t>
            </w:r>
          </w:p>
          <w:p w14:paraId="6667D732" w14:textId="2F44494D" w:rsidR="00664C6B" w:rsidRPr="00C929A8" w:rsidRDefault="00C81805" w:rsidP="00E64FFB">
            <w:pPr>
              <w:spacing w:after="0" w:line="259" w:lineRule="auto"/>
              <w:ind w:left="0" w:right="0" w:firstLine="0"/>
              <w:jc w:val="left"/>
            </w:pPr>
            <w:r w:rsidRPr="002D6F1A">
              <w:rPr>
                <w:rFonts w:eastAsia="Calibri" w:cs="Times New Roman"/>
                <w:bCs/>
              </w:rPr>
              <w:t>mid-upper arm circumference</w:t>
            </w:r>
            <w:r>
              <w:rPr>
                <w:rFonts w:eastAsia="Calibri" w:cs="Times New Roman"/>
                <w:bCs/>
              </w:rPr>
              <w:t xml:space="preserve"> </w:t>
            </w:r>
            <w:r w:rsidRPr="00C929A8">
              <w:t xml:space="preserve">  </w:t>
            </w:r>
            <w:r>
              <w:t>h</w:t>
            </w:r>
            <w:r w:rsidRPr="002D6F1A">
              <w:rPr>
                <w:rFonts w:eastAsia="Calibri" w:cs="Times New Roman"/>
                <w:bCs/>
              </w:rPr>
              <w:t>emoglobin</w:t>
            </w:r>
            <w:r w:rsidRPr="00C929A8">
              <w:rPr>
                <w:i/>
              </w:rPr>
              <w:t xml:space="preserve"> </w:t>
            </w:r>
          </w:p>
        </w:tc>
        <w:tc>
          <w:tcPr>
            <w:tcW w:w="6191" w:type="dxa"/>
            <w:tcBorders>
              <w:top w:val="single" w:sz="4" w:space="0" w:color="2F5496"/>
              <w:bottom w:val="nil"/>
            </w:tcBorders>
            <w:shd w:val="clear" w:color="auto" w:fill="D9D9D9"/>
          </w:tcPr>
          <w:p w14:paraId="500656FD" w14:textId="77777777" w:rsidR="006E0898" w:rsidRDefault="006E0898">
            <w:pPr>
              <w:spacing w:after="0" w:line="259" w:lineRule="auto"/>
              <w:ind w:left="240" w:right="195" w:firstLine="0"/>
            </w:pPr>
          </w:p>
          <w:p w14:paraId="38C9CF57" w14:textId="5BCAFE48" w:rsidR="002948A8" w:rsidRPr="002948A8" w:rsidRDefault="002948A8" w:rsidP="002948A8">
            <w:pPr>
              <w:spacing w:after="0" w:line="240" w:lineRule="auto"/>
              <w:rPr>
                <w:rFonts w:eastAsia="Calibri" w:cs="Times New Roman"/>
                <w:bCs/>
                <w:lang w:val="en-ID"/>
              </w:rPr>
            </w:pPr>
            <w:r w:rsidRPr="002948A8">
              <w:rPr>
                <w:rFonts w:eastAsia="Calibri" w:cs="Times New Roman"/>
                <w:bCs/>
                <w:lang w:val="en-ID"/>
              </w:rPr>
              <w:t xml:space="preserve">Chronic energy deficiency (CED) among pregnant women remains a significant public health problem, particularly in low- and middle-income settings. Inadequate intake of energy and protein may increase the risk of maternal malnutrition, </w:t>
            </w:r>
            <w:proofErr w:type="spellStart"/>
            <w:r w:rsidRPr="002948A8">
              <w:rPr>
                <w:rFonts w:eastAsia="Calibri" w:cs="Times New Roman"/>
                <w:bCs/>
                <w:lang w:val="en-ID"/>
              </w:rPr>
              <w:t>anemia</w:t>
            </w:r>
            <w:proofErr w:type="spellEnd"/>
            <w:r w:rsidRPr="002948A8">
              <w:rPr>
                <w:rFonts w:eastAsia="Calibri" w:cs="Times New Roman"/>
                <w:bCs/>
                <w:lang w:val="en-ID"/>
              </w:rPr>
              <w:t xml:space="preserve">, and adverse pregnancy outcomes. Purebred chicken eggs are a readily available animal protein source with high nutritional value. This study aimed to examine the effect of boiled purebred chicken egg consumption on </w:t>
            </w:r>
            <w:proofErr w:type="spellStart"/>
            <w:r w:rsidRPr="002948A8">
              <w:rPr>
                <w:rFonts w:eastAsia="Calibri" w:cs="Times New Roman"/>
                <w:bCs/>
                <w:lang w:val="en-ID"/>
              </w:rPr>
              <w:t>hemoglobin</w:t>
            </w:r>
            <w:proofErr w:type="spellEnd"/>
            <w:r w:rsidRPr="002948A8">
              <w:rPr>
                <w:rFonts w:eastAsia="Calibri" w:cs="Times New Roman"/>
                <w:bCs/>
                <w:lang w:val="en-ID"/>
              </w:rPr>
              <w:t xml:space="preserve"> (Hb) levels and mid-upper arm circumference (MUAC) among pregnant women with CED.</w:t>
            </w:r>
            <w:r>
              <w:rPr>
                <w:rFonts w:eastAsia="Calibri" w:cs="Times New Roman"/>
                <w:bCs/>
                <w:lang w:val="en-ID"/>
              </w:rPr>
              <w:t xml:space="preserve"> </w:t>
            </w:r>
            <w:r w:rsidRPr="002948A8">
              <w:rPr>
                <w:rFonts w:eastAsia="Calibri" w:cs="Times New Roman"/>
                <w:bCs/>
                <w:lang w:val="en-ID"/>
              </w:rPr>
              <w:t xml:space="preserve">This study employed a quasi-experimental design with a non-equivalent comparison group. A total of 60 pregnant women with CED were recruited and allocated into two groups: an intervention group that consumed two boiled eggs per day and a comparison group that consumed one boiled egg per day for eight weeks. Measurements of Hb levels and MUAC were conducted before and after the intervention. Data were </w:t>
            </w:r>
            <w:proofErr w:type="spellStart"/>
            <w:r w:rsidRPr="002948A8">
              <w:rPr>
                <w:rFonts w:eastAsia="Calibri" w:cs="Times New Roman"/>
                <w:bCs/>
                <w:lang w:val="en-ID"/>
              </w:rPr>
              <w:t>analyzed</w:t>
            </w:r>
            <w:proofErr w:type="spellEnd"/>
            <w:r w:rsidRPr="002948A8">
              <w:rPr>
                <w:rFonts w:eastAsia="Calibri" w:cs="Times New Roman"/>
                <w:bCs/>
                <w:lang w:val="en-ID"/>
              </w:rPr>
              <w:t xml:space="preserve"> using paired and independent t-tests with a significance level of p &lt; 0.05.</w:t>
            </w:r>
            <w:r>
              <w:rPr>
                <w:rFonts w:eastAsia="Calibri" w:cs="Times New Roman"/>
                <w:bCs/>
                <w:lang w:val="en-ID"/>
              </w:rPr>
              <w:t xml:space="preserve"> </w:t>
            </w:r>
            <w:r w:rsidRPr="002948A8">
              <w:rPr>
                <w:rFonts w:eastAsia="Calibri" w:cs="Times New Roman"/>
                <w:bCs/>
                <w:lang w:val="en-ID"/>
              </w:rPr>
              <w:t>The results showed that both groups experienced improvements in Hb levels and MUAC. However, the intervention group demonstrated a greater increase in MUAC (0.63 cm) compared to the comparison group (0.29 cm). Similarly, the increase in Hb levels was higher in the intervention group (0.88 g/dL) than in the comparison group (0.72 g/dL). Independent t-test analysis indicated significant differences between groups for MUAC (p &lt; 0.001) and Hb levels (p = 0.03).</w:t>
            </w:r>
          </w:p>
          <w:p w14:paraId="31240822" w14:textId="77777777" w:rsidR="002948A8" w:rsidRPr="002948A8" w:rsidRDefault="002948A8" w:rsidP="002948A8">
            <w:pPr>
              <w:spacing w:after="0" w:line="240" w:lineRule="auto"/>
              <w:rPr>
                <w:rFonts w:eastAsia="Calibri" w:cs="Times New Roman"/>
                <w:bCs/>
                <w:lang w:val="en-ID"/>
              </w:rPr>
            </w:pPr>
            <w:r w:rsidRPr="002948A8">
              <w:rPr>
                <w:rFonts w:eastAsia="Calibri" w:cs="Times New Roman"/>
                <w:bCs/>
                <w:lang w:val="en-ID"/>
              </w:rPr>
              <w:t xml:space="preserve">In conclusion, higher consumption of boiled purebred chicken eggs was associated with greater improvements in </w:t>
            </w:r>
            <w:proofErr w:type="spellStart"/>
            <w:r w:rsidRPr="002948A8">
              <w:rPr>
                <w:rFonts w:eastAsia="Calibri" w:cs="Times New Roman"/>
                <w:bCs/>
                <w:lang w:val="en-ID"/>
              </w:rPr>
              <w:t>hemoglobin</w:t>
            </w:r>
            <w:proofErr w:type="spellEnd"/>
            <w:r w:rsidRPr="002948A8">
              <w:rPr>
                <w:rFonts w:eastAsia="Calibri" w:cs="Times New Roman"/>
                <w:bCs/>
                <w:lang w:val="en-ID"/>
              </w:rPr>
              <w:t xml:space="preserve"> levels and nutritional status, as indicated by MUAC, among pregnant women with chronic energy deficiency. Increasing egg </w:t>
            </w:r>
            <w:r w:rsidRPr="002948A8">
              <w:rPr>
                <w:rFonts w:eastAsia="Calibri" w:cs="Times New Roman"/>
                <w:bCs/>
                <w:lang w:val="en-ID"/>
              </w:rPr>
              <w:lastRenderedPageBreak/>
              <w:t>consumption may serve as a simple and feasible nutritional intervention to support maternal health during pregnancy.</w:t>
            </w:r>
          </w:p>
          <w:p w14:paraId="38B796BF" w14:textId="4DB19FB1" w:rsidR="00664C6B" w:rsidRDefault="00664C6B" w:rsidP="00E64FFB">
            <w:pPr>
              <w:spacing w:after="0" w:line="259" w:lineRule="auto"/>
              <w:ind w:left="0" w:right="195" w:firstLine="0"/>
            </w:pPr>
          </w:p>
        </w:tc>
      </w:tr>
      <w:tr w:rsidR="00664C6B" w14:paraId="33BE3ADF" w14:textId="77777777" w:rsidTr="00D94FA8">
        <w:trPr>
          <w:trHeight w:val="5192"/>
        </w:trPr>
        <w:tc>
          <w:tcPr>
            <w:tcW w:w="2977" w:type="dxa"/>
            <w:tcBorders>
              <w:top w:val="nil"/>
              <w:bottom w:val="single" w:sz="4" w:space="0" w:color="2F5496"/>
            </w:tcBorders>
          </w:tcPr>
          <w:p w14:paraId="19B7E382" w14:textId="77777777" w:rsidR="00664C6B" w:rsidRPr="00C929A8" w:rsidRDefault="00000000">
            <w:pPr>
              <w:spacing w:after="0" w:line="259" w:lineRule="auto"/>
              <w:ind w:left="0" w:right="0" w:firstLine="0"/>
              <w:jc w:val="left"/>
            </w:pPr>
            <w:r w:rsidRPr="00C929A8">
              <w:rPr>
                <w:b/>
                <w:i/>
              </w:rPr>
              <w:lastRenderedPageBreak/>
              <w:t xml:space="preserve"> </w:t>
            </w:r>
            <w:r w:rsidRPr="00C929A8">
              <w:rPr>
                <w:b/>
                <w:i/>
              </w:rPr>
              <w:tab/>
            </w:r>
            <w:r w:rsidRPr="00C929A8">
              <w:rPr>
                <w:rFonts w:ascii="Calibri" w:eastAsia="Calibri" w:hAnsi="Calibri" w:cs="Calibri"/>
              </w:rPr>
              <w:t xml:space="preserve"> </w:t>
            </w:r>
          </w:p>
          <w:p w14:paraId="090660E6" w14:textId="3F3839FE" w:rsidR="00C929A8" w:rsidRPr="00C929A8" w:rsidRDefault="00C929A8">
            <w:pPr>
              <w:spacing w:after="0" w:line="259" w:lineRule="auto"/>
              <w:ind w:left="0" w:right="0" w:firstLine="0"/>
              <w:jc w:val="left"/>
            </w:pPr>
          </w:p>
          <w:p w14:paraId="7D7A933E" w14:textId="77777777" w:rsidR="00664C6B" w:rsidRPr="00C929A8" w:rsidRDefault="00000000">
            <w:pPr>
              <w:spacing w:after="0" w:line="259" w:lineRule="auto"/>
              <w:ind w:left="0" w:right="0" w:firstLine="0"/>
              <w:jc w:val="left"/>
            </w:pPr>
            <w:r w:rsidRPr="00C929A8">
              <w:t xml:space="preserve"> </w:t>
            </w:r>
          </w:p>
          <w:p w14:paraId="626F9B18" w14:textId="77777777" w:rsidR="00664C6B" w:rsidRPr="00C929A8" w:rsidRDefault="00000000">
            <w:pPr>
              <w:spacing w:after="0" w:line="259" w:lineRule="auto"/>
              <w:ind w:left="0" w:right="0" w:firstLine="0"/>
              <w:jc w:val="left"/>
            </w:pPr>
            <w:r w:rsidRPr="00C929A8">
              <w:t xml:space="preserve"> </w:t>
            </w:r>
          </w:p>
          <w:p w14:paraId="6E9DE55F" w14:textId="77777777" w:rsidR="00664C6B" w:rsidRPr="00C929A8" w:rsidRDefault="00000000">
            <w:pPr>
              <w:spacing w:after="0" w:line="259" w:lineRule="auto"/>
              <w:ind w:left="0" w:right="0" w:firstLine="0"/>
              <w:jc w:val="left"/>
            </w:pPr>
            <w:r w:rsidRPr="00C929A8">
              <w:t xml:space="preserve"> </w:t>
            </w:r>
          </w:p>
          <w:p w14:paraId="3A755ECE" w14:textId="77777777" w:rsidR="00664C6B" w:rsidRPr="00C929A8" w:rsidRDefault="00000000">
            <w:pPr>
              <w:spacing w:after="0" w:line="259" w:lineRule="auto"/>
              <w:ind w:left="0" w:right="0" w:firstLine="0"/>
              <w:jc w:val="left"/>
            </w:pPr>
            <w:r w:rsidRPr="00C929A8">
              <w:t xml:space="preserve"> </w:t>
            </w:r>
          </w:p>
          <w:p w14:paraId="0CCD6B45" w14:textId="77777777" w:rsidR="00664C6B" w:rsidRDefault="00000000">
            <w:pPr>
              <w:spacing w:after="0" w:line="259" w:lineRule="auto"/>
              <w:ind w:left="0" w:right="0" w:firstLine="0"/>
              <w:jc w:val="left"/>
            </w:pPr>
            <w:r w:rsidRPr="00C929A8">
              <w:t xml:space="preserve"> </w:t>
            </w:r>
          </w:p>
          <w:p w14:paraId="10472418" w14:textId="77777777" w:rsidR="00C929A8" w:rsidRDefault="00C929A8">
            <w:pPr>
              <w:spacing w:after="0" w:line="259" w:lineRule="auto"/>
              <w:ind w:left="0" w:right="0" w:firstLine="0"/>
              <w:jc w:val="left"/>
            </w:pPr>
          </w:p>
          <w:p w14:paraId="0363FF1A" w14:textId="77777777" w:rsidR="00C929A8" w:rsidRDefault="00C929A8">
            <w:pPr>
              <w:spacing w:after="0" w:line="259" w:lineRule="auto"/>
              <w:ind w:left="0" w:right="0" w:firstLine="0"/>
              <w:jc w:val="left"/>
            </w:pPr>
          </w:p>
          <w:p w14:paraId="229F34A7" w14:textId="77777777" w:rsidR="00C929A8" w:rsidRDefault="00C929A8">
            <w:pPr>
              <w:spacing w:after="0" w:line="259" w:lineRule="auto"/>
              <w:ind w:left="0" w:right="0" w:firstLine="0"/>
              <w:jc w:val="left"/>
            </w:pPr>
          </w:p>
          <w:p w14:paraId="1872E456" w14:textId="77777777" w:rsidR="00C929A8" w:rsidRDefault="00C929A8">
            <w:pPr>
              <w:spacing w:after="0" w:line="259" w:lineRule="auto"/>
              <w:ind w:left="0" w:right="0" w:firstLine="0"/>
              <w:jc w:val="left"/>
            </w:pPr>
          </w:p>
          <w:p w14:paraId="62ADCA94" w14:textId="77777777" w:rsidR="00C929A8" w:rsidRDefault="00C929A8">
            <w:pPr>
              <w:spacing w:after="0" w:line="259" w:lineRule="auto"/>
              <w:ind w:left="0" w:right="0" w:firstLine="0"/>
              <w:jc w:val="left"/>
            </w:pPr>
          </w:p>
          <w:p w14:paraId="2D00BCFE" w14:textId="77777777" w:rsidR="00C929A8" w:rsidRDefault="00C929A8">
            <w:pPr>
              <w:spacing w:after="0" w:line="259" w:lineRule="auto"/>
              <w:ind w:left="0" w:right="0" w:firstLine="0"/>
              <w:jc w:val="left"/>
            </w:pPr>
          </w:p>
          <w:p w14:paraId="43C2D0E3" w14:textId="105F2E9F" w:rsidR="00C929A8" w:rsidRPr="00C929A8" w:rsidRDefault="00C929A8" w:rsidP="00B21D02">
            <w:pPr>
              <w:spacing w:after="0" w:line="259" w:lineRule="auto"/>
              <w:ind w:left="0" w:right="0" w:firstLine="0"/>
              <w:jc w:val="center"/>
            </w:pPr>
          </w:p>
        </w:tc>
        <w:tc>
          <w:tcPr>
            <w:tcW w:w="6191" w:type="dxa"/>
            <w:tcBorders>
              <w:top w:val="nil"/>
              <w:bottom w:val="single" w:sz="4" w:space="0" w:color="2F5496"/>
            </w:tcBorders>
            <w:shd w:val="clear" w:color="auto" w:fill="D9D9D9"/>
          </w:tcPr>
          <w:p w14:paraId="29B1FFD3" w14:textId="490F072D" w:rsidR="00664C6B" w:rsidRDefault="00664C6B">
            <w:pPr>
              <w:spacing w:after="0" w:line="259" w:lineRule="auto"/>
              <w:ind w:left="240" w:right="0" w:firstLine="0"/>
              <w:jc w:val="left"/>
            </w:pPr>
          </w:p>
          <w:p w14:paraId="2CB017AC" w14:textId="02E5DC78" w:rsidR="00664C6B" w:rsidRDefault="00000000">
            <w:pPr>
              <w:spacing w:after="0" w:line="259" w:lineRule="auto"/>
              <w:ind w:left="1006" w:right="0" w:firstLine="0"/>
              <w:jc w:val="left"/>
            </w:pPr>
            <w:r>
              <w:rPr>
                <w:sz w:val="20"/>
              </w:rPr>
              <w:t xml:space="preserve">This is an </w:t>
            </w:r>
            <w:r w:rsidR="00C929A8">
              <w:rPr>
                <w:sz w:val="20"/>
              </w:rPr>
              <w:t>open-access</w:t>
            </w:r>
            <w:r>
              <w:rPr>
                <w:sz w:val="20"/>
              </w:rPr>
              <w:t xml:space="preserve"> article under the </w:t>
            </w:r>
            <w:hyperlink r:id="rId12">
              <w:r w:rsidR="00664C6B">
                <w:rPr>
                  <w:color w:val="0000FF"/>
                  <w:sz w:val="20"/>
                  <w:u w:val="single" w:color="0000FF"/>
                </w:rPr>
                <w:t>CC</w:t>
              </w:r>
            </w:hyperlink>
            <w:hyperlink r:id="rId13">
              <w:r w:rsidR="00664C6B">
                <w:rPr>
                  <w:color w:val="0000FF"/>
                  <w:sz w:val="20"/>
                  <w:u w:val="single" w:color="0000FF"/>
                </w:rPr>
                <w:t>–</w:t>
              </w:r>
            </w:hyperlink>
            <w:hyperlink r:id="rId14">
              <w:r w:rsidR="00664C6B">
                <w:rPr>
                  <w:color w:val="0000FF"/>
                  <w:sz w:val="20"/>
                  <w:u w:val="single" w:color="0000FF"/>
                </w:rPr>
                <w:t>BY</w:t>
              </w:r>
            </w:hyperlink>
            <w:hyperlink r:id="rId15">
              <w:r w:rsidR="00664C6B">
                <w:rPr>
                  <w:color w:val="0000FF"/>
                  <w:sz w:val="20"/>
                  <w:u w:val="single" w:color="0000FF"/>
                </w:rPr>
                <w:t>-</w:t>
              </w:r>
            </w:hyperlink>
            <w:hyperlink r:id="rId16">
              <w:r w:rsidR="00664C6B">
                <w:rPr>
                  <w:color w:val="0000FF"/>
                  <w:sz w:val="20"/>
                  <w:u w:val="single" w:color="0000FF"/>
                </w:rPr>
                <w:t>SA</w:t>
              </w:r>
            </w:hyperlink>
            <w:hyperlink r:id="rId17">
              <w:r w:rsidR="00664C6B">
                <w:rPr>
                  <w:sz w:val="20"/>
                </w:rPr>
                <w:t xml:space="preserve"> </w:t>
              </w:r>
            </w:hyperlink>
            <w:hyperlink r:id="rId18">
              <w:r w:rsidR="00664C6B">
                <w:rPr>
                  <w:sz w:val="20"/>
                </w:rPr>
                <w:t>l</w:t>
              </w:r>
            </w:hyperlink>
            <w:r>
              <w:rPr>
                <w:sz w:val="20"/>
              </w:rPr>
              <w:t xml:space="preserve">icense. </w:t>
            </w:r>
          </w:p>
          <w:p w14:paraId="7A88E90A" w14:textId="77777777" w:rsidR="00664C6B" w:rsidRDefault="00000000">
            <w:pPr>
              <w:spacing w:after="6" w:line="259" w:lineRule="auto"/>
              <w:ind w:left="4720" w:right="0" w:firstLine="0"/>
              <w:jc w:val="left"/>
            </w:pPr>
            <w:r>
              <w:rPr>
                <w:noProof/>
              </w:rPr>
              <w:drawing>
                <wp:inline distT="0" distB="0" distL="0" distR="0" wp14:anchorId="20A470A9" wp14:editId="5F82C149">
                  <wp:extent cx="840105" cy="29718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9"/>
                          <a:stretch>
                            <a:fillRect/>
                          </a:stretch>
                        </pic:blipFill>
                        <pic:spPr>
                          <a:xfrm>
                            <a:off x="0" y="0"/>
                            <a:ext cx="840105" cy="297180"/>
                          </a:xfrm>
                          <a:prstGeom prst="rect">
                            <a:avLst/>
                          </a:prstGeom>
                        </pic:spPr>
                      </pic:pic>
                    </a:graphicData>
                  </a:graphic>
                </wp:inline>
              </w:drawing>
            </w:r>
          </w:p>
          <w:p w14:paraId="71611061" w14:textId="77777777" w:rsidR="00664C6B" w:rsidRDefault="00000000">
            <w:pPr>
              <w:spacing w:after="0" w:line="259" w:lineRule="auto"/>
              <w:ind w:left="240" w:right="0" w:firstLine="0"/>
              <w:jc w:val="left"/>
            </w:pPr>
            <w:r>
              <w:rPr>
                <w:sz w:val="20"/>
              </w:rPr>
              <w:t xml:space="preserve">    </w:t>
            </w:r>
          </w:p>
        </w:tc>
      </w:tr>
    </w:tbl>
    <w:p w14:paraId="23E54A91" w14:textId="2B134014" w:rsidR="00664C6B" w:rsidRDefault="00C929A8" w:rsidP="00323CBA">
      <w:pPr>
        <w:pStyle w:val="Heading1"/>
        <w:spacing w:after="120" w:line="360" w:lineRule="auto"/>
        <w:ind w:left="-5"/>
      </w:pPr>
      <w:r>
        <w:t>Introduction</w:t>
      </w:r>
    </w:p>
    <w:p w14:paraId="6E733EF1" w14:textId="77777777" w:rsidR="00CD7F09" w:rsidRPr="002D6F1A" w:rsidRDefault="00CD7F09" w:rsidP="00CD7F09">
      <w:pPr>
        <w:spacing w:after="0" w:line="360" w:lineRule="auto"/>
        <w:ind w:firstLine="720"/>
        <w:rPr>
          <w:rFonts w:eastAsia="Calibri" w:cs="Times New Roman"/>
        </w:rPr>
      </w:pPr>
      <w:r w:rsidRPr="002D6F1A">
        <w:rPr>
          <w:rFonts w:eastAsia="Calibri" w:cs="Times New Roman"/>
        </w:rPr>
        <w:t>Chronic energy deficiency (CED) is a problem that is often encountered in pregnant women,</w:t>
      </w:r>
      <w:r w:rsidRPr="002D6F1A">
        <w:rPr>
          <w:rFonts w:eastAsia="Calibri" w:cs="Times New Roman"/>
          <w:vertAlign w:val="superscript"/>
        </w:rPr>
        <w:t>1</w:t>
      </w:r>
      <w:r w:rsidRPr="002D6F1A">
        <w:rPr>
          <w:rFonts w:eastAsia="Calibri" w:cs="Times New Roman"/>
        </w:rPr>
        <w:t xml:space="preserve"> which is related to malnutrition problems for a long time,</w:t>
      </w:r>
      <w:r w:rsidRPr="002D6F1A">
        <w:rPr>
          <w:rFonts w:eastAsia="Calibri" w:cs="Times New Roman"/>
          <w:vertAlign w:val="superscript"/>
        </w:rPr>
        <w:t>2</w:t>
      </w:r>
      <w:r w:rsidRPr="002D6F1A">
        <w:rPr>
          <w:rFonts w:eastAsia="Calibri" w:cs="Times New Roman"/>
        </w:rPr>
        <w:t xml:space="preserve"> especially those associated with the non-fulfilment of carbohydrates, fats, and protein knows as macronutrients.</w:t>
      </w:r>
      <w:r w:rsidRPr="002D6F1A">
        <w:rPr>
          <w:rFonts w:eastAsia="Calibri" w:cs="Times New Roman"/>
          <w:vertAlign w:val="superscript"/>
        </w:rPr>
        <w:t>3</w:t>
      </w:r>
      <w:r w:rsidRPr="002D6F1A">
        <w:rPr>
          <w:rFonts w:eastAsia="Calibri" w:cs="Times New Roman"/>
        </w:rPr>
        <w:t xml:space="preserve"> Measurement of middle-upper arm circumference (MUAC)</w:t>
      </w:r>
      <w:r w:rsidRPr="002D6F1A">
        <w:rPr>
          <w:rFonts w:eastAsia="Calibri" w:cs="Times New Roman"/>
          <w:vertAlign w:val="superscript"/>
        </w:rPr>
        <w:t xml:space="preserve">4 </w:t>
      </w:r>
      <w:r w:rsidRPr="002D6F1A">
        <w:rPr>
          <w:rFonts w:eastAsia="Calibri" w:cs="Times New Roman"/>
        </w:rPr>
        <w:t>is carried out to detect the risk of CED in pregnant women. The risk of CED in pregnant women is miscarriage, postpartum bleeding, and maternal death while in fetuses and children are fetal growth disorders, low birth weight (LBW), congenital abnormalities, and stunting.</w:t>
      </w:r>
      <w:r w:rsidRPr="002D6F1A">
        <w:rPr>
          <w:rFonts w:eastAsia="Calibri" w:cs="Times New Roman"/>
          <w:vertAlign w:val="superscript"/>
        </w:rPr>
        <w:t>5</w:t>
      </w:r>
    </w:p>
    <w:p w14:paraId="5642894D" w14:textId="77777777" w:rsidR="00CD7F09" w:rsidRPr="002D6F1A" w:rsidRDefault="00CD7F09" w:rsidP="00CD7F09">
      <w:pPr>
        <w:spacing w:after="0" w:line="360" w:lineRule="auto"/>
        <w:rPr>
          <w:rFonts w:eastAsia="Calibri" w:cs="Times New Roman"/>
        </w:rPr>
      </w:pPr>
      <w:r w:rsidRPr="002D6F1A">
        <w:rPr>
          <w:rFonts w:eastAsia="Calibri" w:cs="Times New Roman"/>
        </w:rPr>
        <w:tab/>
        <w:t>The nutrition of pregnant women should be more than usual.</w:t>
      </w:r>
      <w:r w:rsidRPr="002D6F1A">
        <w:rPr>
          <w:rFonts w:eastAsia="Calibri" w:cs="Times New Roman"/>
          <w:vertAlign w:val="superscript"/>
        </w:rPr>
        <w:t>6</w:t>
      </w:r>
      <w:r w:rsidRPr="002D6F1A">
        <w:rPr>
          <w:rFonts w:eastAsia="Calibri" w:cs="Times New Roman"/>
        </w:rPr>
        <w:t xml:space="preserve"> This is true because during pregnancy, the mother is not only responsible for meeting the needs of food for her own body, but also for the prospective baby in the womb. In order for the fetus to develop properly and perfectly, the mother must be able to maintain food intake because not only the quantity is considered, but the quality is also important to know, including protein.</w:t>
      </w:r>
    </w:p>
    <w:p w14:paraId="519A4296" w14:textId="77777777" w:rsidR="00CD7F09" w:rsidRPr="002D6F1A" w:rsidRDefault="00CD7F09" w:rsidP="00CD7F09">
      <w:pPr>
        <w:spacing w:after="0" w:line="360" w:lineRule="auto"/>
        <w:rPr>
          <w:rFonts w:eastAsia="Calibri" w:cs="Times New Roman"/>
        </w:rPr>
      </w:pPr>
      <w:r w:rsidRPr="002D6F1A">
        <w:rPr>
          <w:rFonts w:eastAsia="Calibri" w:cs="Times New Roman"/>
        </w:rPr>
        <w:tab/>
        <w:t>Protein is formed from amino acids</w:t>
      </w:r>
      <w:r w:rsidRPr="002D6F1A">
        <w:rPr>
          <w:rFonts w:eastAsia="Calibri" w:cs="Times New Roman"/>
          <w:vertAlign w:val="superscript"/>
        </w:rPr>
        <w:t>7</w:t>
      </w:r>
      <w:r w:rsidRPr="002D6F1A">
        <w:rPr>
          <w:rFonts w:eastAsia="Calibri" w:cs="Times New Roman"/>
        </w:rPr>
        <w:t xml:space="preserve"> that are important for the growth of the baby in the womb and are useful for forming cells in the body of the fetus, including the brain.</w:t>
      </w:r>
      <w:r w:rsidRPr="002D6F1A">
        <w:rPr>
          <w:rFonts w:eastAsia="Calibri" w:cs="Times New Roman"/>
          <w:vertAlign w:val="superscript"/>
        </w:rPr>
        <w:t>8</w:t>
      </w:r>
      <w:r w:rsidRPr="002D6F1A">
        <w:rPr>
          <w:rFonts w:eastAsia="Calibri" w:cs="Times New Roman"/>
        </w:rPr>
        <w:t xml:space="preserve"> Protein must be consumed especially in the second and third trimesters when the baby’s growth is accelerating.</w:t>
      </w:r>
      <w:r w:rsidRPr="002D6F1A">
        <w:rPr>
          <w:rFonts w:eastAsia="Calibri" w:cs="Times New Roman"/>
          <w:vertAlign w:val="superscript"/>
        </w:rPr>
        <w:t>9</w:t>
      </w:r>
      <w:r w:rsidRPr="002D6F1A">
        <w:rPr>
          <w:rFonts w:eastAsia="Calibri" w:cs="Times New Roman"/>
        </w:rPr>
        <w:t xml:space="preserve"> In addition, protein can also accelerate blood circulation which helps the fetus to get nutritional intake. Mothers can get daily protein from meat, fish, egg whites, beans, tofu, and tempeh.</w:t>
      </w:r>
    </w:p>
    <w:p w14:paraId="25F958C0" w14:textId="77777777" w:rsidR="00CD7F09" w:rsidRPr="002D6F1A" w:rsidRDefault="00CD7F09" w:rsidP="00CD7F09">
      <w:pPr>
        <w:spacing w:after="0" w:line="360" w:lineRule="auto"/>
        <w:ind w:firstLine="720"/>
        <w:rPr>
          <w:rFonts w:eastAsia="Calibri" w:cs="Times New Roman"/>
        </w:rPr>
      </w:pPr>
      <w:r w:rsidRPr="002D6F1A">
        <w:rPr>
          <w:rFonts w:eastAsia="Calibri" w:cs="Times New Roman"/>
        </w:rPr>
        <w:lastRenderedPageBreak/>
        <w:t>Animal protein can also help increase levels of hemoglobin (Hb),</w:t>
      </w:r>
      <w:r w:rsidRPr="002D6F1A">
        <w:rPr>
          <w:rFonts w:eastAsia="Calibri" w:cs="Times New Roman"/>
          <w:vertAlign w:val="superscript"/>
        </w:rPr>
        <w:t>10</w:t>
      </w:r>
      <w:r w:rsidRPr="002D6F1A">
        <w:rPr>
          <w:rFonts w:eastAsia="Calibri" w:cs="Times New Roman"/>
        </w:rPr>
        <w:t xml:space="preserve"> an iron-rich protein in red blood cells that carries oxygen throughout the body, thus preventing anemia. Animal protein also helps increase Hb levels in anemia. In pregnant women, protein is most easily fulfilled by egg consumption.</w:t>
      </w:r>
      <w:r w:rsidRPr="002D6F1A">
        <w:rPr>
          <w:rFonts w:eastAsia="Calibri" w:cs="Times New Roman"/>
          <w:vertAlign w:val="superscript"/>
        </w:rPr>
        <w:t>11</w:t>
      </w:r>
      <w:r w:rsidRPr="002D6F1A">
        <w:rPr>
          <w:rFonts w:eastAsia="Calibri" w:cs="Times New Roman"/>
        </w:rPr>
        <w:t xml:space="preserve"> It is impossible to raise Hb if anemia without eating protein. However, protein and vegetables must be balanced, because iron absorption requires vitamin C.</w:t>
      </w:r>
      <w:r w:rsidRPr="002D6F1A">
        <w:rPr>
          <w:rFonts w:eastAsia="Calibri" w:cs="Times New Roman"/>
          <w:vertAlign w:val="superscript"/>
        </w:rPr>
        <w:t>12</w:t>
      </w:r>
    </w:p>
    <w:p w14:paraId="69CE7292" w14:textId="4444BD42" w:rsidR="00CD7F09" w:rsidRPr="002D6F1A" w:rsidRDefault="00CD7F09" w:rsidP="00CD7F09">
      <w:pPr>
        <w:spacing w:after="0" w:line="360" w:lineRule="auto"/>
        <w:ind w:firstLine="720"/>
        <w:rPr>
          <w:rFonts w:eastAsia="Calibri" w:cs="Times New Roman"/>
          <w:bCs/>
        </w:rPr>
      </w:pPr>
      <w:r w:rsidRPr="002D6F1A">
        <w:rPr>
          <w:rFonts w:eastAsia="Calibri" w:cs="Times New Roman"/>
          <w:bCs/>
        </w:rPr>
        <w:t>Low protein intake during pregnancy can increase the risk of childhood diseases later in life.</w:t>
      </w:r>
      <w:r w:rsidRPr="002D6F1A">
        <w:rPr>
          <w:rFonts w:eastAsia="Calibri" w:cs="Times New Roman"/>
          <w:bCs/>
          <w:vertAlign w:val="superscript"/>
        </w:rPr>
        <w:t>13</w:t>
      </w:r>
      <w:r w:rsidRPr="002D6F1A">
        <w:rPr>
          <w:rFonts w:eastAsia="Calibri" w:cs="Times New Roman"/>
          <w:bCs/>
        </w:rPr>
        <w:t xml:space="preserve"> Optimal protein intake can also make pregnancy more comfortable. Proteins are broken down into building blocks called amino acids that pregnant women need to build new cells, and there are many new cells made during pregnancy/ Pregnant women should strive to include a variety of protein-rich foods in their diet. This ensures they gets a good balance of nutrients and amino acids. For example, fish and seafood are the highest sources of omega-3s, red meat contains high amounts of iron, while dairy products contain almost no iron. Protein sources that are easily obtained in Indonesia, for example, are</w:t>
      </w:r>
      <w:r w:rsidR="00995E27">
        <w:rPr>
          <w:rFonts w:eastAsia="Calibri" w:cs="Times New Roman"/>
          <w:bCs/>
        </w:rPr>
        <w:t xml:space="preserve"> boiled</w:t>
      </w:r>
      <w:r w:rsidRPr="002D6F1A">
        <w:rPr>
          <w:rFonts w:eastAsia="Calibri" w:cs="Times New Roman"/>
          <w:bCs/>
        </w:rPr>
        <w:t xml:space="preserve"> purebred chicken eggs. This study, therefore, focused on the effect of giving purebred eggs on the well-being of pregnant women, particularly their Hb level in those with CED.</w:t>
      </w:r>
    </w:p>
    <w:p w14:paraId="0A18B123" w14:textId="77777777" w:rsidR="00170371" w:rsidRDefault="00170371" w:rsidP="00CD7F09">
      <w:pPr>
        <w:spacing w:after="120" w:line="360" w:lineRule="auto"/>
        <w:ind w:left="0" w:right="0" w:firstLine="0"/>
      </w:pPr>
    </w:p>
    <w:p w14:paraId="3C47FC10" w14:textId="16CC72D3" w:rsidR="003D17C7" w:rsidRPr="003D17C7" w:rsidRDefault="00F84920" w:rsidP="003D17C7">
      <w:pPr>
        <w:pStyle w:val="Heading1"/>
        <w:spacing w:after="120" w:line="360" w:lineRule="auto"/>
        <w:ind w:left="-5"/>
      </w:pPr>
      <w:r w:rsidRPr="00F84920">
        <w:t>Methods</w:t>
      </w:r>
    </w:p>
    <w:p w14:paraId="309DD11F"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This study employed a quasi-experimental design using a non-equivalent comparison group model. The intervention consisted of daily consumption of boiled purebred chicken eggs for eight weeks. Participants were divided into two groups: an intervention group that received two boiled eggs per day and a comparison group that received one boiled egg per day.</w:t>
      </w:r>
    </w:p>
    <w:p w14:paraId="316C6DE6"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 xml:space="preserve">Measurements of </w:t>
      </w:r>
      <w:proofErr w:type="spellStart"/>
      <w:r w:rsidRPr="003D17C7">
        <w:rPr>
          <w:rFonts w:eastAsia="Calibri" w:cs="Times New Roman"/>
          <w:lang w:val="en-ID"/>
        </w:rPr>
        <w:t>hemoglobin</w:t>
      </w:r>
      <w:proofErr w:type="spellEnd"/>
      <w:r w:rsidRPr="003D17C7">
        <w:rPr>
          <w:rFonts w:eastAsia="Calibri" w:cs="Times New Roman"/>
          <w:lang w:val="en-ID"/>
        </w:rPr>
        <w:t xml:space="preserve"> (Hb) levels and mid-upper arm circumference (MUAC) were conducted at baseline (before the intervention) and after eight weeks of intervention.</w:t>
      </w:r>
    </w:p>
    <w:p w14:paraId="27C0F004"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 xml:space="preserve">The study was conducted at a public health </w:t>
      </w:r>
      <w:proofErr w:type="spellStart"/>
      <w:r w:rsidRPr="003D17C7">
        <w:rPr>
          <w:rFonts w:eastAsia="Calibri" w:cs="Times New Roman"/>
          <w:lang w:val="en-ID"/>
        </w:rPr>
        <w:t>center</w:t>
      </w:r>
      <w:proofErr w:type="spellEnd"/>
      <w:r w:rsidRPr="003D17C7">
        <w:rPr>
          <w:rFonts w:eastAsia="Calibri" w:cs="Times New Roman"/>
          <w:lang w:val="en-ID"/>
        </w:rPr>
        <w:t xml:space="preserve"> in Kendari City. A total of 60 pregnant women with chronic energy deficiency (CED) were recruited using random sampling, consisting of 30 participants in the intervention group and 30 participants in the comparison group. Inclusion criteria were pregnant women with gestational age between &gt;12 and 24 weeks, residing in the health </w:t>
      </w:r>
      <w:proofErr w:type="spellStart"/>
      <w:r w:rsidRPr="003D17C7">
        <w:rPr>
          <w:rFonts w:eastAsia="Calibri" w:cs="Times New Roman"/>
          <w:lang w:val="en-ID"/>
        </w:rPr>
        <w:t>center’s</w:t>
      </w:r>
      <w:proofErr w:type="spellEnd"/>
      <w:r w:rsidRPr="003D17C7">
        <w:rPr>
          <w:rFonts w:eastAsia="Calibri" w:cs="Times New Roman"/>
          <w:lang w:val="en-ID"/>
        </w:rPr>
        <w:t xml:space="preserve"> working area, and willing to participate in the study. Exclusion criteria included pregnant women with concurrent illnesses requiring medical treatment and those unwilling to participate.</w:t>
      </w:r>
    </w:p>
    <w:p w14:paraId="2FC48CAA"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 xml:space="preserve">Compliance with egg consumption was monitored using daily observation sheets. Data processing included editing, coding, tabulation, and scoring. Data analysis was performed using SPSS software. Normality of data distribution was assessed using the Shapiro–Wilk test. </w:t>
      </w:r>
      <w:r w:rsidRPr="003D17C7">
        <w:rPr>
          <w:rFonts w:eastAsia="Calibri" w:cs="Times New Roman"/>
          <w:lang w:val="en-ID"/>
        </w:rPr>
        <w:lastRenderedPageBreak/>
        <w:t xml:space="preserve">Homogeneity was tested using one-way ANOVA. Differences within groups were </w:t>
      </w:r>
      <w:proofErr w:type="spellStart"/>
      <w:r w:rsidRPr="003D17C7">
        <w:rPr>
          <w:rFonts w:eastAsia="Calibri" w:cs="Times New Roman"/>
          <w:lang w:val="en-ID"/>
        </w:rPr>
        <w:t>analyzed</w:t>
      </w:r>
      <w:proofErr w:type="spellEnd"/>
      <w:r w:rsidRPr="003D17C7">
        <w:rPr>
          <w:rFonts w:eastAsia="Calibri" w:cs="Times New Roman"/>
          <w:lang w:val="en-ID"/>
        </w:rPr>
        <w:t xml:space="preserve"> using paired t-tests, while differences between groups were </w:t>
      </w:r>
      <w:proofErr w:type="spellStart"/>
      <w:r w:rsidRPr="003D17C7">
        <w:rPr>
          <w:rFonts w:eastAsia="Calibri" w:cs="Times New Roman"/>
          <w:lang w:val="en-ID"/>
        </w:rPr>
        <w:t>analyzed</w:t>
      </w:r>
      <w:proofErr w:type="spellEnd"/>
      <w:r w:rsidRPr="003D17C7">
        <w:rPr>
          <w:rFonts w:eastAsia="Calibri" w:cs="Times New Roman"/>
          <w:lang w:val="en-ID"/>
        </w:rPr>
        <w:t xml:space="preserve"> using independent t-tests, with a significance level set at p &lt; 0.05.</w:t>
      </w:r>
    </w:p>
    <w:p w14:paraId="22552CFA" w14:textId="77777777" w:rsidR="003D17C7" w:rsidRPr="003D17C7" w:rsidRDefault="003D17C7" w:rsidP="003D17C7">
      <w:pPr>
        <w:spacing w:line="360" w:lineRule="auto"/>
        <w:rPr>
          <w:rFonts w:eastAsia="Calibri" w:cs="Times New Roman"/>
          <w:lang w:val="en-ID"/>
        </w:rPr>
      </w:pPr>
      <w:r w:rsidRPr="003D17C7">
        <w:rPr>
          <w:rFonts w:eastAsia="Calibri" w:cs="Times New Roman"/>
          <w:b/>
          <w:bCs/>
          <w:lang w:val="en-ID"/>
        </w:rPr>
        <w:t>Ethical Consideration</w:t>
      </w:r>
    </w:p>
    <w:p w14:paraId="38AB36C8"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This study was conducted in accordance with the ethical principles for research involving human subjects and followed the Declaration of Helsinki (2013). Prior to participation, all respondents were informed about the objectives, procedures, benefits, and potential risks of the study. Written informed consent was obtained from all participants. The confidentiality and anonymity of participants were maintained, and all data were used solely for research purposes.</w:t>
      </w:r>
    </w:p>
    <w:p w14:paraId="6630A061" w14:textId="77777777" w:rsidR="00CD7F09" w:rsidRPr="00CD7F09" w:rsidRDefault="00CD7F09" w:rsidP="00CD7F09"/>
    <w:p w14:paraId="362B6282" w14:textId="7E1A2A3A" w:rsidR="00F84920" w:rsidRPr="00F84920" w:rsidRDefault="00F84920" w:rsidP="00323CBA">
      <w:pPr>
        <w:pStyle w:val="Heading1"/>
        <w:spacing w:after="120" w:line="360" w:lineRule="auto"/>
        <w:ind w:left="-5"/>
      </w:pPr>
      <w:r w:rsidRPr="00F84920">
        <w:t>R</w:t>
      </w:r>
      <w:r>
        <w:t>esults</w:t>
      </w:r>
      <w:r w:rsidR="00170371">
        <w:t xml:space="preserve"> </w:t>
      </w:r>
    </w:p>
    <w:p w14:paraId="389BCAE8"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Most respondents were aged 20–35 years. The majority had a high school education or equivalent. Based on gestational age, more than half of participants in both groups were at less than 24 weeks of pregnancy. Most respondents in both groups were primigravida.</w:t>
      </w:r>
    </w:p>
    <w:p w14:paraId="4BC3EC7D"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The mean MUAC before intervention was 21.48 cm in the intervention group and 21.23 cm in the comparison group. After eight weeks of intervention, the mean MUAC increased to 22.11 cm in the intervention group and 21.52 cm in the comparison group. The mean increase in MUAC was higher in the intervention group (0.63 cm) compared to the comparison group (0.29 cm).</w:t>
      </w:r>
    </w:p>
    <w:p w14:paraId="365458D1"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The mean Hb level before intervention was 11.39 g/dL in the intervention group and 11.07 g/dL in the comparison group. After the intervention, mean Hb levels increased to 12.28 g/dL in the intervention group and 11.78 g/dL in the comparison group. The increase in Hb level was greater in the intervention group (0.88 g/dL) than in the comparison group (0.72 g/dL).</w:t>
      </w:r>
    </w:p>
    <w:p w14:paraId="5CE028DC"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Normality testing using the Shapiro–Wilk test showed that all variables were normally distributed (p &gt; 0.05). Independent t-test analysis indicated a significant difference in MUAC changes between groups (t = 5.74, p &lt; 0.001). A significant difference in Hb level changes between groups was also observed (t = 1.87, p = 0.03).</w:t>
      </w:r>
    </w:p>
    <w:p w14:paraId="5792CB96" w14:textId="77777777" w:rsidR="00CD7F09" w:rsidRPr="002D6F1A" w:rsidRDefault="00CD7F09" w:rsidP="00CD7F09">
      <w:pPr>
        <w:spacing w:after="0" w:line="360" w:lineRule="auto"/>
        <w:contextualSpacing/>
        <w:rPr>
          <w:rFonts w:eastAsia="Calibri" w:cs="Times New Roman"/>
        </w:rPr>
      </w:pPr>
    </w:p>
    <w:p w14:paraId="359924DE" w14:textId="77777777" w:rsidR="00CD7F09" w:rsidRPr="00226E82" w:rsidRDefault="00CD7F09" w:rsidP="00226E82">
      <w:pPr>
        <w:spacing w:after="0" w:line="360" w:lineRule="auto"/>
        <w:contextualSpacing/>
        <w:jc w:val="center"/>
        <w:rPr>
          <w:rFonts w:eastAsia="Calibri" w:cs="Times New Roman"/>
        </w:rPr>
      </w:pPr>
      <w:r w:rsidRPr="002D6F1A">
        <w:rPr>
          <w:rFonts w:eastAsia="Calibri" w:cs="Times New Roman"/>
          <w:b/>
          <w:bCs/>
        </w:rPr>
        <w:t xml:space="preserve">Table 1. </w:t>
      </w:r>
      <w:r w:rsidRPr="00226E82">
        <w:rPr>
          <w:rFonts w:eastAsia="Calibri" w:cs="Times New Roman"/>
        </w:rPr>
        <w:t>The Characteristics of the Respondents</w:t>
      </w:r>
    </w:p>
    <w:p w14:paraId="4F28174A" w14:textId="77777777" w:rsidR="00CD7F09" w:rsidRPr="002D6F1A" w:rsidRDefault="00CD7F09" w:rsidP="00CD7F09">
      <w:pPr>
        <w:spacing w:after="0" w:line="360" w:lineRule="auto"/>
        <w:contextualSpacing/>
        <w:rPr>
          <w:rFonts w:eastAsia="Calibri" w:cs="Times New Roman"/>
          <w:b/>
        </w:rPr>
      </w:pPr>
    </w:p>
    <w:tbl>
      <w:tblPr>
        <w:tblW w:w="7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1"/>
        <w:gridCol w:w="522"/>
        <w:gridCol w:w="983"/>
        <w:gridCol w:w="466"/>
        <w:gridCol w:w="755"/>
        <w:gridCol w:w="466"/>
        <w:gridCol w:w="755"/>
      </w:tblGrid>
      <w:tr w:rsidR="00CD7F09" w:rsidRPr="002D6F1A" w14:paraId="604A0E62" w14:textId="77777777" w:rsidTr="00226E82">
        <w:trPr>
          <w:trHeight w:val="300"/>
          <w:jc w:val="center"/>
        </w:trPr>
        <w:tc>
          <w:tcPr>
            <w:tcW w:w="3731" w:type="dxa"/>
            <w:vMerge w:val="restart"/>
            <w:tcBorders>
              <w:top w:val="single" w:sz="4" w:space="0" w:color="auto"/>
              <w:left w:val="nil"/>
              <w:bottom w:val="single" w:sz="4" w:space="0" w:color="auto"/>
              <w:right w:val="nil"/>
            </w:tcBorders>
            <w:noWrap/>
            <w:vAlign w:val="center"/>
            <w:hideMark/>
          </w:tcPr>
          <w:p w14:paraId="681553B5"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Variable</w:t>
            </w:r>
          </w:p>
        </w:tc>
        <w:tc>
          <w:tcPr>
            <w:tcW w:w="0" w:type="auto"/>
            <w:gridSpan w:val="2"/>
            <w:tcBorders>
              <w:top w:val="single" w:sz="4" w:space="0" w:color="auto"/>
              <w:left w:val="nil"/>
              <w:bottom w:val="nil"/>
              <w:right w:val="nil"/>
            </w:tcBorders>
            <w:noWrap/>
            <w:vAlign w:val="center"/>
            <w:hideMark/>
          </w:tcPr>
          <w:p w14:paraId="1539267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Intervention</w:t>
            </w:r>
          </w:p>
        </w:tc>
        <w:tc>
          <w:tcPr>
            <w:tcW w:w="0" w:type="auto"/>
            <w:gridSpan w:val="2"/>
            <w:tcBorders>
              <w:top w:val="single" w:sz="4" w:space="0" w:color="auto"/>
              <w:left w:val="nil"/>
              <w:bottom w:val="nil"/>
              <w:right w:val="nil"/>
            </w:tcBorders>
            <w:noWrap/>
            <w:vAlign w:val="center"/>
            <w:hideMark/>
          </w:tcPr>
          <w:p w14:paraId="4C846ECD"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Control</w:t>
            </w:r>
          </w:p>
        </w:tc>
        <w:tc>
          <w:tcPr>
            <w:tcW w:w="0" w:type="auto"/>
            <w:gridSpan w:val="2"/>
            <w:tcBorders>
              <w:top w:val="single" w:sz="4" w:space="0" w:color="auto"/>
              <w:left w:val="nil"/>
              <w:bottom w:val="nil"/>
              <w:right w:val="nil"/>
            </w:tcBorders>
            <w:noWrap/>
            <w:vAlign w:val="center"/>
            <w:hideMark/>
          </w:tcPr>
          <w:p w14:paraId="0F9B9FB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Total</w:t>
            </w:r>
          </w:p>
        </w:tc>
      </w:tr>
      <w:tr w:rsidR="00CD7F09" w:rsidRPr="002D6F1A" w14:paraId="4BE69D91" w14:textId="77777777" w:rsidTr="00226E82">
        <w:trPr>
          <w:trHeight w:val="300"/>
          <w:jc w:val="center"/>
        </w:trPr>
        <w:tc>
          <w:tcPr>
            <w:tcW w:w="3731" w:type="dxa"/>
            <w:vMerge/>
            <w:tcBorders>
              <w:top w:val="single" w:sz="4" w:space="0" w:color="auto"/>
              <w:left w:val="nil"/>
              <w:bottom w:val="single" w:sz="4" w:space="0" w:color="auto"/>
              <w:right w:val="nil"/>
            </w:tcBorders>
            <w:vAlign w:val="center"/>
            <w:hideMark/>
          </w:tcPr>
          <w:p w14:paraId="45A7246D" w14:textId="77777777" w:rsidR="00CD7F09" w:rsidRPr="002D6F1A" w:rsidRDefault="00CD7F09" w:rsidP="00A0571C">
            <w:pPr>
              <w:spacing w:after="0" w:line="360" w:lineRule="auto"/>
              <w:jc w:val="center"/>
              <w:rPr>
                <w:rFonts w:eastAsia="Times New Roman" w:cs="Times New Roman"/>
                <w:b/>
              </w:rPr>
            </w:pPr>
          </w:p>
        </w:tc>
        <w:tc>
          <w:tcPr>
            <w:tcW w:w="0" w:type="auto"/>
            <w:tcBorders>
              <w:top w:val="nil"/>
              <w:left w:val="nil"/>
              <w:bottom w:val="nil"/>
              <w:right w:val="nil"/>
            </w:tcBorders>
            <w:noWrap/>
            <w:vAlign w:val="center"/>
            <w:hideMark/>
          </w:tcPr>
          <w:p w14:paraId="382D4323"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n</w:t>
            </w:r>
          </w:p>
        </w:tc>
        <w:tc>
          <w:tcPr>
            <w:tcW w:w="0" w:type="auto"/>
            <w:tcBorders>
              <w:top w:val="nil"/>
              <w:left w:val="nil"/>
              <w:bottom w:val="nil"/>
              <w:right w:val="nil"/>
            </w:tcBorders>
            <w:noWrap/>
            <w:vAlign w:val="center"/>
            <w:hideMark/>
          </w:tcPr>
          <w:p w14:paraId="3B7571E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w:t>
            </w:r>
          </w:p>
        </w:tc>
        <w:tc>
          <w:tcPr>
            <w:tcW w:w="0" w:type="auto"/>
            <w:tcBorders>
              <w:top w:val="nil"/>
              <w:left w:val="nil"/>
              <w:bottom w:val="nil"/>
              <w:right w:val="nil"/>
            </w:tcBorders>
            <w:noWrap/>
            <w:vAlign w:val="center"/>
            <w:hideMark/>
          </w:tcPr>
          <w:p w14:paraId="239E8840"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n</w:t>
            </w:r>
          </w:p>
        </w:tc>
        <w:tc>
          <w:tcPr>
            <w:tcW w:w="0" w:type="auto"/>
            <w:tcBorders>
              <w:top w:val="nil"/>
              <w:left w:val="nil"/>
              <w:bottom w:val="nil"/>
              <w:right w:val="nil"/>
            </w:tcBorders>
            <w:noWrap/>
            <w:vAlign w:val="center"/>
            <w:hideMark/>
          </w:tcPr>
          <w:p w14:paraId="13DDCBFB"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w:t>
            </w:r>
          </w:p>
        </w:tc>
        <w:tc>
          <w:tcPr>
            <w:tcW w:w="0" w:type="auto"/>
            <w:tcBorders>
              <w:top w:val="nil"/>
              <w:left w:val="nil"/>
              <w:bottom w:val="nil"/>
              <w:right w:val="nil"/>
            </w:tcBorders>
            <w:noWrap/>
            <w:vAlign w:val="center"/>
            <w:hideMark/>
          </w:tcPr>
          <w:p w14:paraId="3EE70FA9"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n</w:t>
            </w:r>
          </w:p>
        </w:tc>
        <w:tc>
          <w:tcPr>
            <w:tcW w:w="0" w:type="auto"/>
            <w:tcBorders>
              <w:top w:val="nil"/>
              <w:left w:val="nil"/>
              <w:bottom w:val="nil"/>
              <w:right w:val="nil"/>
            </w:tcBorders>
            <w:noWrap/>
            <w:vAlign w:val="center"/>
            <w:hideMark/>
          </w:tcPr>
          <w:p w14:paraId="4150981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w:t>
            </w:r>
          </w:p>
        </w:tc>
      </w:tr>
      <w:tr w:rsidR="00CD7F09" w:rsidRPr="002D6F1A" w14:paraId="56A39076" w14:textId="77777777" w:rsidTr="00226E82">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13E516AC"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lastRenderedPageBreak/>
              <w:t>Age</w:t>
            </w:r>
          </w:p>
        </w:tc>
      </w:tr>
      <w:tr w:rsidR="00CD7F09" w:rsidRPr="002D6F1A" w14:paraId="3EFE2741" w14:textId="77777777" w:rsidTr="00226E82">
        <w:trPr>
          <w:trHeight w:val="300"/>
          <w:jc w:val="center"/>
        </w:trPr>
        <w:tc>
          <w:tcPr>
            <w:tcW w:w="3731" w:type="dxa"/>
            <w:tcBorders>
              <w:top w:val="single" w:sz="4" w:space="0" w:color="auto"/>
              <w:left w:val="nil"/>
              <w:bottom w:val="nil"/>
              <w:right w:val="nil"/>
            </w:tcBorders>
            <w:noWrap/>
            <w:vAlign w:val="center"/>
            <w:hideMark/>
          </w:tcPr>
          <w:p w14:paraId="36399D4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&lt; 20 years</w:t>
            </w:r>
          </w:p>
        </w:tc>
        <w:tc>
          <w:tcPr>
            <w:tcW w:w="0" w:type="auto"/>
            <w:tcBorders>
              <w:top w:val="nil"/>
              <w:left w:val="nil"/>
              <w:bottom w:val="nil"/>
              <w:right w:val="nil"/>
            </w:tcBorders>
            <w:noWrap/>
            <w:vAlign w:val="center"/>
            <w:hideMark/>
          </w:tcPr>
          <w:p w14:paraId="5B5335B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w:t>
            </w:r>
          </w:p>
        </w:tc>
        <w:tc>
          <w:tcPr>
            <w:tcW w:w="0" w:type="auto"/>
            <w:tcBorders>
              <w:top w:val="nil"/>
              <w:left w:val="nil"/>
              <w:bottom w:val="nil"/>
              <w:right w:val="nil"/>
            </w:tcBorders>
            <w:noWrap/>
            <w:vAlign w:val="center"/>
            <w:hideMark/>
          </w:tcPr>
          <w:p w14:paraId="2240523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w:t>
            </w:r>
          </w:p>
        </w:tc>
        <w:tc>
          <w:tcPr>
            <w:tcW w:w="0" w:type="auto"/>
            <w:tcBorders>
              <w:top w:val="nil"/>
              <w:left w:val="nil"/>
              <w:bottom w:val="nil"/>
              <w:right w:val="nil"/>
            </w:tcBorders>
            <w:noWrap/>
            <w:vAlign w:val="center"/>
            <w:hideMark/>
          </w:tcPr>
          <w:p w14:paraId="189E2228"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w:t>
            </w:r>
          </w:p>
        </w:tc>
        <w:tc>
          <w:tcPr>
            <w:tcW w:w="0" w:type="auto"/>
            <w:tcBorders>
              <w:top w:val="nil"/>
              <w:left w:val="nil"/>
              <w:bottom w:val="nil"/>
              <w:right w:val="nil"/>
            </w:tcBorders>
            <w:noWrap/>
            <w:vAlign w:val="center"/>
            <w:hideMark/>
          </w:tcPr>
          <w:p w14:paraId="059111C8"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23.33</w:t>
            </w:r>
          </w:p>
        </w:tc>
        <w:tc>
          <w:tcPr>
            <w:tcW w:w="0" w:type="auto"/>
            <w:tcBorders>
              <w:top w:val="nil"/>
              <w:left w:val="nil"/>
              <w:bottom w:val="nil"/>
              <w:right w:val="nil"/>
            </w:tcBorders>
            <w:noWrap/>
            <w:vAlign w:val="center"/>
            <w:hideMark/>
          </w:tcPr>
          <w:p w14:paraId="2963D071"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w:t>
            </w:r>
          </w:p>
        </w:tc>
        <w:tc>
          <w:tcPr>
            <w:tcW w:w="0" w:type="auto"/>
            <w:tcBorders>
              <w:top w:val="nil"/>
              <w:left w:val="nil"/>
              <w:bottom w:val="nil"/>
              <w:right w:val="nil"/>
            </w:tcBorders>
            <w:noWrap/>
            <w:vAlign w:val="center"/>
            <w:hideMark/>
          </w:tcPr>
          <w:p w14:paraId="75404E0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16.67</w:t>
            </w:r>
          </w:p>
        </w:tc>
      </w:tr>
      <w:tr w:rsidR="00CD7F09" w:rsidRPr="002D6F1A" w14:paraId="7F144B4F" w14:textId="77777777" w:rsidTr="00226E82">
        <w:trPr>
          <w:trHeight w:val="300"/>
          <w:jc w:val="center"/>
        </w:trPr>
        <w:tc>
          <w:tcPr>
            <w:tcW w:w="3731" w:type="dxa"/>
            <w:tcBorders>
              <w:top w:val="nil"/>
              <w:left w:val="nil"/>
              <w:bottom w:val="nil"/>
              <w:right w:val="nil"/>
            </w:tcBorders>
            <w:noWrap/>
            <w:vAlign w:val="center"/>
            <w:hideMark/>
          </w:tcPr>
          <w:p w14:paraId="7B968A8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20-35 years</w:t>
            </w:r>
          </w:p>
        </w:tc>
        <w:tc>
          <w:tcPr>
            <w:tcW w:w="0" w:type="auto"/>
            <w:tcBorders>
              <w:top w:val="nil"/>
              <w:left w:val="nil"/>
              <w:bottom w:val="nil"/>
              <w:right w:val="nil"/>
            </w:tcBorders>
            <w:noWrap/>
            <w:vAlign w:val="center"/>
            <w:hideMark/>
          </w:tcPr>
          <w:p w14:paraId="594D0A3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25</w:t>
            </w:r>
          </w:p>
        </w:tc>
        <w:tc>
          <w:tcPr>
            <w:tcW w:w="0" w:type="auto"/>
            <w:tcBorders>
              <w:top w:val="nil"/>
              <w:left w:val="nil"/>
              <w:bottom w:val="nil"/>
              <w:right w:val="nil"/>
            </w:tcBorders>
            <w:noWrap/>
            <w:vAlign w:val="center"/>
            <w:hideMark/>
          </w:tcPr>
          <w:p w14:paraId="7B8E1AE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83.33</w:t>
            </w:r>
          </w:p>
        </w:tc>
        <w:tc>
          <w:tcPr>
            <w:tcW w:w="0" w:type="auto"/>
            <w:tcBorders>
              <w:top w:val="nil"/>
              <w:left w:val="nil"/>
              <w:bottom w:val="nil"/>
              <w:right w:val="nil"/>
            </w:tcBorders>
            <w:noWrap/>
            <w:vAlign w:val="center"/>
            <w:hideMark/>
          </w:tcPr>
          <w:p w14:paraId="15ABD75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22</w:t>
            </w:r>
          </w:p>
        </w:tc>
        <w:tc>
          <w:tcPr>
            <w:tcW w:w="0" w:type="auto"/>
            <w:tcBorders>
              <w:top w:val="nil"/>
              <w:left w:val="nil"/>
              <w:bottom w:val="nil"/>
              <w:right w:val="nil"/>
            </w:tcBorders>
            <w:noWrap/>
            <w:vAlign w:val="center"/>
            <w:hideMark/>
          </w:tcPr>
          <w:p w14:paraId="7C718F3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73.33</w:t>
            </w:r>
          </w:p>
        </w:tc>
        <w:tc>
          <w:tcPr>
            <w:tcW w:w="0" w:type="auto"/>
            <w:tcBorders>
              <w:top w:val="nil"/>
              <w:left w:val="nil"/>
              <w:bottom w:val="nil"/>
              <w:right w:val="nil"/>
            </w:tcBorders>
            <w:noWrap/>
            <w:vAlign w:val="center"/>
            <w:hideMark/>
          </w:tcPr>
          <w:p w14:paraId="2B8FB33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47</w:t>
            </w:r>
          </w:p>
        </w:tc>
        <w:tc>
          <w:tcPr>
            <w:tcW w:w="0" w:type="auto"/>
            <w:tcBorders>
              <w:top w:val="nil"/>
              <w:left w:val="nil"/>
              <w:bottom w:val="nil"/>
              <w:right w:val="nil"/>
            </w:tcBorders>
            <w:noWrap/>
            <w:vAlign w:val="center"/>
            <w:hideMark/>
          </w:tcPr>
          <w:p w14:paraId="42DBA34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78.33</w:t>
            </w:r>
          </w:p>
        </w:tc>
      </w:tr>
      <w:tr w:rsidR="00CD7F09" w:rsidRPr="002D6F1A" w14:paraId="3722A4C0" w14:textId="77777777" w:rsidTr="00226E82">
        <w:trPr>
          <w:trHeight w:val="300"/>
          <w:jc w:val="center"/>
        </w:trPr>
        <w:tc>
          <w:tcPr>
            <w:tcW w:w="3731" w:type="dxa"/>
            <w:tcBorders>
              <w:top w:val="nil"/>
              <w:left w:val="nil"/>
              <w:bottom w:val="single" w:sz="4" w:space="0" w:color="auto"/>
              <w:right w:val="nil"/>
            </w:tcBorders>
            <w:noWrap/>
            <w:vAlign w:val="center"/>
            <w:hideMark/>
          </w:tcPr>
          <w:p w14:paraId="5AA8CC44"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&gt; 35 years old</w:t>
            </w:r>
          </w:p>
        </w:tc>
        <w:tc>
          <w:tcPr>
            <w:tcW w:w="0" w:type="auto"/>
            <w:tcBorders>
              <w:top w:val="nil"/>
              <w:left w:val="nil"/>
              <w:bottom w:val="single" w:sz="4" w:space="0" w:color="auto"/>
              <w:right w:val="nil"/>
            </w:tcBorders>
            <w:noWrap/>
            <w:vAlign w:val="center"/>
            <w:hideMark/>
          </w:tcPr>
          <w:p w14:paraId="18B13A6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w:t>
            </w:r>
          </w:p>
        </w:tc>
        <w:tc>
          <w:tcPr>
            <w:tcW w:w="0" w:type="auto"/>
            <w:tcBorders>
              <w:top w:val="nil"/>
              <w:left w:val="nil"/>
              <w:bottom w:val="single" w:sz="4" w:space="0" w:color="auto"/>
              <w:right w:val="nil"/>
            </w:tcBorders>
            <w:noWrap/>
            <w:vAlign w:val="center"/>
            <w:hideMark/>
          </w:tcPr>
          <w:p w14:paraId="621A31E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6.67</w:t>
            </w:r>
          </w:p>
        </w:tc>
        <w:tc>
          <w:tcPr>
            <w:tcW w:w="0" w:type="auto"/>
            <w:tcBorders>
              <w:top w:val="nil"/>
              <w:left w:val="nil"/>
              <w:bottom w:val="single" w:sz="4" w:space="0" w:color="auto"/>
              <w:right w:val="nil"/>
            </w:tcBorders>
            <w:noWrap/>
            <w:vAlign w:val="center"/>
            <w:hideMark/>
          </w:tcPr>
          <w:p w14:paraId="21F90C0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single" w:sz="4" w:space="0" w:color="auto"/>
              <w:right w:val="nil"/>
            </w:tcBorders>
            <w:noWrap/>
            <w:vAlign w:val="center"/>
            <w:hideMark/>
          </w:tcPr>
          <w:p w14:paraId="6A4F9A0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nil"/>
              <w:left w:val="nil"/>
              <w:bottom w:val="single" w:sz="4" w:space="0" w:color="auto"/>
              <w:right w:val="nil"/>
            </w:tcBorders>
            <w:noWrap/>
            <w:vAlign w:val="center"/>
            <w:hideMark/>
          </w:tcPr>
          <w:p w14:paraId="0AD5A3F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w:t>
            </w:r>
          </w:p>
        </w:tc>
        <w:tc>
          <w:tcPr>
            <w:tcW w:w="0" w:type="auto"/>
            <w:tcBorders>
              <w:top w:val="nil"/>
              <w:left w:val="nil"/>
              <w:bottom w:val="single" w:sz="4" w:space="0" w:color="auto"/>
              <w:right w:val="nil"/>
            </w:tcBorders>
            <w:noWrap/>
            <w:vAlign w:val="center"/>
            <w:hideMark/>
          </w:tcPr>
          <w:p w14:paraId="40FFF9E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w:t>
            </w:r>
          </w:p>
        </w:tc>
      </w:tr>
      <w:tr w:rsidR="00CD7F09" w:rsidRPr="002D6F1A" w14:paraId="1C102480" w14:textId="77777777" w:rsidTr="00226E82">
        <w:trPr>
          <w:trHeight w:val="300"/>
          <w:jc w:val="center"/>
        </w:trPr>
        <w:tc>
          <w:tcPr>
            <w:tcW w:w="3731" w:type="dxa"/>
            <w:tcBorders>
              <w:top w:val="single" w:sz="4" w:space="0" w:color="auto"/>
              <w:left w:val="nil"/>
              <w:bottom w:val="single" w:sz="4" w:space="0" w:color="auto"/>
              <w:right w:val="nil"/>
            </w:tcBorders>
            <w:noWrap/>
            <w:vAlign w:val="center"/>
            <w:hideMark/>
          </w:tcPr>
          <w:p w14:paraId="61762A44"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bottom w:val="single" w:sz="4" w:space="0" w:color="auto"/>
              <w:right w:val="nil"/>
            </w:tcBorders>
            <w:noWrap/>
            <w:vAlign w:val="center"/>
            <w:hideMark/>
          </w:tcPr>
          <w:p w14:paraId="0D40588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78912D7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748A738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7E7E72D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5408342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single" w:sz="4" w:space="0" w:color="auto"/>
              <w:right w:val="nil"/>
            </w:tcBorders>
            <w:noWrap/>
            <w:vAlign w:val="center"/>
            <w:hideMark/>
          </w:tcPr>
          <w:p w14:paraId="59C6008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r w:rsidR="00CD7F09" w:rsidRPr="002D6F1A" w14:paraId="2CAAE30B" w14:textId="77777777" w:rsidTr="00226E82">
        <w:trPr>
          <w:trHeight w:val="300"/>
          <w:jc w:val="center"/>
        </w:trPr>
        <w:tc>
          <w:tcPr>
            <w:tcW w:w="7678" w:type="dxa"/>
            <w:gridSpan w:val="7"/>
            <w:tcBorders>
              <w:left w:val="nil"/>
              <w:bottom w:val="single" w:sz="4" w:space="0" w:color="auto"/>
              <w:right w:val="nil"/>
            </w:tcBorders>
            <w:noWrap/>
            <w:vAlign w:val="bottom"/>
            <w:hideMark/>
          </w:tcPr>
          <w:p w14:paraId="01C639FA"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t>Education</w:t>
            </w:r>
          </w:p>
        </w:tc>
      </w:tr>
      <w:tr w:rsidR="00CD7F09" w:rsidRPr="002D6F1A" w14:paraId="7423ABD1" w14:textId="77777777" w:rsidTr="00226E82">
        <w:trPr>
          <w:trHeight w:val="300"/>
          <w:jc w:val="center"/>
        </w:trPr>
        <w:tc>
          <w:tcPr>
            <w:tcW w:w="3731" w:type="dxa"/>
            <w:tcBorders>
              <w:top w:val="single" w:sz="4" w:space="0" w:color="auto"/>
              <w:left w:val="nil"/>
              <w:bottom w:val="nil"/>
              <w:right w:val="nil"/>
            </w:tcBorders>
            <w:noWrap/>
            <w:vAlign w:val="center"/>
            <w:hideMark/>
          </w:tcPr>
          <w:p w14:paraId="2E4DC11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SD</w:t>
            </w:r>
          </w:p>
        </w:tc>
        <w:tc>
          <w:tcPr>
            <w:tcW w:w="0" w:type="auto"/>
            <w:tcBorders>
              <w:top w:val="single" w:sz="4" w:space="0" w:color="auto"/>
              <w:left w:val="nil"/>
              <w:bottom w:val="nil"/>
              <w:right w:val="nil"/>
            </w:tcBorders>
            <w:noWrap/>
            <w:vAlign w:val="center"/>
            <w:hideMark/>
          </w:tcPr>
          <w:p w14:paraId="77F51A8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single" w:sz="4" w:space="0" w:color="auto"/>
              <w:left w:val="nil"/>
              <w:bottom w:val="nil"/>
              <w:right w:val="nil"/>
            </w:tcBorders>
            <w:noWrap/>
            <w:vAlign w:val="center"/>
            <w:hideMark/>
          </w:tcPr>
          <w:p w14:paraId="11073CA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single" w:sz="4" w:space="0" w:color="auto"/>
              <w:left w:val="nil"/>
              <w:bottom w:val="nil"/>
              <w:right w:val="nil"/>
            </w:tcBorders>
            <w:noWrap/>
            <w:vAlign w:val="center"/>
            <w:hideMark/>
          </w:tcPr>
          <w:p w14:paraId="5DADBDE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w:t>
            </w:r>
          </w:p>
        </w:tc>
        <w:tc>
          <w:tcPr>
            <w:tcW w:w="0" w:type="auto"/>
            <w:tcBorders>
              <w:top w:val="single" w:sz="4" w:space="0" w:color="auto"/>
              <w:left w:val="nil"/>
              <w:bottom w:val="nil"/>
              <w:right w:val="nil"/>
            </w:tcBorders>
            <w:noWrap/>
            <w:vAlign w:val="center"/>
            <w:hideMark/>
          </w:tcPr>
          <w:p w14:paraId="6D5C64A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6.67</w:t>
            </w:r>
          </w:p>
        </w:tc>
        <w:tc>
          <w:tcPr>
            <w:tcW w:w="0" w:type="auto"/>
            <w:tcBorders>
              <w:top w:val="single" w:sz="4" w:space="0" w:color="auto"/>
              <w:left w:val="nil"/>
              <w:bottom w:val="nil"/>
              <w:right w:val="nil"/>
            </w:tcBorders>
            <w:noWrap/>
            <w:vAlign w:val="center"/>
            <w:hideMark/>
          </w:tcPr>
          <w:p w14:paraId="0C8EF51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w:t>
            </w:r>
          </w:p>
        </w:tc>
        <w:tc>
          <w:tcPr>
            <w:tcW w:w="0" w:type="auto"/>
            <w:tcBorders>
              <w:top w:val="single" w:sz="4" w:space="0" w:color="auto"/>
              <w:left w:val="nil"/>
              <w:bottom w:val="nil"/>
              <w:right w:val="nil"/>
            </w:tcBorders>
            <w:noWrap/>
            <w:vAlign w:val="center"/>
            <w:hideMark/>
          </w:tcPr>
          <w:p w14:paraId="635CA49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w:t>
            </w:r>
          </w:p>
        </w:tc>
      </w:tr>
      <w:tr w:rsidR="00CD7F09" w:rsidRPr="002D6F1A" w14:paraId="0A42A6D2" w14:textId="77777777" w:rsidTr="00226E82">
        <w:trPr>
          <w:trHeight w:val="300"/>
          <w:jc w:val="center"/>
        </w:trPr>
        <w:tc>
          <w:tcPr>
            <w:tcW w:w="3731" w:type="dxa"/>
            <w:tcBorders>
              <w:top w:val="nil"/>
              <w:left w:val="nil"/>
              <w:bottom w:val="nil"/>
              <w:right w:val="nil"/>
            </w:tcBorders>
            <w:noWrap/>
            <w:vAlign w:val="center"/>
            <w:hideMark/>
          </w:tcPr>
          <w:p w14:paraId="26CBE56E"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JUNIOR</w:t>
            </w:r>
          </w:p>
        </w:tc>
        <w:tc>
          <w:tcPr>
            <w:tcW w:w="0" w:type="auto"/>
            <w:tcBorders>
              <w:top w:val="nil"/>
              <w:left w:val="nil"/>
              <w:bottom w:val="nil"/>
              <w:right w:val="nil"/>
            </w:tcBorders>
            <w:noWrap/>
            <w:vAlign w:val="center"/>
            <w:hideMark/>
          </w:tcPr>
          <w:p w14:paraId="772D6E2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nil"/>
              <w:right w:val="nil"/>
            </w:tcBorders>
            <w:noWrap/>
            <w:vAlign w:val="center"/>
            <w:hideMark/>
          </w:tcPr>
          <w:p w14:paraId="24E782B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nil"/>
              <w:left w:val="nil"/>
              <w:bottom w:val="nil"/>
              <w:right w:val="nil"/>
            </w:tcBorders>
            <w:noWrap/>
            <w:vAlign w:val="center"/>
            <w:hideMark/>
          </w:tcPr>
          <w:p w14:paraId="608DA6E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w:t>
            </w:r>
          </w:p>
        </w:tc>
        <w:tc>
          <w:tcPr>
            <w:tcW w:w="0" w:type="auto"/>
            <w:tcBorders>
              <w:top w:val="nil"/>
              <w:left w:val="nil"/>
              <w:bottom w:val="nil"/>
              <w:right w:val="nil"/>
            </w:tcBorders>
            <w:noWrap/>
            <w:vAlign w:val="center"/>
            <w:hideMark/>
          </w:tcPr>
          <w:p w14:paraId="3547D2C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16.67</w:t>
            </w:r>
          </w:p>
        </w:tc>
        <w:tc>
          <w:tcPr>
            <w:tcW w:w="0" w:type="auto"/>
            <w:tcBorders>
              <w:top w:val="nil"/>
              <w:left w:val="nil"/>
              <w:bottom w:val="nil"/>
              <w:right w:val="nil"/>
            </w:tcBorders>
            <w:noWrap/>
            <w:vAlign w:val="center"/>
            <w:hideMark/>
          </w:tcPr>
          <w:p w14:paraId="1F6D788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w:t>
            </w:r>
          </w:p>
        </w:tc>
        <w:tc>
          <w:tcPr>
            <w:tcW w:w="0" w:type="auto"/>
            <w:tcBorders>
              <w:top w:val="nil"/>
              <w:left w:val="nil"/>
              <w:bottom w:val="nil"/>
              <w:right w:val="nil"/>
            </w:tcBorders>
            <w:noWrap/>
            <w:vAlign w:val="center"/>
            <w:hideMark/>
          </w:tcPr>
          <w:p w14:paraId="45B6A0C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w:t>
            </w:r>
          </w:p>
        </w:tc>
      </w:tr>
      <w:tr w:rsidR="00CD7F09" w:rsidRPr="002D6F1A" w14:paraId="7798D669" w14:textId="77777777" w:rsidTr="00226E82">
        <w:trPr>
          <w:trHeight w:val="300"/>
          <w:jc w:val="center"/>
        </w:trPr>
        <w:tc>
          <w:tcPr>
            <w:tcW w:w="3731" w:type="dxa"/>
            <w:tcBorders>
              <w:top w:val="nil"/>
              <w:left w:val="nil"/>
              <w:bottom w:val="nil"/>
              <w:right w:val="nil"/>
            </w:tcBorders>
            <w:noWrap/>
            <w:vAlign w:val="center"/>
            <w:hideMark/>
          </w:tcPr>
          <w:p w14:paraId="275FF00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High School/Equivalent</w:t>
            </w:r>
          </w:p>
        </w:tc>
        <w:tc>
          <w:tcPr>
            <w:tcW w:w="0" w:type="auto"/>
            <w:tcBorders>
              <w:top w:val="nil"/>
              <w:left w:val="nil"/>
              <w:bottom w:val="nil"/>
              <w:right w:val="nil"/>
            </w:tcBorders>
            <w:noWrap/>
            <w:vAlign w:val="center"/>
            <w:hideMark/>
          </w:tcPr>
          <w:p w14:paraId="2687C34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24</w:t>
            </w:r>
          </w:p>
        </w:tc>
        <w:tc>
          <w:tcPr>
            <w:tcW w:w="0" w:type="auto"/>
            <w:tcBorders>
              <w:top w:val="nil"/>
              <w:left w:val="nil"/>
              <w:bottom w:val="nil"/>
              <w:right w:val="nil"/>
            </w:tcBorders>
            <w:noWrap/>
            <w:vAlign w:val="center"/>
            <w:hideMark/>
          </w:tcPr>
          <w:p w14:paraId="415BAEB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80</w:t>
            </w:r>
          </w:p>
        </w:tc>
        <w:tc>
          <w:tcPr>
            <w:tcW w:w="0" w:type="auto"/>
            <w:tcBorders>
              <w:top w:val="nil"/>
              <w:left w:val="nil"/>
              <w:bottom w:val="nil"/>
              <w:right w:val="nil"/>
            </w:tcBorders>
            <w:noWrap/>
            <w:vAlign w:val="center"/>
            <w:hideMark/>
          </w:tcPr>
          <w:p w14:paraId="7549C11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19</w:t>
            </w:r>
          </w:p>
        </w:tc>
        <w:tc>
          <w:tcPr>
            <w:tcW w:w="0" w:type="auto"/>
            <w:tcBorders>
              <w:top w:val="nil"/>
              <w:left w:val="nil"/>
              <w:bottom w:val="nil"/>
              <w:right w:val="nil"/>
            </w:tcBorders>
            <w:noWrap/>
            <w:vAlign w:val="center"/>
            <w:hideMark/>
          </w:tcPr>
          <w:p w14:paraId="2980CAA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63.33</w:t>
            </w:r>
          </w:p>
        </w:tc>
        <w:tc>
          <w:tcPr>
            <w:tcW w:w="0" w:type="auto"/>
            <w:tcBorders>
              <w:top w:val="nil"/>
              <w:left w:val="nil"/>
              <w:bottom w:val="nil"/>
              <w:right w:val="nil"/>
            </w:tcBorders>
            <w:noWrap/>
            <w:vAlign w:val="center"/>
            <w:hideMark/>
          </w:tcPr>
          <w:p w14:paraId="4CEB069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43</w:t>
            </w:r>
          </w:p>
        </w:tc>
        <w:tc>
          <w:tcPr>
            <w:tcW w:w="0" w:type="auto"/>
            <w:tcBorders>
              <w:top w:val="nil"/>
              <w:left w:val="nil"/>
              <w:bottom w:val="nil"/>
              <w:right w:val="nil"/>
            </w:tcBorders>
            <w:noWrap/>
            <w:vAlign w:val="center"/>
            <w:hideMark/>
          </w:tcPr>
          <w:p w14:paraId="6F67AE5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71.67</w:t>
            </w:r>
          </w:p>
        </w:tc>
      </w:tr>
      <w:tr w:rsidR="00CD7F09" w:rsidRPr="002D6F1A" w14:paraId="18AD6B0C" w14:textId="77777777" w:rsidTr="00226E82">
        <w:trPr>
          <w:trHeight w:val="300"/>
          <w:jc w:val="center"/>
        </w:trPr>
        <w:tc>
          <w:tcPr>
            <w:tcW w:w="3731" w:type="dxa"/>
            <w:tcBorders>
              <w:top w:val="nil"/>
              <w:left w:val="nil"/>
              <w:bottom w:val="single" w:sz="4" w:space="0" w:color="auto"/>
              <w:right w:val="nil"/>
            </w:tcBorders>
            <w:noWrap/>
            <w:vAlign w:val="center"/>
            <w:hideMark/>
          </w:tcPr>
          <w:p w14:paraId="1EC9C19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PT</w:t>
            </w:r>
          </w:p>
        </w:tc>
        <w:tc>
          <w:tcPr>
            <w:tcW w:w="0" w:type="auto"/>
            <w:tcBorders>
              <w:top w:val="nil"/>
              <w:left w:val="nil"/>
              <w:bottom w:val="single" w:sz="4" w:space="0" w:color="auto"/>
              <w:right w:val="nil"/>
            </w:tcBorders>
            <w:noWrap/>
            <w:vAlign w:val="center"/>
            <w:hideMark/>
          </w:tcPr>
          <w:p w14:paraId="3D1433F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w:t>
            </w:r>
          </w:p>
        </w:tc>
        <w:tc>
          <w:tcPr>
            <w:tcW w:w="0" w:type="auto"/>
            <w:tcBorders>
              <w:top w:val="nil"/>
              <w:left w:val="nil"/>
              <w:bottom w:val="single" w:sz="4" w:space="0" w:color="auto"/>
              <w:right w:val="nil"/>
            </w:tcBorders>
            <w:noWrap/>
            <w:vAlign w:val="center"/>
            <w:hideMark/>
          </w:tcPr>
          <w:p w14:paraId="4B1A6578"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13.33</w:t>
            </w:r>
          </w:p>
        </w:tc>
        <w:tc>
          <w:tcPr>
            <w:tcW w:w="0" w:type="auto"/>
            <w:tcBorders>
              <w:top w:val="nil"/>
              <w:left w:val="nil"/>
              <w:bottom w:val="single" w:sz="4" w:space="0" w:color="auto"/>
              <w:right w:val="nil"/>
            </w:tcBorders>
            <w:noWrap/>
            <w:vAlign w:val="center"/>
            <w:hideMark/>
          </w:tcPr>
          <w:p w14:paraId="4EB3852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w:t>
            </w:r>
          </w:p>
        </w:tc>
        <w:tc>
          <w:tcPr>
            <w:tcW w:w="0" w:type="auto"/>
            <w:tcBorders>
              <w:top w:val="nil"/>
              <w:left w:val="nil"/>
              <w:bottom w:val="single" w:sz="4" w:space="0" w:color="auto"/>
              <w:right w:val="nil"/>
            </w:tcBorders>
            <w:noWrap/>
            <w:vAlign w:val="center"/>
            <w:hideMark/>
          </w:tcPr>
          <w:p w14:paraId="5808443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13.33</w:t>
            </w:r>
          </w:p>
        </w:tc>
        <w:tc>
          <w:tcPr>
            <w:tcW w:w="0" w:type="auto"/>
            <w:tcBorders>
              <w:top w:val="nil"/>
              <w:left w:val="nil"/>
              <w:bottom w:val="single" w:sz="4" w:space="0" w:color="auto"/>
              <w:right w:val="nil"/>
            </w:tcBorders>
            <w:noWrap/>
            <w:vAlign w:val="center"/>
            <w:hideMark/>
          </w:tcPr>
          <w:p w14:paraId="502D04E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8</w:t>
            </w:r>
          </w:p>
        </w:tc>
        <w:tc>
          <w:tcPr>
            <w:tcW w:w="0" w:type="auto"/>
            <w:tcBorders>
              <w:top w:val="nil"/>
              <w:left w:val="nil"/>
              <w:bottom w:val="single" w:sz="4" w:space="0" w:color="auto"/>
              <w:right w:val="nil"/>
            </w:tcBorders>
            <w:noWrap/>
            <w:vAlign w:val="center"/>
            <w:hideMark/>
          </w:tcPr>
          <w:p w14:paraId="6A21405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13.33</w:t>
            </w:r>
          </w:p>
        </w:tc>
      </w:tr>
      <w:tr w:rsidR="00CD7F09" w:rsidRPr="002D6F1A" w14:paraId="68E6F58F" w14:textId="77777777" w:rsidTr="00226E82">
        <w:trPr>
          <w:trHeight w:val="300"/>
          <w:jc w:val="center"/>
        </w:trPr>
        <w:tc>
          <w:tcPr>
            <w:tcW w:w="3731" w:type="dxa"/>
            <w:tcBorders>
              <w:top w:val="single" w:sz="4" w:space="0" w:color="auto"/>
              <w:left w:val="nil"/>
              <w:bottom w:val="single" w:sz="4" w:space="0" w:color="auto"/>
              <w:right w:val="nil"/>
            </w:tcBorders>
            <w:noWrap/>
            <w:vAlign w:val="center"/>
            <w:hideMark/>
          </w:tcPr>
          <w:p w14:paraId="57DF967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bottom w:val="single" w:sz="4" w:space="0" w:color="auto"/>
              <w:right w:val="nil"/>
            </w:tcBorders>
            <w:noWrap/>
            <w:vAlign w:val="center"/>
            <w:hideMark/>
          </w:tcPr>
          <w:p w14:paraId="379BF9D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75CBB5A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23054CC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1D5FE25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027AC7E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single" w:sz="4" w:space="0" w:color="auto"/>
              <w:right w:val="nil"/>
            </w:tcBorders>
            <w:noWrap/>
            <w:vAlign w:val="center"/>
            <w:hideMark/>
          </w:tcPr>
          <w:p w14:paraId="3B528C8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r w:rsidR="00CD7F09" w:rsidRPr="002D6F1A" w14:paraId="39A86DF3" w14:textId="77777777" w:rsidTr="00226E82">
        <w:trPr>
          <w:trHeight w:val="300"/>
          <w:jc w:val="center"/>
        </w:trPr>
        <w:tc>
          <w:tcPr>
            <w:tcW w:w="7678" w:type="dxa"/>
            <w:gridSpan w:val="7"/>
            <w:tcBorders>
              <w:left w:val="nil"/>
              <w:bottom w:val="single" w:sz="4" w:space="0" w:color="auto"/>
              <w:right w:val="nil"/>
            </w:tcBorders>
            <w:noWrap/>
            <w:vAlign w:val="bottom"/>
            <w:hideMark/>
          </w:tcPr>
          <w:p w14:paraId="3A2F0A3C"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t>Gestational Age</w:t>
            </w:r>
          </w:p>
        </w:tc>
      </w:tr>
      <w:tr w:rsidR="00CD7F09" w:rsidRPr="002D6F1A" w14:paraId="498BBE78" w14:textId="77777777" w:rsidTr="00226E82">
        <w:trPr>
          <w:trHeight w:val="300"/>
          <w:jc w:val="center"/>
        </w:trPr>
        <w:tc>
          <w:tcPr>
            <w:tcW w:w="3731" w:type="dxa"/>
            <w:tcBorders>
              <w:top w:val="single" w:sz="4" w:space="0" w:color="auto"/>
              <w:left w:val="nil"/>
              <w:bottom w:val="nil"/>
              <w:right w:val="nil"/>
            </w:tcBorders>
            <w:noWrap/>
            <w:vAlign w:val="center"/>
            <w:hideMark/>
          </w:tcPr>
          <w:p w14:paraId="399DDDE9"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&lt; 24 weeks</w:t>
            </w:r>
          </w:p>
        </w:tc>
        <w:tc>
          <w:tcPr>
            <w:tcW w:w="0" w:type="auto"/>
            <w:tcBorders>
              <w:top w:val="single" w:sz="4" w:space="0" w:color="auto"/>
              <w:left w:val="nil"/>
              <w:bottom w:val="nil"/>
              <w:right w:val="nil"/>
            </w:tcBorders>
            <w:noWrap/>
            <w:vAlign w:val="center"/>
            <w:hideMark/>
          </w:tcPr>
          <w:p w14:paraId="7857142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17</w:t>
            </w:r>
          </w:p>
        </w:tc>
        <w:tc>
          <w:tcPr>
            <w:tcW w:w="0" w:type="auto"/>
            <w:tcBorders>
              <w:top w:val="single" w:sz="4" w:space="0" w:color="auto"/>
              <w:left w:val="nil"/>
              <w:bottom w:val="nil"/>
              <w:right w:val="nil"/>
            </w:tcBorders>
            <w:noWrap/>
            <w:vAlign w:val="center"/>
            <w:hideMark/>
          </w:tcPr>
          <w:p w14:paraId="3FACF43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56.67</w:t>
            </w:r>
          </w:p>
        </w:tc>
        <w:tc>
          <w:tcPr>
            <w:tcW w:w="0" w:type="auto"/>
            <w:tcBorders>
              <w:top w:val="single" w:sz="4" w:space="0" w:color="auto"/>
              <w:left w:val="nil"/>
              <w:bottom w:val="nil"/>
              <w:right w:val="nil"/>
            </w:tcBorders>
            <w:noWrap/>
            <w:vAlign w:val="center"/>
            <w:hideMark/>
          </w:tcPr>
          <w:p w14:paraId="69217F9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14</w:t>
            </w:r>
          </w:p>
        </w:tc>
        <w:tc>
          <w:tcPr>
            <w:tcW w:w="0" w:type="auto"/>
            <w:tcBorders>
              <w:top w:val="single" w:sz="4" w:space="0" w:color="auto"/>
              <w:left w:val="nil"/>
              <w:bottom w:val="nil"/>
              <w:right w:val="nil"/>
            </w:tcBorders>
            <w:noWrap/>
            <w:vAlign w:val="center"/>
            <w:hideMark/>
          </w:tcPr>
          <w:p w14:paraId="452820F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46.67</w:t>
            </w:r>
          </w:p>
        </w:tc>
        <w:tc>
          <w:tcPr>
            <w:tcW w:w="0" w:type="auto"/>
            <w:tcBorders>
              <w:top w:val="single" w:sz="4" w:space="0" w:color="auto"/>
              <w:left w:val="nil"/>
              <w:bottom w:val="nil"/>
              <w:right w:val="nil"/>
            </w:tcBorders>
            <w:noWrap/>
            <w:vAlign w:val="center"/>
            <w:hideMark/>
          </w:tcPr>
          <w:p w14:paraId="2F847EA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31</w:t>
            </w:r>
          </w:p>
        </w:tc>
        <w:tc>
          <w:tcPr>
            <w:tcW w:w="0" w:type="auto"/>
            <w:tcBorders>
              <w:top w:val="single" w:sz="4" w:space="0" w:color="auto"/>
              <w:left w:val="nil"/>
              <w:bottom w:val="nil"/>
              <w:right w:val="nil"/>
            </w:tcBorders>
            <w:noWrap/>
            <w:vAlign w:val="center"/>
            <w:hideMark/>
          </w:tcPr>
          <w:p w14:paraId="08FC13A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51.67</w:t>
            </w:r>
          </w:p>
        </w:tc>
      </w:tr>
      <w:tr w:rsidR="00CD7F09" w:rsidRPr="002D6F1A" w14:paraId="51558E1B" w14:textId="77777777" w:rsidTr="00226E82">
        <w:trPr>
          <w:trHeight w:val="300"/>
          <w:jc w:val="center"/>
        </w:trPr>
        <w:tc>
          <w:tcPr>
            <w:tcW w:w="3731" w:type="dxa"/>
            <w:tcBorders>
              <w:top w:val="nil"/>
              <w:left w:val="nil"/>
              <w:bottom w:val="single" w:sz="4" w:space="0" w:color="auto"/>
              <w:right w:val="nil"/>
            </w:tcBorders>
            <w:noWrap/>
            <w:vAlign w:val="center"/>
            <w:hideMark/>
          </w:tcPr>
          <w:p w14:paraId="37A78392"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 24 weeks</w:t>
            </w:r>
          </w:p>
        </w:tc>
        <w:tc>
          <w:tcPr>
            <w:tcW w:w="0" w:type="auto"/>
            <w:tcBorders>
              <w:top w:val="nil"/>
              <w:left w:val="nil"/>
              <w:bottom w:val="single" w:sz="4" w:space="0" w:color="auto"/>
              <w:right w:val="nil"/>
            </w:tcBorders>
            <w:noWrap/>
            <w:vAlign w:val="center"/>
            <w:hideMark/>
          </w:tcPr>
          <w:p w14:paraId="306F4D7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w:t>
            </w:r>
          </w:p>
        </w:tc>
        <w:tc>
          <w:tcPr>
            <w:tcW w:w="0" w:type="auto"/>
            <w:tcBorders>
              <w:top w:val="nil"/>
              <w:left w:val="nil"/>
              <w:bottom w:val="single" w:sz="4" w:space="0" w:color="auto"/>
              <w:right w:val="nil"/>
            </w:tcBorders>
            <w:noWrap/>
            <w:vAlign w:val="center"/>
            <w:hideMark/>
          </w:tcPr>
          <w:p w14:paraId="38FB5E0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43.333</w:t>
            </w:r>
          </w:p>
        </w:tc>
        <w:tc>
          <w:tcPr>
            <w:tcW w:w="0" w:type="auto"/>
            <w:tcBorders>
              <w:top w:val="nil"/>
              <w:left w:val="nil"/>
              <w:bottom w:val="single" w:sz="4" w:space="0" w:color="auto"/>
              <w:right w:val="nil"/>
            </w:tcBorders>
            <w:noWrap/>
            <w:vAlign w:val="center"/>
            <w:hideMark/>
          </w:tcPr>
          <w:p w14:paraId="1E538BF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w:t>
            </w:r>
          </w:p>
        </w:tc>
        <w:tc>
          <w:tcPr>
            <w:tcW w:w="0" w:type="auto"/>
            <w:tcBorders>
              <w:top w:val="nil"/>
              <w:left w:val="nil"/>
              <w:bottom w:val="single" w:sz="4" w:space="0" w:color="auto"/>
              <w:right w:val="nil"/>
            </w:tcBorders>
            <w:noWrap/>
            <w:vAlign w:val="center"/>
            <w:hideMark/>
          </w:tcPr>
          <w:p w14:paraId="062E210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53.33</w:t>
            </w:r>
          </w:p>
        </w:tc>
        <w:tc>
          <w:tcPr>
            <w:tcW w:w="0" w:type="auto"/>
            <w:tcBorders>
              <w:top w:val="nil"/>
              <w:left w:val="nil"/>
              <w:bottom w:val="single" w:sz="4" w:space="0" w:color="auto"/>
              <w:right w:val="nil"/>
            </w:tcBorders>
            <w:noWrap/>
            <w:vAlign w:val="center"/>
            <w:hideMark/>
          </w:tcPr>
          <w:p w14:paraId="32B60B9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29</w:t>
            </w:r>
          </w:p>
        </w:tc>
        <w:tc>
          <w:tcPr>
            <w:tcW w:w="0" w:type="auto"/>
            <w:tcBorders>
              <w:top w:val="nil"/>
              <w:left w:val="nil"/>
              <w:bottom w:val="single" w:sz="4" w:space="0" w:color="auto"/>
              <w:right w:val="nil"/>
            </w:tcBorders>
            <w:noWrap/>
            <w:vAlign w:val="center"/>
            <w:hideMark/>
          </w:tcPr>
          <w:p w14:paraId="0CE892D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48.33</w:t>
            </w:r>
          </w:p>
        </w:tc>
      </w:tr>
      <w:tr w:rsidR="00CD7F09" w:rsidRPr="002D6F1A" w14:paraId="6858A9E3" w14:textId="77777777" w:rsidTr="00226E82">
        <w:trPr>
          <w:trHeight w:val="300"/>
          <w:jc w:val="center"/>
        </w:trPr>
        <w:tc>
          <w:tcPr>
            <w:tcW w:w="3731" w:type="dxa"/>
            <w:tcBorders>
              <w:top w:val="single" w:sz="4" w:space="0" w:color="auto"/>
              <w:left w:val="nil"/>
              <w:bottom w:val="single" w:sz="4" w:space="0" w:color="auto"/>
              <w:right w:val="nil"/>
            </w:tcBorders>
            <w:noWrap/>
            <w:vAlign w:val="center"/>
            <w:hideMark/>
          </w:tcPr>
          <w:p w14:paraId="69F324DB"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bottom w:val="single" w:sz="4" w:space="0" w:color="auto"/>
              <w:right w:val="nil"/>
            </w:tcBorders>
            <w:noWrap/>
            <w:vAlign w:val="center"/>
            <w:hideMark/>
          </w:tcPr>
          <w:p w14:paraId="2FD9C77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50C6EFC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7AE8CE2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50397E7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48B676D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single" w:sz="4" w:space="0" w:color="auto"/>
              <w:right w:val="nil"/>
            </w:tcBorders>
            <w:noWrap/>
            <w:vAlign w:val="center"/>
            <w:hideMark/>
          </w:tcPr>
          <w:p w14:paraId="1AF9485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r w:rsidR="00CD7F09" w:rsidRPr="002D6F1A" w14:paraId="71B19CD2" w14:textId="77777777" w:rsidTr="00226E82">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6B2125BC"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t>Gravida</w:t>
            </w:r>
          </w:p>
        </w:tc>
      </w:tr>
      <w:tr w:rsidR="00CD7F09" w:rsidRPr="002D6F1A" w14:paraId="44EB846A" w14:textId="77777777" w:rsidTr="00226E82">
        <w:trPr>
          <w:trHeight w:val="300"/>
          <w:jc w:val="center"/>
        </w:trPr>
        <w:tc>
          <w:tcPr>
            <w:tcW w:w="3731" w:type="dxa"/>
            <w:tcBorders>
              <w:top w:val="single" w:sz="4" w:space="0" w:color="auto"/>
              <w:left w:val="nil"/>
              <w:bottom w:val="nil"/>
              <w:right w:val="nil"/>
            </w:tcBorders>
            <w:noWrap/>
            <w:vAlign w:val="center"/>
            <w:hideMark/>
          </w:tcPr>
          <w:p w14:paraId="5D9CBD2C"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Primigravida</w:t>
            </w:r>
          </w:p>
        </w:tc>
        <w:tc>
          <w:tcPr>
            <w:tcW w:w="0" w:type="auto"/>
            <w:tcBorders>
              <w:top w:val="single" w:sz="4" w:space="0" w:color="auto"/>
              <w:left w:val="nil"/>
              <w:bottom w:val="nil"/>
              <w:right w:val="nil"/>
            </w:tcBorders>
            <w:noWrap/>
            <w:vAlign w:val="center"/>
            <w:hideMark/>
          </w:tcPr>
          <w:p w14:paraId="611230E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18</w:t>
            </w:r>
          </w:p>
        </w:tc>
        <w:tc>
          <w:tcPr>
            <w:tcW w:w="0" w:type="auto"/>
            <w:tcBorders>
              <w:top w:val="single" w:sz="4" w:space="0" w:color="auto"/>
              <w:left w:val="nil"/>
              <w:bottom w:val="nil"/>
              <w:right w:val="nil"/>
            </w:tcBorders>
            <w:noWrap/>
            <w:vAlign w:val="center"/>
            <w:hideMark/>
          </w:tcPr>
          <w:p w14:paraId="11EBDC2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nil"/>
              <w:right w:val="nil"/>
            </w:tcBorders>
            <w:noWrap/>
            <w:vAlign w:val="center"/>
            <w:hideMark/>
          </w:tcPr>
          <w:p w14:paraId="206A694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17</w:t>
            </w:r>
          </w:p>
        </w:tc>
        <w:tc>
          <w:tcPr>
            <w:tcW w:w="0" w:type="auto"/>
            <w:tcBorders>
              <w:top w:val="single" w:sz="4" w:space="0" w:color="auto"/>
              <w:left w:val="nil"/>
              <w:bottom w:val="nil"/>
              <w:right w:val="nil"/>
            </w:tcBorders>
            <w:noWrap/>
            <w:vAlign w:val="center"/>
            <w:hideMark/>
          </w:tcPr>
          <w:p w14:paraId="2D56058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56.67</w:t>
            </w:r>
          </w:p>
        </w:tc>
        <w:tc>
          <w:tcPr>
            <w:tcW w:w="0" w:type="auto"/>
            <w:tcBorders>
              <w:top w:val="single" w:sz="4" w:space="0" w:color="auto"/>
              <w:left w:val="nil"/>
              <w:bottom w:val="nil"/>
              <w:right w:val="nil"/>
            </w:tcBorders>
            <w:noWrap/>
            <w:vAlign w:val="center"/>
            <w:hideMark/>
          </w:tcPr>
          <w:p w14:paraId="581F47D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35</w:t>
            </w:r>
          </w:p>
        </w:tc>
        <w:tc>
          <w:tcPr>
            <w:tcW w:w="0" w:type="auto"/>
            <w:tcBorders>
              <w:top w:val="single" w:sz="4" w:space="0" w:color="auto"/>
              <w:left w:val="nil"/>
              <w:bottom w:val="nil"/>
              <w:right w:val="nil"/>
            </w:tcBorders>
            <w:noWrap/>
            <w:vAlign w:val="center"/>
            <w:hideMark/>
          </w:tcPr>
          <w:p w14:paraId="4312D7B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58.33</w:t>
            </w:r>
          </w:p>
        </w:tc>
      </w:tr>
      <w:tr w:rsidR="00CD7F09" w:rsidRPr="002D6F1A" w14:paraId="77897076" w14:textId="77777777" w:rsidTr="00226E82">
        <w:trPr>
          <w:trHeight w:val="300"/>
          <w:jc w:val="center"/>
        </w:trPr>
        <w:tc>
          <w:tcPr>
            <w:tcW w:w="3731" w:type="dxa"/>
            <w:tcBorders>
              <w:top w:val="nil"/>
              <w:left w:val="nil"/>
              <w:bottom w:val="nil"/>
              <w:right w:val="nil"/>
            </w:tcBorders>
            <w:noWrap/>
            <w:vAlign w:val="center"/>
            <w:hideMark/>
          </w:tcPr>
          <w:p w14:paraId="3477797C"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Multigravida</w:t>
            </w:r>
          </w:p>
        </w:tc>
        <w:tc>
          <w:tcPr>
            <w:tcW w:w="0" w:type="auto"/>
            <w:tcBorders>
              <w:top w:val="nil"/>
              <w:left w:val="nil"/>
              <w:bottom w:val="nil"/>
              <w:right w:val="nil"/>
            </w:tcBorders>
            <w:noWrap/>
            <w:vAlign w:val="center"/>
            <w:hideMark/>
          </w:tcPr>
          <w:p w14:paraId="667C55F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11</w:t>
            </w:r>
          </w:p>
        </w:tc>
        <w:tc>
          <w:tcPr>
            <w:tcW w:w="0" w:type="auto"/>
            <w:tcBorders>
              <w:top w:val="nil"/>
              <w:left w:val="nil"/>
              <w:bottom w:val="nil"/>
              <w:right w:val="nil"/>
            </w:tcBorders>
            <w:noWrap/>
            <w:vAlign w:val="center"/>
            <w:hideMark/>
          </w:tcPr>
          <w:p w14:paraId="4AFA2531"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36.67</w:t>
            </w:r>
          </w:p>
        </w:tc>
        <w:tc>
          <w:tcPr>
            <w:tcW w:w="0" w:type="auto"/>
            <w:tcBorders>
              <w:top w:val="nil"/>
              <w:left w:val="nil"/>
              <w:bottom w:val="nil"/>
              <w:right w:val="nil"/>
            </w:tcBorders>
            <w:noWrap/>
            <w:vAlign w:val="center"/>
            <w:hideMark/>
          </w:tcPr>
          <w:p w14:paraId="7971A17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w:t>
            </w:r>
          </w:p>
        </w:tc>
        <w:tc>
          <w:tcPr>
            <w:tcW w:w="0" w:type="auto"/>
            <w:tcBorders>
              <w:top w:val="nil"/>
              <w:left w:val="nil"/>
              <w:bottom w:val="nil"/>
              <w:right w:val="nil"/>
            </w:tcBorders>
            <w:noWrap/>
            <w:vAlign w:val="center"/>
            <w:hideMark/>
          </w:tcPr>
          <w:p w14:paraId="174B415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43.33</w:t>
            </w:r>
          </w:p>
        </w:tc>
        <w:tc>
          <w:tcPr>
            <w:tcW w:w="0" w:type="auto"/>
            <w:tcBorders>
              <w:top w:val="nil"/>
              <w:left w:val="nil"/>
              <w:bottom w:val="nil"/>
              <w:right w:val="nil"/>
            </w:tcBorders>
            <w:noWrap/>
            <w:vAlign w:val="center"/>
            <w:hideMark/>
          </w:tcPr>
          <w:p w14:paraId="3D15B58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24</w:t>
            </w:r>
          </w:p>
        </w:tc>
        <w:tc>
          <w:tcPr>
            <w:tcW w:w="0" w:type="auto"/>
            <w:tcBorders>
              <w:top w:val="nil"/>
              <w:left w:val="nil"/>
              <w:bottom w:val="nil"/>
              <w:right w:val="nil"/>
            </w:tcBorders>
            <w:noWrap/>
            <w:vAlign w:val="center"/>
            <w:hideMark/>
          </w:tcPr>
          <w:p w14:paraId="04E2454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40</w:t>
            </w:r>
          </w:p>
        </w:tc>
      </w:tr>
      <w:tr w:rsidR="00CD7F09" w:rsidRPr="002D6F1A" w14:paraId="75D04AD1" w14:textId="77777777" w:rsidTr="00226E82">
        <w:trPr>
          <w:trHeight w:val="300"/>
          <w:jc w:val="center"/>
        </w:trPr>
        <w:tc>
          <w:tcPr>
            <w:tcW w:w="3731" w:type="dxa"/>
            <w:tcBorders>
              <w:top w:val="nil"/>
              <w:left w:val="nil"/>
              <w:bottom w:val="single" w:sz="4" w:space="0" w:color="auto"/>
              <w:right w:val="nil"/>
            </w:tcBorders>
            <w:noWrap/>
            <w:vAlign w:val="center"/>
            <w:hideMark/>
          </w:tcPr>
          <w:p w14:paraId="673AD687"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Grande-multigravida</w:t>
            </w:r>
          </w:p>
        </w:tc>
        <w:tc>
          <w:tcPr>
            <w:tcW w:w="0" w:type="auto"/>
            <w:tcBorders>
              <w:top w:val="nil"/>
              <w:left w:val="nil"/>
              <w:bottom w:val="single" w:sz="4" w:space="0" w:color="auto"/>
              <w:right w:val="nil"/>
            </w:tcBorders>
            <w:noWrap/>
            <w:vAlign w:val="center"/>
            <w:hideMark/>
          </w:tcPr>
          <w:p w14:paraId="5744D7F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single" w:sz="4" w:space="0" w:color="auto"/>
              <w:right w:val="nil"/>
            </w:tcBorders>
            <w:noWrap/>
            <w:vAlign w:val="center"/>
            <w:hideMark/>
          </w:tcPr>
          <w:p w14:paraId="071E70F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nil"/>
              <w:left w:val="nil"/>
              <w:bottom w:val="single" w:sz="4" w:space="0" w:color="auto"/>
              <w:right w:val="nil"/>
            </w:tcBorders>
            <w:noWrap/>
            <w:vAlign w:val="center"/>
            <w:hideMark/>
          </w:tcPr>
          <w:p w14:paraId="35E11AE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0</w:t>
            </w:r>
          </w:p>
        </w:tc>
        <w:tc>
          <w:tcPr>
            <w:tcW w:w="0" w:type="auto"/>
            <w:tcBorders>
              <w:top w:val="nil"/>
              <w:left w:val="nil"/>
              <w:bottom w:val="single" w:sz="4" w:space="0" w:color="auto"/>
              <w:right w:val="nil"/>
            </w:tcBorders>
            <w:noWrap/>
            <w:vAlign w:val="center"/>
            <w:hideMark/>
          </w:tcPr>
          <w:p w14:paraId="17D137C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0</w:t>
            </w:r>
          </w:p>
        </w:tc>
        <w:tc>
          <w:tcPr>
            <w:tcW w:w="0" w:type="auto"/>
            <w:tcBorders>
              <w:top w:val="nil"/>
              <w:left w:val="nil"/>
              <w:bottom w:val="single" w:sz="4" w:space="0" w:color="auto"/>
              <w:right w:val="nil"/>
            </w:tcBorders>
            <w:noWrap/>
            <w:vAlign w:val="center"/>
            <w:hideMark/>
          </w:tcPr>
          <w:p w14:paraId="50569C4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single" w:sz="4" w:space="0" w:color="auto"/>
              <w:right w:val="nil"/>
            </w:tcBorders>
            <w:noWrap/>
            <w:vAlign w:val="center"/>
            <w:hideMark/>
          </w:tcPr>
          <w:p w14:paraId="25B6EDD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1.67</w:t>
            </w:r>
          </w:p>
        </w:tc>
      </w:tr>
      <w:tr w:rsidR="00CD7F09" w:rsidRPr="002D6F1A" w14:paraId="4E5EB75E" w14:textId="77777777" w:rsidTr="00226E82">
        <w:trPr>
          <w:trHeight w:val="300"/>
          <w:jc w:val="center"/>
        </w:trPr>
        <w:tc>
          <w:tcPr>
            <w:tcW w:w="3731" w:type="dxa"/>
            <w:tcBorders>
              <w:top w:val="single" w:sz="4" w:space="0" w:color="auto"/>
              <w:left w:val="nil"/>
              <w:right w:val="nil"/>
            </w:tcBorders>
            <w:noWrap/>
            <w:vAlign w:val="center"/>
            <w:hideMark/>
          </w:tcPr>
          <w:p w14:paraId="09811ED0"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right w:val="nil"/>
            </w:tcBorders>
            <w:noWrap/>
            <w:vAlign w:val="center"/>
            <w:hideMark/>
          </w:tcPr>
          <w:p w14:paraId="3987CD5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right w:val="nil"/>
            </w:tcBorders>
            <w:noWrap/>
            <w:vAlign w:val="center"/>
            <w:hideMark/>
          </w:tcPr>
          <w:p w14:paraId="29DDF3F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right w:val="nil"/>
            </w:tcBorders>
            <w:noWrap/>
            <w:vAlign w:val="center"/>
            <w:hideMark/>
          </w:tcPr>
          <w:p w14:paraId="42E48D9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right w:val="nil"/>
            </w:tcBorders>
            <w:noWrap/>
            <w:vAlign w:val="center"/>
            <w:hideMark/>
          </w:tcPr>
          <w:p w14:paraId="5518AB4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right w:val="nil"/>
            </w:tcBorders>
            <w:noWrap/>
            <w:vAlign w:val="center"/>
            <w:hideMark/>
          </w:tcPr>
          <w:p w14:paraId="2E7093D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right w:val="nil"/>
            </w:tcBorders>
            <w:noWrap/>
            <w:vAlign w:val="center"/>
            <w:hideMark/>
          </w:tcPr>
          <w:p w14:paraId="2FE3B9E1"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bl>
    <w:p w14:paraId="22AD67B1" w14:textId="77777777" w:rsidR="00CD7F09" w:rsidRPr="002D6F1A" w:rsidRDefault="00CD7F09" w:rsidP="00CD7F09">
      <w:pPr>
        <w:spacing w:after="0" w:line="360" w:lineRule="auto"/>
        <w:contextualSpacing/>
        <w:rPr>
          <w:rFonts w:eastAsia="Calibri" w:cs="Times New Roman"/>
        </w:rPr>
      </w:pPr>
    </w:p>
    <w:p w14:paraId="716FC345" w14:textId="77777777" w:rsidR="00CD7F09" w:rsidRPr="002D6F1A" w:rsidRDefault="00CD7F09" w:rsidP="00CD7F09">
      <w:pPr>
        <w:spacing w:after="0" w:line="360" w:lineRule="auto"/>
        <w:ind w:firstLine="720"/>
        <w:contextualSpacing/>
        <w:rPr>
          <w:rFonts w:eastAsia="Calibri" w:cs="Times New Roman"/>
        </w:rPr>
      </w:pPr>
      <w:r w:rsidRPr="002D6F1A">
        <w:rPr>
          <w:rFonts w:eastAsia="Calibri" w:cs="Times New Roman"/>
        </w:rPr>
        <w:t>For MUAC (Table 2), the average size before the intervention in the experimental group was 21.48 while in the control group was 21.23. After the intervention, however, in the experimental group it was 22.11 while in the control group it was only 21.52. Therefore, the largest average increase in MUAC size occurred in the experimental group of 0.63 while in the control group it was only 0.29. Both groups had increased MUAC sizes, but the experimental group had a larger increase than the control group.</w:t>
      </w:r>
    </w:p>
    <w:p w14:paraId="67A32354" w14:textId="77777777" w:rsidR="00CD7F09" w:rsidRPr="002D6F1A" w:rsidRDefault="00CD7F09" w:rsidP="00CD7F09">
      <w:pPr>
        <w:spacing w:after="0" w:line="360" w:lineRule="auto"/>
        <w:contextualSpacing/>
        <w:rPr>
          <w:rFonts w:eastAsia="Calibri" w:cs="Times New Roman"/>
        </w:rPr>
      </w:pPr>
    </w:p>
    <w:p w14:paraId="788F31B1" w14:textId="77777777" w:rsidR="00CD7F09" w:rsidRPr="002D6F1A" w:rsidRDefault="00CD7F09" w:rsidP="0048201E">
      <w:pPr>
        <w:spacing w:after="0" w:line="360" w:lineRule="auto"/>
        <w:contextualSpacing/>
        <w:jc w:val="center"/>
        <w:rPr>
          <w:rFonts w:eastAsia="Calibri" w:cs="Times New Roman"/>
          <w:b/>
          <w:bCs/>
        </w:rPr>
      </w:pPr>
      <w:bookmarkStart w:id="0" w:name="_Hlk137182239"/>
      <w:r w:rsidRPr="002D6F1A">
        <w:rPr>
          <w:rFonts w:eastAsia="Calibri" w:cs="Times New Roman"/>
          <w:b/>
          <w:bCs/>
        </w:rPr>
        <w:t xml:space="preserve">Table 2. </w:t>
      </w:r>
      <w:r w:rsidRPr="0048201E">
        <w:rPr>
          <w:rFonts w:eastAsia="Calibri" w:cs="Times New Roman"/>
        </w:rPr>
        <w:t>Mid-Upper Arm Circumference (MUAC) in the Intervention and Control Group</w:t>
      </w:r>
    </w:p>
    <w:tbl>
      <w:tblPr>
        <w:tblStyle w:val="TableGrid0"/>
        <w:tblpPr w:leftFromText="180" w:rightFromText="180" w:vertAnchor="text" w:tblpXSpec="center" w:tblpY="-62"/>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25"/>
        <w:gridCol w:w="2025"/>
        <w:gridCol w:w="2025"/>
        <w:gridCol w:w="2025"/>
      </w:tblGrid>
      <w:tr w:rsidR="0048201E" w:rsidRPr="002D6F1A" w14:paraId="6E56AE60" w14:textId="77777777" w:rsidTr="00226E82">
        <w:tc>
          <w:tcPr>
            <w:tcW w:w="2025" w:type="dxa"/>
            <w:vMerge w:val="restart"/>
          </w:tcPr>
          <w:p w14:paraId="53B4C94A" w14:textId="77777777" w:rsidR="0048201E" w:rsidRPr="002D6F1A" w:rsidRDefault="0048201E" w:rsidP="0048201E">
            <w:pPr>
              <w:spacing w:line="360" w:lineRule="auto"/>
              <w:contextualSpacing/>
              <w:rPr>
                <w:rFonts w:eastAsia="Calibri" w:cs="Times New Roman"/>
                <w:sz w:val="22"/>
                <w:szCs w:val="22"/>
                <w:lang w:val="en-US"/>
              </w:rPr>
            </w:pPr>
            <w:bookmarkStart w:id="1" w:name="_Hlk137182637"/>
            <w:bookmarkEnd w:id="0"/>
            <w:r w:rsidRPr="002D6F1A">
              <w:rPr>
                <w:rFonts w:eastAsia="Calibri" w:cs="Times New Roman"/>
                <w:sz w:val="22"/>
                <w:szCs w:val="22"/>
                <w:lang w:val="en-US"/>
              </w:rPr>
              <w:t>Group</w:t>
            </w:r>
          </w:p>
        </w:tc>
        <w:tc>
          <w:tcPr>
            <w:tcW w:w="4050" w:type="dxa"/>
            <w:gridSpan w:val="2"/>
          </w:tcPr>
          <w:p w14:paraId="599AF6EB"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Average of MUAC</w:t>
            </w:r>
          </w:p>
        </w:tc>
        <w:tc>
          <w:tcPr>
            <w:tcW w:w="2025" w:type="dxa"/>
            <w:vMerge w:val="restart"/>
          </w:tcPr>
          <w:p w14:paraId="28FF89D0"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Total Increase</w:t>
            </w:r>
          </w:p>
        </w:tc>
      </w:tr>
      <w:tr w:rsidR="0048201E" w:rsidRPr="002D6F1A" w14:paraId="33FAFB18" w14:textId="77777777" w:rsidTr="00226E82">
        <w:tc>
          <w:tcPr>
            <w:tcW w:w="2025" w:type="dxa"/>
            <w:vMerge/>
            <w:tcBorders>
              <w:bottom w:val="single" w:sz="4" w:space="0" w:color="auto"/>
            </w:tcBorders>
          </w:tcPr>
          <w:p w14:paraId="0E6C9376" w14:textId="77777777" w:rsidR="0048201E" w:rsidRPr="002D6F1A" w:rsidRDefault="0048201E" w:rsidP="0048201E">
            <w:pPr>
              <w:spacing w:line="360" w:lineRule="auto"/>
              <w:contextualSpacing/>
              <w:rPr>
                <w:rFonts w:eastAsia="Calibri" w:cs="Times New Roman"/>
                <w:sz w:val="22"/>
                <w:szCs w:val="22"/>
                <w:lang w:val="en-US"/>
              </w:rPr>
            </w:pPr>
          </w:p>
        </w:tc>
        <w:tc>
          <w:tcPr>
            <w:tcW w:w="2025" w:type="dxa"/>
            <w:tcBorders>
              <w:bottom w:val="single" w:sz="4" w:space="0" w:color="auto"/>
            </w:tcBorders>
          </w:tcPr>
          <w:p w14:paraId="7661CFA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Before </w:t>
            </w:r>
          </w:p>
        </w:tc>
        <w:tc>
          <w:tcPr>
            <w:tcW w:w="2025" w:type="dxa"/>
            <w:tcBorders>
              <w:bottom w:val="single" w:sz="4" w:space="0" w:color="auto"/>
            </w:tcBorders>
          </w:tcPr>
          <w:p w14:paraId="21677BC8"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After </w:t>
            </w:r>
          </w:p>
        </w:tc>
        <w:tc>
          <w:tcPr>
            <w:tcW w:w="2025" w:type="dxa"/>
            <w:vMerge/>
            <w:tcBorders>
              <w:bottom w:val="single" w:sz="4" w:space="0" w:color="auto"/>
            </w:tcBorders>
          </w:tcPr>
          <w:p w14:paraId="1A0459F0" w14:textId="77777777" w:rsidR="0048201E" w:rsidRPr="002D6F1A" w:rsidRDefault="0048201E" w:rsidP="0048201E">
            <w:pPr>
              <w:spacing w:line="360" w:lineRule="auto"/>
              <w:contextualSpacing/>
              <w:rPr>
                <w:rFonts w:eastAsia="Calibri" w:cs="Times New Roman"/>
                <w:sz w:val="22"/>
                <w:szCs w:val="22"/>
                <w:lang w:val="en-US"/>
              </w:rPr>
            </w:pPr>
          </w:p>
        </w:tc>
      </w:tr>
      <w:tr w:rsidR="0048201E" w:rsidRPr="002D6F1A" w14:paraId="7FA98C17" w14:textId="77777777" w:rsidTr="00226E82">
        <w:tc>
          <w:tcPr>
            <w:tcW w:w="2025" w:type="dxa"/>
            <w:tcBorders>
              <w:top w:val="single" w:sz="4" w:space="0" w:color="auto"/>
              <w:bottom w:val="nil"/>
            </w:tcBorders>
          </w:tcPr>
          <w:p w14:paraId="3E7F965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Intervention</w:t>
            </w:r>
          </w:p>
        </w:tc>
        <w:tc>
          <w:tcPr>
            <w:tcW w:w="2025" w:type="dxa"/>
            <w:tcBorders>
              <w:top w:val="single" w:sz="4" w:space="0" w:color="auto"/>
              <w:bottom w:val="nil"/>
            </w:tcBorders>
          </w:tcPr>
          <w:p w14:paraId="3FB69005"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21.48</w:t>
            </w:r>
          </w:p>
        </w:tc>
        <w:tc>
          <w:tcPr>
            <w:tcW w:w="2025" w:type="dxa"/>
            <w:tcBorders>
              <w:top w:val="single" w:sz="4" w:space="0" w:color="auto"/>
              <w:bottom w:val="nil"/>
            </w:tcBorders>
          </w:tcPr>
          <w:p w14:paraId="59BFED8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22.11</w:t>
            </w:r>
          </w:p>
        </w:tc>
        <w:tc>
          <w:tcPr>
            <w:tcW w:w="2025" w:type="dxa"/>
            <w:tcBorders>
              <w:top w:val="single" w:sz="4" w:space="0" w:color="auto"/>
              <w:bottom w:val="nil"/>
            </w:tcBorders>
          </w:tcPr>
          <w:p w14:paraId="33091CFB"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0.63</w:t>
            </w:r>
          </w:p>
        </w:tc>
      </w:tr>
      <w:tr w:rsidR="0048201E" w:rsidRPr="002D6F1A" w14:paraId="6AF85030" w14:textId="77777777" w:rsidTr="00226E82">
        <w:tc>
          <w:tcPr>
            <w:tcW w:w="2025" w:type="dxa"/>
            <w:tcBorders>
              <w:top w:val="nil"/>
              <w:bottom w:val="single" w:sz="4" w:space="0" w:color="auto"/>
            </w:tcBorders>
          </w:tcPr>
          <w:p w14:paraId="2670566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Control</w:t>
            </w:r>
          </w:p>
        </w:tc>
        <w:tc>
          <w:tcPr>
            <w:tcW w:w="2025" w:type="dxa"/>
            <w:tcBorders>
              <w:top w:val="nil"/>
              <w:bottom w:val="single" w:sz="4" w:space="0" w:color="auto"/>
            </w:tcBorders>
          </w:tcPr>
          <w:p w14:paraId="3EB0680B"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21.23</w:t>
            </w:r>
          </w:p>
        </w:tc>
        <w:tc>
          <w:tcPr>
            <w:tcW w:w="2025" w:type="dxa"/>
            <w:tcBorders>
              <w:top w:val="nil"/>
              <w:bottom w:val="single" w:sz="4" w:space="0" w:color="auto"/>
            </w:tcBorders>
          </w:tcPr>
          <w:p w14:paraId="10943CA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21.52</w:t>
            </w:r>
          </w:p>
        </w:tc>
        <w:tc>
          <w:tcPr>
            <w:tcW w:w="2025" w:type="dxa"/>
            <w:tcBorders>
              <w:top w:val="nil"/>
              <w:bottom w:val="single" w:sz="4" w:space="0" w:color="auto"/>
            </w:tcBorders>
          </w:tcPr>
          <w:p w14:paraId="21E861B0"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0.29</w:t>
            </w:r>
          </w:p>
        </w:tc>
      </w:tr>
      <w:bookmarkEnd w:id="1"/>
    </w:tbl>
    <w:p w14:paraId="0927586B" w14:textId="77777777" w:rsidR="00CD7F09" w:rsidRPr="002D6F1A" w:rsidRDefault="00CD7F09" w:rsidP="00226E82">
      <w:pPr>
        <w:spacing w:after="0" w:line="360" w:lineRule="auto"/>
        <w:ind w:left="0" w:firstLine="0"/>
        <w:contextualSpacing/>
        <w:rPr>
          <w:rFonts w:eastAsia="Calibri" w:cs="Times New Roman"/>
        </w:rPr>
      </w:pPr>
    </w:p>
    <w:p w14:paraId="4577C4D5" w14:textId="77777777" w:rsidR="00CD7F09" w:rsidRPr="002D6F1A" w:rsidRDefault="00CD7F09" w:rsidP="00CD7F09">
      <w:pPr>
        <w:spacing w:after="0" w:line="360" w:lineRule="auto"/>
        <w:ind w:firstLine="720"/>
        <w:contextualSpacing/>
        <w:rPr>
          <w:rFonts w:eastAsia="Calibri" w:cs="Times New Roman"/>
          <w:bCs/>
        </w:rPr>
      </w:pPr>
      <w:r w:rsidRPr="002D6F1A">
        <w:rPr>
          <w:rFonts w:eastAsia="Calibri" w:cs="Times New Roman"/>
          <w:bCs/>
        </w:rPr>
        <w:lastRenderedPageBreak/>
        <w:t xml:space="preserve"> The average Hb before the intervention in the experimental group was 11.39 while in the control group was 11.07. After the intervention in the experimental group, it was 12.08 while in the control group it was only 11.78. Therefore, the largest average increase in Hb levels occurred in the experimental group of 0.88 while in the control group it was only 0.72. Both groups had elevated Hb levels, but the experimental group had a greater increase than the control group.</w:t>
      </w:r>
    </w:p>
    <w:p w14:paraId="1EC6EF8E" w14:textId="77777777" w:rsidR="00CD7F09" w:rsidRPr="002D6F1A" w:rsidRDefault="00CD7F09" w:rsidP="00CD7F09">
      <w:pPr>
        <w:spacing w:after="0" w:line="360" w:lineRule="auto"/>
        <w:contextualSpacing/>
        <w:rPr>
          <w:rFonts w:eastAsia="Calibri" w:cs="Times New Roman"/>
          <w:bCs/>
        </w:rPr>
      </w:pPr>
    </w:p>
    <w:tbl>
      <w:tblPr>
        <w:tblStyle w:val="TableGrid0"/>
        <w:tblpPr w:leftFromText="180" w:rightFromText="180" w:vertAnchor="text" w:tblpXSpec="center" w:tblpY="288"/>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25"/>
        <w:gridCol w:w="2025"/>
        <w:gridCol w:w="2025"/>
        <w:gridCol w:w="2025"/>
      </w:tblGrid>
      <w:tr w:rsidR="0048201E" w:rsidRPr="002D6F1A" w14:paraId="31FF4875" w14:textId="77777777" w:rsidTr="00E1791E">
        <w:tc>
          <w:tcPr>
            <w:tcW w:w="2025" w:type="dxa"/>
            <w:vMerge w:val="restart"/>
          </w:tcPr>
          <w:p w14:paraId="28CA3498"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Group</w:t>
            </w:r>
          </w:p>
        </w:tc>
        <w:tc>
          <w:tcPr>
            <w:tcW w:w="4050" w:type="dxa"/>
            <w:gridSpan w:val="2"/>
          </w:tcPr>
          <w:p w14:paraId="70507E63"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Average of HB Level</w:t>
            </w:r>
          </w:p>
        </w:tc>
        <w:tc>
          <w:tcPr>
            <w:tcW w:w="2025" w:type="dxa"/>
            <w:vMerge w:val="restart"/>
          </w:tcPr>
          <w:p w14:paraId="5B0D8DA1"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Total Increase</w:t>
            </w:r>
          </w:p>
        </w:tc>
      </w:tr>
      <w:tr w:rsidR="0048201E" w:rsidRPr="002D6F1A" w14:paraId="080DDD64" w14:textId="77777777" w:rsidTr="00E1791E">
        <w:tc>
          <w:tcPr>
            <w:tcW w:w="2025" w:type="dxa"/>
            <w:vMerge/>
            <w:tcBorders>
              <w:bottom w:val="single" w:sz="4" w:space="0" w:color="auto"/>
            </w:tcBorders>
          </w:tcPr>
          <w:p w14:paraId="298B8AB8" w14:textId="77777777" w:rsidR="0048201E" w:rsidRPr="002D6F1A" w:rsidRDefault="0048201E" w:rsidP="0048201E">
            <w:pPr>
              <w:spacing w:line="360" w:lineRule="auto"/>
              <w:contextualSpacing/>
              <w:rPr>
                <w:rFonts w:eastAsia="Calibri" w:cs="Times New Roman"/>
                <w:sz w:val="22"/>
                <w:szCs w:val="22"/>
                <w:lang w:val="en-US"/>
              </w:rPr>
            </w:pPr>
          </w:p>
        </w:tc>
        <w:tc>
          <w:tcPr>
            <w:tcW w:w="2025" w:type="dxa"/>
            <w:tcBorders>
              <w:bottom w:val="single" w:sz="4" w:space="0" w:color="auto"/>
            </w:tcBorders>
          </w:tcPr>
          <w:p w14:paraId="695582FE"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Before </w:t>
            </w:r>
          </w:p>
        </w:tc>
        <w:tc>
          <w:tcPr>
            <w:tcW w:w="2025" w:type="dxa"/>
            <w:tcBorders>
              <w:bottom w:val="single" w:sz="4" w:space="0" w:color="auto"/>
            </w:tcBorders>
          </w:tcPr>
          <w:p w14:paraId="108F356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After </w:t>
            </w:r>
          </w:p>
        </w:tc>
        <w:tc>
          <w:tcPr>
            <w:tcW w:w="2025" w:type="dxa"/>
            <w:vMerge/>
            <w:tcBorders>
              <w:bottom w:val="single" w:sz="4" w:space="0" w:color="auto"/>
            </w:tcBorders>
          </w:tcPr>
          <w:p w14:paraId="61014055" w14:textId="77777777" w:rsidR="0048201E" w:rsidRPr="002D6F1A" w:rsidRDefault="0048201E" w:rsidP="0048201E">
            <w:pPr>
              <w:spacing w:line="360" w:lineRule="auto"/>
              <w:contextualSpacing/>
              <w:rPr>
                <w:rFonts w:eastAsia="Calibri" w:cs="Times New Roman"/>
                <w:sz w:val="22"/>
                <w:szCs w:val="22"/>
                <w:lang w:val="en-US"/>
              </w:rPr>
            </w:pPr>
          </w:p>
        </w:tc>
      </w:tr>
      <w:tr w:rsidR="0048201E" w:rsidRPr="002D6F1A" w14:paraId="50783706" w14:textId="77777777" w:rsidTr="00E1791E">
        <w:tc>
          <w:tcPr>
            <w:tcW w:w="2025" w:type="dxa"/>
            <w:tcBorders>
              <w:top w:val="single" w:sz="4" w:space="0" w:color="auto"/>
              <w:bottom w:val="nil"/>
            </w:tcBorders>
          </w:tcPr>
          <w:p w14:paraId="16F2F70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Intervention</w:t>
            </w:r>
          </w:p>
        </w:tc>
        <w:tc>
          <w:tcPr>
            <w:tcW w:w="2025" w:type="dxa"/>
            <w:tcBorders>
              <w:top w:val="single" w:sz="4" w:space="0" w:color="auto"/>
              <w:bottom w:val="nil"/>
            </w:tcBorders>
          </w:tcPr>
          <w:p w14:paraId="01FACB9E"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11.39</w:t>
            </w:r>
          </w:p>
        </w:tc>
        <w:tc>
          <w:tcPr>
            <w:tcW w:w="2025" w:type="dxa"/>
            <w:tcBorders>
              <w:top w:val="single" w:sz="4" w:space="0" w:color="auto"/>
              <w:bottom w:val="nil"/>
            </w:tcBorders>
          </w:tcPr>
          <w:p w14:paraId="0D620F3E"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12.28</w:t>
            </w:r>
          </w:p>
        </w:tc>
        <w:tc>
          <w:tcPr>
            <w:tcW w:w="2025" w:type="dxa"/>
            <w:tcBorders>
              <w:top w:val="single" w:sz="4" w:space="0" w:color="auto"/>
              <w:bottom w:val="nil"/>
            </w:tcBorders>
          </w:tcPr>
          <w:p w14:paraId="05EF82C3"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0.88</w:t>
            </w:r>
          </w:p>
        </w:tc>
      </w:tr>
      <w:tr w:rsidR="0048201E" w:rsidRPr="002D6F1A" w14:paraId="45E01200" w14:textId="77777777" w:rsidTr="00E1791E">
        <w:tc>
          <w:tcPr>
            <w:tcW w:w="2025" w:type="dxa"/>
            <w:tcBorders>
              <w:top w:val="nil"/>
              <w:bottom w:val="single" w:sz="4" w:space="0" w:color="auto"/>
            </w:tcBorders>
          </w:tcPr>
          <w:p w14:paraId="2EE3C64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Control</w:t>
            </w:r>
          </w:p>
        </w:tc>
        <w:tc>
          <w:tcPr>
            <w:tcW w:w="2025" w:type="dxa"/>
            <w:tcBorders>
              <w:top w:val="nil"/>
              <w:bottom w:val="single" w:sz="4" w:space="0" w:color="auto"/>
            </w:tcBorders>
          </w:tcPr>
          <w:p w14:paraId="7339AD16"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11.07</w:t>
            </w:r>
          </w:p>
        </w:tc>
        <w:tc>
          <w:tcPr>
            <w:tcW w:w="2025" w:type="dxa"/>
            <w:tcBorders>
              <w:top w:val="nil"/>
              <w:bottom w:val="single" w:sz="4" w:space="0" w:color="auto"/>
            </w:tcBorders>
          </w:tcPr>
          <w:p w14:paraId="06B22067"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11.78</w:t>
            </w:r>
          </w:p>
        </w:tc>
        <w:tc>
          <w:tcPr>
            <w:tcW w:w="2025" w:type="dxa"/>
            <w:tcBorders>
              <w:top w:val="nil"/>
              <w:bottom w:val="single" w:sz="4" w:space="0" w:color="auto"/>
            </w:tcBorders>
          </w:tcPr>
          <w:p w14:paraId="7A91C92F"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0.72</w:t>
            </w:r>
          </w:p>
        </w:tc>
      </w:tr>
    </w:tbl>
    <w:p w14:paraId="50E0DBB3" w14:textId="77777777" w:rsidR="00CD7F09" w:rsidRPr="002D6F1A" w:rsidRDefault="00CD7F09" w:rsidP="0048201E">
      <w:pPr>
        <w:spacing w:after="0" w:line="360" w:lineRule="auto"/>
        <w:contextualSpacing/>
        <w:jc w:val="center"/>
        <w:rPr>
          <w:rFonts w:eastAsia="Calibri" w:cs="Times New Roman"/>
          <w:b/>
        </w:rPr>
      </w:pPr>
      <w:r w:rsidRPr="002D6F1A">
        <w:rPr>
          <w:rFonts w:eastAsia="Calibri" w:cs="Times New Roman"/>
          <w:b/>
        </w:rPr>
        <w:t xml:space="preserve">Table 3. </w:t>
      </w:r>
      <w:r w:rsidRPr="0048201E">
        <w:rPr>
          <w:rFonts w:eastAsia="Calibri" w:cs="Times New Roman"/>
          <w:bCs/>
        </w:rPr>
        <w:t>Hemoglobin Level in the Intervention and Control Group</w:t>
      </w:r>
    </w:p>
    <w:p w14:paraId="5D5935F2" w14:textId="77777777" w:rsidR="00CD7F09" w:rsidRPr="002D6F1A" w:rsidRDefault="00CD7F09" w:rsidP="00CD7F09">
      <w:pPr>
        <w:spacing w:after="0" w:line="360" w:lineRule="auto"/>
        <w:contextualSpacing/>
        <w:rPr>
          <w:rFonts w:eastAsia="Calibri" w:cs="Times New Roman"/>
          <w:bCs/>
        </w:rPr>
      </w:pPr>
    </w:p>
    <w:p w14:paraId="6044ECA1" w14:textId="3A6F8BA5" w:rsidR="00E1791E" w:rsidRDefault="00CD7F09" w:rsidP="00C2555F">
      <w:pPr>
        <w:spacing w:after="0" w:line="360" w:lineRule="auto"/>
        <w:ind w:firstLine="720"/>
        <w:rPr>
          <w:rFonts w:eastAsia="Calibri" w:cs="Times New Roman"/>
        </w:rPr>
      </w:pPr>
      <w:r w:rsidRPr="002D6F1A">
        <w:rPr>
          <w:rFonts w:eastAsia="Calibri" w:cs="Times New Roman"/>
        </w:rPr>
        <w:t>Based on the results on Table 4, data analysis shows data normality. Testing the normality of the data using the Shapiro-Wilk test obtained the p value of each variable greater than 0.05 so that it can be concluded that all data are normally distributed. The data analysis was then continued with parametric tests with independent t tests, t-paired tests.</w:t>
      </w:r>
    </w:p>
    <w:p w14:paraId="04F9F848" w14:textId="77777777" w:rsidR="00E1791E" w:rsidRPr="002D6F1A" w:rsidRDefault="00E1791E" w:rsidP="0048201E">
      <w:pPr>
        <w:spacing w:after="0" w:line="360" w:lineRule="auto"/>
        <w:ind w:firstLine="720"/>
        <w:rPr>
          <w:rFonts w:eastAsia="Calibri" w:cs="Times New Roman"/>
        </w:rPr>
      </w:pPr>
    </w:p>
    <w:p w14:paraId="71C34E6B" w14:textId="77777777" w:rsidR="00CD7F09" w:rsidRPr="002D6F1A" w:rsidRDefault="00CD7F09" w:rsidP="0048201E">
      <w:pPr>
        <w:spacing w:after="0" w:line="360" w:lineRule="auto"/>
        <w:contextualSpacing/>
        <w:jc w:val="center"/>
        <w:rPr>
          <w:rFonts w:eastAsia="Calibri" w:cs="Times New Roman"/>
          <w:b/>
        </w:rPr>
      </w:pPr>
      <w:r w:rsidRPr="002D6F1A">
        <w:rPr>
          <w:rFonts w:eastAsia="Calibri" w:cs="Times New Roman"/>
          <w:b/>
        </w:rPr>
        <w:t xml:space="preserve">Table 4. </w:t>
      </w:r>
      <w:r w:rsidRPr="0048201E">
        <w:rPr>
          <w:rFonts w:eastAsia="Calibri" w:cs="Times New Roman"/>
          <w:bCs/>
        </w:rPr>
        <w:t>Analysis of data normality test before and after the study</w:t>
      </w:r>
    </w:p>
    <w:tbl>
      <w:tblPr>
        <w:tblStyle w:val="TableGrid1"/>
        <w:tblW w:w="8051"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4111"/>
        <w:gridCol w:w="1559"/>
        <w:gridCol w:w="964"/>
        <w:gridCol w:w="1417"/>
      </w:tblGrid>
      <w:tr w:rsidR="00CD7F09" w:rsidRPr="002D6F1A" w14:paraId="769727EF" w14:textId="77777777" w:rsidTr="00E1791E">
        <w:trPr>
          <w:jc w:val="center"/>
        </w:trPr>
        <w:tc>
          <w:tcPr>
            <w:tcW w:w="4111" w:type="dxa"/>
          </w:tcPr>
          <w:p w14:paraId="6CA45BC6" w14:textId="77777777" w:rsidR="00CD7F09" w:rsidRPr="002D6F1A" w:rsidRDefault="00CD7F09" w:rsidP="00A0571C">
            <w:pPr>
              <w:autoSpaceDE w:val="0"/>
              <w:autoSpaceDN w:val="0"/>
              <w:adjustRightInd w:val="0"/>
              <w:spacing w:line="360" w:lineRule="auto"/>
              <w:jc w:val="center"/>
              <w:rPr>
                <w:rFonts w:eastAsia="Calibri" w:cs="Times New Roman"/>
                <w:b/>
              </w:rPr>
            </w:pPr>
            <w:r w:rsidRPr="002D6F1A">
              <w:rPr>
                <w:rFonts w:eastAsia="Calibri" w:cs="Times New Roman"/>
                <w:b/>
              </w:rPr>
              <w:t>Sample Group</w:t>
            </w:r>
          </w:p>
        </w:tc>
        <w:tc>
          <w:tcPr>
            <w:tcW w:w="1559" w:type="dxa"/>
          </w:tcPr>
          <w:p w14:paraId="7861B356" w14:textId="77777777" w:rsidR="00CD7F09" w:rsidRPr="002D6F1A" w:rsidRDefault="00CD7F09" w:rsidP="00A0571C">
            <w:pPr>
              <w:autoSpaceDE w:val="0"/>
              <w:autoSpaceDN w:val="0"/>
              <w:adjustRightInd w:val="0"/>
              <w:spacing w:line="360" w:lineRule="auto"/>
              <w:ind w:firstLine="0"/>
              <w:jc w:val="center"/>
              <w:rPr>
                <w:rFonts w:eastAsia="Calibri" w:cs="Times New Roman"/>
                <w:b/>
              </w:rPr>
            </w:pPr>
            <w:r w:rsidRPr="002D6F1A">
              <w:rPr>
                <w:rFonts w:eastAsia="Calibri" w:cs="Times New Roman"/>
                <w:b/>
              </w:rPr>
              <w:t>Statistics</w:t>
            </w:r>
          </w:p>
        </w:tc>
        <w:tc>
          <w:tcPr>
            <w:tcW w:w="964" w:type="dxa"/>
          </w:tcPr>
          <w:p w14:paraId="5729E68C" w14:textId="77777777" w:rsidR="00CD7F09" w:rsidRPr="002D6F1A" w:rsidRDefault="00CD7F09" w:rsidP="00A0571C">
            <w:pPr>
              <w:autoSpaceDE w:val="0"/>
              <w:autoSpaceDN w:val="0"/>
              <w:adjustRightInd w:val="0"/>
              <w:spacing w:line="360" w:lineRule="auto"/>
              <w:jc w:val="center"/>
              <w:rPr>
                <w:rFonts w:eastAsia="Calibri" w:cs="Times New Roman"/>
                <w:b/>
              </w:rPr>
            </w:pPr>
            <w:proofErr w:type="spellStart"/>
            <w:r w:rsidRPr="002D6F1A">
              <w:rPr>
                <w:rFonts w:eastAsia="Calibri" w:cs="Times New Roman"/>
                <w:b/>
              </w:rPr>
              <w:t>Df</w:t>
            </w:r>
            <w:proofErr w:type="spellEnd"/>
          </w:p>
        </w:tc>
        <w:tc>
          <w:tcPr>
            <w:tcW w:w="1417" w:type="dxa"/>
          </w:tcPr>
          <w:p w14:paraId="7D7E6FE2" w14:textId="77777777" w:rsidR="00CD7F09" w:rsidRPr="002D6F1A" w:rsidRDefault="00CD7F09" w:rsidP="00A0571C">
            <w:pPr>
              <w:autoSpaceDE w:val="0"/>
              <w:autoSpaceDN w:val="0"/>
              <w:adjustRightInd w:val="0"/>
              <w:spacing w:line="360" w:lineRule="auto"/>
              <w:jc w:val="center"/>
              <w:rPr>
                <w:rFonts w:eastAsia="Calibri" w:cs="Times New Roman"/>
                <w:b/>
              </w:rPr>
            </w:pPr>
            <w:r w:rsidRPr="002D6F1A">
              <w:rPr>
                <w:rFonts w:eastAsia="Calibri" w:cs="Times New Roman"/>
                <w:b/>
              </w:rPr>
              <w:t>Sig</w:t>
            </w:r>
          </w:p>
        </w:tc>
      </w:tr>
      <w:tr w:rsidR="00CD7F09" w:rsidRPr="002D6F1A" w14:paraId="08C6E49A" w14:textId="77777777" w:rsidTr="00E1791E">
        <w:trPr>
          <w:jc w:val="center"/>
        </w:trPr>
        <w:tc>
          <w:tcPr>
            <w:tcW w:w="8051" w:type="dxa"/>
            <w:gridSpan w:val="4"/>
            <w:tcBorders>
              <w:bottom w:val="single" w:sz="4" w:space="0" w:color="000000"/>
            </w:tcBorders>
            <w:vAlign w:val="center"/>
          </w:tcPr>
          <w:p w14:paraId="1FE3FF53" w14:textId="77777777" w:rsidR="00CD7F09" w:rsidRPr="002D6F1A" w:rsidRDefault="00CD7F09" w:rsidP="00A0571C">
            <w:pPr>
              <w:autoSpaceDE w:val="0"/>
              <w:autoSpaceDN w:val="0"/>
              <w:adjustRightInd w:val="0"/>
              <w:spacing w:line="360" w:lineRule="auto"/>
              <w:ind w:right="60"/>
              <w:rPr>
                <w:rFonts w:eastAsia="Calibri" w:cs="Times New Roman"/>
              </w:rPr>
            </w:pPr>
            <w:r w:rsidRPr="002D6F1A">
              <w:rPr>
                <w:rFonts w:eastAsia="Calibri" w:cs="Times New Roman"/>
                <w:b/>
              </w:rPr>
              <w:t>Intervention Group</w:t>
            </w:r>
          </w:p>
        </w:tc>
      </w:tr>
      <w:tr w:rsidR="00CD7F09" w:rsidRPr="002D6F1A" w14:paraId="79769EA1" w14:textId="77777777" w:rsidTr="00E1791E">
        <w:trPr>
          <w:jc w:val="center"/>
        </w:trPr>
        <w:tc>
          <w:tcPr>
            <w:tcW w:w="4111" w:type="dxa"/>
            <w:tcBorders>
              <w:bottom w:val="nil"/>
            </w:tcBorders>
          </w:tcPr>
          <w:p w14:paraId="513CAC6E"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 xml:space="preserve">Upper Arm Circumference (MUAC) </w:t>
            </w:r>
          </w:p>
        </w:tc>
        <w:tc>
          <w:tcPr>
            <w:tcW w:w="1559" w:type="dxa"/>
            <w:tcBorders>
              <w:bottom w:val="nil"/>
            </w:tcBorders>
            <w:vAlign w:val="center"/>
          </w:tcPr>
          <w:p w14:paraId="1FAFD28D"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0.952</w:t>
            </w:r>
          </w:p>
        </w:tc>
        <w:tc>
          <w:tcPr>
            <w:tcW w:w="964" w:type="dxa"/>
            <w:tcBorders>
              <w:bottom w:val="nil"/>
            </w:tcBorders>
          </w:tcPr>
          <w:p w14:paraId="372D35DA"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bottom w:val="nil"/>
            </w:tcBorders>
            <w:vAlign w:val="center"/>
          </w:tcPr>
          <w:p w14:paraId="5C77C2BC"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0.187</w:t>
            </w:r>
          </w:p>
        </w:tc>
      </w:tr>
      <w:tr w:rsidR="00CD7F09" w:rsidRPr="002D6F1A" w14:paraId="6ED4F887" w14:textId="77777777" w:rsidTr="00E1791E">
        <w:trPr>
          <w:jc w:val="center"/>
        </w:trPr>
        <w:tc>
          <w:tcPr>
            <w:tcW w:w="4111" w:type="dxa"/>
            <w:tcBorders>
              <w:top w:val="nil"/>
            </w:tcBorders>
          </w:tcPr>
          <w:p w14:paraId="56B07BC0"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Hemoglobin (Hb)</w:t>
            </w:r>
          </w:p>
        </w:tc>
        <w:tc>
          <w:tcPr>
            <w:tcW w:w="1559" w:type="dxa"/>
            <w:tcBorders>
              <w:top w:val="nil"/>
            </w:tcBorders>
            <w:vAlign w:val="center"/>
          </w:tcPr>
          <w:p w14:paraId="4B8858EE"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0.957</w:t>
            </w:r>
          </w:p>
        </w:tc>
        <w:tc>
          <w:tcPr>
            <w:tcW w:w="964" w:type="dxa"/>
            <w:tcBorders>
              <w:top w:val="nil"/>
            </w:tcBorders>
          </w:tcPr>
          <w:p w14:paraId="48C876AE"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top w:val="nil"/>
            </w:tcBorders>
            <w:vAlign w:val="center"/>
          </w:tcPr>
          <w:p w14:paraId="4D7DD158"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0.265</w:t>
            </w:r>
          </w:p>
        </w:tc>
      </w:tr>
      <w:tr w:rsidR="00CD7F09" w:rsidRPr="002D6F1A" w14:paraId="2D05ABF6" w14:textId="77777777" w:rsidTr="00E1791E">
        <w:trPr>
          <w:jc w:val="center"/>
        </w:trPr>
        <w:tc>
          <w:tcPr>
            <w:tcW w:w="8051" w:type="dxa"/>
            <w:gridSpan w:val="4"/>
            <w:tcBorders>
              <w:bottom w:val="single" w:sz="4" w:space="0" w:color="000000"/>
            </w:tcBorders>
            <w:vAlign w:val="center"/>
          </w:tcPr>
          <w:p w14:paraId="7B4F51E5" w14:textId="77777777" w:rsidR="00CD7F09" w:rsidRPr="002D6F1A" w:rsidRDefault="00CD7F09" w:rsidP="00A0571C">
            <w:pPr>
              <w:autoSpaceDE w:val="0"/>
              <w:autoSpaceDN w:val="0"/>
              <w:adjustRightInd w:val="0"/>
              <w:spacing w:line="360" w:lineRule="auto"/>
              <w:ind w:right="60"/>
              <w:rPr>
                <w:rFonts w:eastAsia="Calibri" w:cs="Times New Roman"/>
              </w:rPr>
            </w:pPr>
            <w:r w:rsidRPr="002D6F1A">
              <w:rPr>
                <w:rFonts w:eastAsia="Calibri" w:cs="Times New Roman"/>
                <w:b/>
              </w:rPr>
              <w:t>Control Group</w:t>
            </w:r>
          </w:p>
        </w:tc>
      </w:tr>
      <w:tr w:rsidR="00CD7F09" w:rsidRPr="002D6F1A" w14:paraId="4584D0C4" w14:textId="77777777" w:rsidTr="00E1791E">
        <w:trPr>
          <w:jc w:val="center"/>
        </w:trPr>
        <w:tc>
          <w:tcPr>
            <w:tcW w:w="4111" w:type="dxa"/>
            <w:tcBorders>
              <w:bottom w:val="nil"/>
            </w:tcBorders>
          </w:tcPr>
          <w:p w14:paraId="4DA2DA40"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 xml:space="preserve">Upper Arm Circumference (MUAC) </w:t>
            </w:r>
          </w:p>
        </w:tc>
        <w:tc>
          <w:tcPr>
            <w:tcW w:w="1559" w:type="dxa"/>
            <w:tcBorders>
              <w:bottom w:val="nil"/>
            </w:tcBorders>
            <w:vAlign w:val="center"/>
          </w:tcPr>
          <w:p w14:paraId="7B9BB9F0"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0.928</w:t>
            </w:r>
          </w:p>
        </w:tc>
        <w:tc>
          <w:tcPr>
            <w:tcW w:w="964" w:type="dxa"/>
            <w:tcBorders>
              <w:bottom w:val="nil"/>
            </w:tcBorders>
          </w:tcPr>
          <w:p w14:paraId="20393396"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bottom w:val="nil"/>
            </w:tcBorders>
            <w:vAlign w:val="center"/>
          </w:tcPr>
          <w:p w14:paraId="4D7CBDA9"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0.054</w:t>
            </w:r>
          </w:p>
        </w:tc>
      </w:tr>
      <w:tr w:rsidR="00CD7F09" w:rsidRPr="002D6F1A" w14:paraId="7A494687" w14:textId="77777777" w:rsidTr="00E1791E">
        <w:trPr>
          <w:jc w:val="center"/>
        </w:trPr>
        <w:tc>
          <w:tcPr>
            <w:tcW w:w="4111" w:type="dxa"/>
            <w:tcBorders>
              <w:top w:val="nil"/>
            </w:tcBorders>
          </w:tcPr>
          <w:p w14:paraId="1349B6EA"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Hemoglobin (Hb)</w:t>
            </w:r>
          </w:p>
        </w:tc>
        <w:tc>
          <w:tcPr>
            <w:tcW w:w="1559" w:type="dxa"/>
            <w:tcBorders>
              <w:top w:val="nil"/>
            </w:tcBorders>
            <w:vAlign w:val="center"/>
          </w:tcPr>
          <w:p w14:paraId="0DFADBF8"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0.932</w:t>
            </w:r>
          </w:p>
        </w:tc>
        <w:tc>
          <w:tcPr>
            <w:tcW w:w="964" w:type="dxa"/>
            <w:tcBorders>
              <w:top w:val="nil"/>
            </w:tcBorders>
          </w:tcPr>
          <w:p w14:paraId="6BD56BF8"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top w:val="nil"/>
            </w:tcBorders>
            <w:vAlign w:val="center"/>
          </w:tcPr>
          <w:p w14:paraId="759BEFBE"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0.054</w:t>
            </w:r>
          </w:p>
        </w:tc>
      </w:tr>
    </w:tbl>
    <w:p w14:paraId="6823A8A5" w14:textId="77777777" w:rsidR="00CD7F09" w:rsidRPr="002D6F1A" w:rsidRDefault="00CD7F09" w:rsidP="00CD7F09">
      <w:pPr>
        <w:spacing w:after="0" w:line="360" w:lineRule="auto"/>
        <w:ind w:left="1212" w:firstLine="228"/>
        <w:contextualSpacing/>
        <w:rPr>
          <w:rFonts w:eastAsia="Calibri" w:cs="Times New Roman"/>
        </w:rPr>
      </w:pPr>
    </w:p>
    <w:p w14:paraId="3B09A8AB" w14:textId="77777777" w:rsidR="00CD7F09" w:rsidRPr="002D6F1A" w:rsidRDefault="00CD7F09" w:rsidP="00CD7F09">
      <w:pPr>
        <w:spacing w:after="0" w:line="360" w:lineRule="auto"/>
        <w:ind w:firstLine="720"/>
        <w:contextualSpacing/>
        <w:rPr>
          <w:rFonts w:eastAsia="Calibri" w:cs="Times New Roman"/>
        </w:rPr>
      </w:pPr>
      <w:r w:rsidRPr="002D6F1A">
        <w:rPr>
          <w:rFonts w:eastAsia="Calibri" w:cs="Times New Roman"/>
        </w:rPr>
        <w:t>The results of the analysis with an independent t-test obtained a calculated t-value of 5.74 &gt; t table of 1.67 and a p-value of 0.00 &lt; 0.05 (Table 5). This suggests that Ho was rejected meaning that there is a difference in MUAC between the experimental group and the control group. The average increase in MUAC of the experimental group was greater than that of the control group, because the mean MUAC of the experimental group was 0.63 &gt; 0.29.</w:t>
      </w:r>
    </w:p>
    <w:p w14:paraId="7C988315" w14:textId="77777777" w:rsidR="00CD7F09" w:rsidRPr="002D6F1A" w:rsidRDefault="00CD7F09" w:rsidP="00CD7F09">
      <w:pPr>
        <w:spacing w:after="0" w:line="360" w:lineRule="auto"/>
        <w:contextualSpacing/>
        <w:rPr>
          <w:rFonts w:eastAsia="Calibri" w:cs="Times New Roman"/>
        </w:rPr>
      </w:pPr>
    </w:p>
    <w:tbl>
      <w:tblPr>
        <w:tblStyle w:val="TableGrid1"/>
        <w:tblpPr w:leftFromText="180" w:rightFromText="180" w:vertAnchor="text" w:horzAnchor="margin" w:tblpXSpec="center" w:tblpY="366"/>
        <w:tblW w:w="6970" w:type="dxa"/>
        <w:tblBorders>
          <w:left w:val="none" w:sz="0" w:space="0" w:color="auto"/>
          <w:right w:val="none" w:sz="0" w:space="0" w:color="auto"/>
          <w:insideV w:val="none" w:sz="0" w:space="0" w:color="auto"/>
        </w:tblBorders>
        <w:tblLook w:val="04A0" w:firstRow="1" w:lastRow="0" w:firstColumn="1" w:lastColumn="0" w:noHBand="0" w:noVBand="1"/>
      </w:tblPr>
      <w:tblGrid>
        <w:gridCol w:w="2469"/>
        <w:gridCol w:w="1016"/>
        <w:gridCol w:w="1064"/>
        <w:gridCol w:w="2421"/>
      </w:tblGrid>
      <w:tr w:rsidR="0048201E" w:rsidRPr="002D6F1A" w14:paraId="4D6F686E" w14:textId="77777777" w:rsidTr="0048201E">
        <w:trPr>
          <w:trHeight w:val="508"/>
        </w:trPr>
        <w:tc>
          <w:tcPr>
            <w:tcW w:w="2469" w:type="dxa"/>
            <w:vAlign w:val="bottom"/>
          </w:tcPr>
          <w:p w14:paraId="06F78EA2" w14:textId="77777777" w:rsidR="0048201E" w:rsidRPr="002D6F1A" w:rsidRDefault="0048201E" w:rsidP="0048201E">
            <w:pPr>
              <w:spacing w:line="360" w:lineRule="auto"/>
              <w:contextualSpacing/>
              <w:rPr>
                <w:rFonts w:eastAsia="Calibri" w:cs="Times New Roman"/>
                <w:b/>
              </w:rPr>
            </w:pPr>
            <w:r w:rsidRPr="002D6F1A">
              <w:rPr>
                <w:rFonts w:eastAsia="Calibri" w:cs="Times New Roman"/>
                <w:b/>
              </w:rPr>
              <w:lastRenderedPageBreak/>
              <w:t>MUAC</w:t>
            </w:r>
          </w:p>
        </w:tc>
        <w:tc>
          <w:tcPr>
            <w:tcW w:w="1016" w:type="dxa"/>
            <w:vAlign w:val="bottom"/>
          </w:tcPr>
          <w:p w14:paraId="6227A049" w14:textId="77777777" w:rsidR="0048201E" w:rsidRPr="002D6F1A" w:rsidRDefault="0048201E" w:rsidP="0048201E">
            <w:pPr>
              <w:spacing w:line="360" w:lineRule="auto"/>
              <w:contextualSpacing/>
              <w:jc w:val="center"/>
              <w:rPr>
                <w:rFonts w:eastAsia="Calibri" w:cs="Times New Roman"/>
                <w:b/>
              </w:rPr>
            </w:pPr>
            <w:r w:rsidRPr="002D6F1A">
              <w:rPr>
                <w:rFonts w:eastAsia="Calibri" w:cs="Times New Roman"/>
                <w:b/>
              </w:rPr>
              <w:t>N</w:t>
            </w:r>
          </w:p>
        </w:tc>
        <w:tc>
          <w:tcPr>
            <w:tcW w:w="1064" w:type="dxa"/>
            <w:vAlign w:val="bottom"/>
          </w:tcPr>
          <w:p w14:paraId="253CFCA5" w14:textId="77777777" w:rsidR="0048201E" w:rsidRPr="002D6F1A" w:rsidRDefault="0048201E" w:rsidP="0048201E">
            <w:pPr>
              <w:spacing w:line="360" w:lineRule="auto"/>
              <w:ind w:left="0" w:firstLine="0"/>
              <w:contextualSpacing/>
              <w:rPr>
                <w:rFonts w:eastAsia="Calibri" w:cs="Times New Roman"/>
                <w:b/>
              </w:rPr>
            </w:pPr>
            <w:r w:rsidRPr="002D6F1A">
              <w:rPr>
                <w:rFonts w:eastAsia="Calibri" w:cs="Times New Roman"/>
                <w:b/>
              </w:rPr>
              <w:t>Mean</w:t>
            </w:r>
          </w:p>
        </w:tc>
        <w:tc>
          <w:tcPr>
            <w:tcW w:w="2421" w:type="dxa"/>
            <w:vAlign w:val="bottom"/>
          </w:tcPr>
          <w:p w14:paraId="2FB4FD8A" w14:textId="6CCA0FD5" w:rsidR="0048201E" w:rsidRPr="002D6F1A" w:rsidRDefault="00040679" w:rsidP="0048201E">
            <w:pPr>
              <w:spacing w:line="360" w:lineRule="auto"/>
              <w:contextualSpacing/>
              <w:rPr>
                <w:rFonts w:eastAsia="Calibri" w:cs="Times New Roman"/>
                <w:b/>
              </w:rPr>
            </w:pPr>
            <w:r>
              <w:rPr>
                <w:rFonts w:eastAsia="Calibri" w:cs="Times New Roman"/>
                <w:b/>
              </w:rPr>
              <w:t>p</w:t>
            </w:r>
            <w:r w:rsidR="00C20B79" w:rsidRPr="00C20B79">
              <w:rPr>
                <w:rFonts w:eastAsia="Calibri" w:cs="Times New Roman"/>
                <w:b/>
              </w:rPr>
              <w:t>-value</w:t>
            </w:r>
            <w:r w:rsidR="0048201E" w:rsidRPr="002D6F1A">
              <w:rPr>
                <w:rFonts w:eastAsia="Calibri" w:cs="Times New Roman"/>
                <w:b/>
              </w:rPr>
              <w:t>, P-Value</w:t>
            </w:r>
          </w:p>
        </w:tc>
      </w:tr>
      <w:tr w:rsidR="0048201E" w:rsidRPr="002D6F1A" w14:paraId="29385BEF" w14:textId="77777777" w:rsidTr="0048201E">
        <w:trPr>
          <w:trHeight w:val="508"/>
        </w:trPr>
        <w:tc>
          <w:tcPr>
            <w:tcW w:w="2469" w:type="dxa"/>
            <w:vAlign w:val="center"/>
          </w:tcPr>
          <w:p w14:paraId="460620DF" w14:textId="77777777" w:rsidR="0048201E" w:rsidRPr="002D6F1A" w:rsidRDefault="0048201E" w:rsidP="0048201E">
            <w:pPr>
              <w:spacing w:line="360" w:lineRule="auto"/>
              <w:contextualSpacing/>
              <w:rPr>
                <w:rFonts w:eastAsia="Calibri" w:cs="Times New Roman"/>
              </w:rPr>
            </w:pPr>
            <w:r w:rsidRPr="002D6F1A">
              <w:rPr>
                <w:rFonts w:eastAsia="Calibri" w:cs="Times New Roman"/>
              </w:rPr>
              <w:t>Intervention</w:t>
            </w:r>
          </w:p>
        </w:tc>
        <w:tc>
          <w:tcPr>
            <w:tcW w:w="1016" w:type="dxa"/>
          </w:tcPr>
          <w:p w14:paraId="7427EDD7"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1064" w:type="dxa"/>
          </w:tcPr>
          <w:p w14:paraId="3ADC4159"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0.63</w:t>
            </w:r>
          </w:p>
        </w:tc>
        <w:tc>
          <w:tcPr>
            <w:tcW w:w="2421" w:type="dxa"/>
          </w:tcPr>
          <w:p w14:paraId="2EC3D112" w14:textId="6E6B47BC" w:rsidR="0048201E" w:rsidRPr="002D6F1A" w:rsidRDefault="00040679" w:rsidP="0048201E">
            <w:pPr>
              <w:spacing w:line="360" w:lineRule="auto"/>
              <w:contextualSpacing/>
              <w:rPr>
                <w:rFonts w:eastAsia="Calibri" w:cs="Times New Roman"/>
              </w:rPr>
            </w:pPr>
            <w:r>
              <w:rPr>
                <w:rFonts w:eastAsia="Calibri" w:cs="Times New Roman"/>
              </w:rPr>
              <w:t>p</w:t>
            </w:r>
            <w:r w:rsidR="00C20B79" w:rsidRPr="00C20B79">
              <w:rPr>
                <w:rFonts w:eastAsia="Calibri" w:cs="Times New Roman"/>
              </w:rPr>
              <w:t>-value</w:t>
            </w:r>
            <w:r w:rsidR="00C20B79" w:rsidRPr="00C20B79">
              <w:rPr>
                <w:rFonts w:eastAsia="Calibri" w:cs="Times New Roman"/>
              </w:rPr>
              <w:t xml:space="preserve"> </w:t>
            </w:r>
            <w:r w:rsidR="0048201E" w:rsidRPr="002D6F1A">
              <w:rPr>
                <w:rFonts w:eastAsia="Calibri" w:cs="Times New Roman"/>
              </w:rPr>
              <w:t>= 5.74</w:t>
            </w:r>
          </w:p>
        </w:tc>
      </w:tr>
      <w:tr w:rsidR="0048201E" w:rsidRPr="002D6F1A" w14:paraId="7BB8D992" w14:textId="77777777" w:rsidTr="0048201E">
        <w:trPr>
          <w:trHeight w:val="508"/>
        </w:trPr>
        <w:tc>
          <w:tcPr>
            <w:tcW w:w="2469" w:type="dxa"/>
            <w:vAlign w:val="center"/>
          </w:tcPr>
          <w:p w14:paraId="722BA2BC" w14:textId="77777777" w:rsidR="0048201E" w:rsidRPr="002D6F1A" w:rsidRDefault="0048201E" w:rsidP="0048201E">
            <w:pPr>
              <w:spacing w:line="360" w:lineRule="auto"/>
              <w:contextualSpacing/>
              <w:rPr>
                <w:rFonts w:eastAsia="Calibri" w:cs="Times New Roman"/>
              </w:rPr>
            </w:pPr>
            <w:r w:rsidRPr="002D6F1A">
              <w:rPr>
                <w:rFonts w:eastAsia="Calibri" w:cs="Times New Roman"/>
              </w:rPr>
              <w:t>Control</w:t>
            </w:r>
          </w:p>
        </w:tc>
        <w:tc>
          <w:tcPr>
            <w:tcW w:w="1016" w:type="dxa"/>
          </w:tcPr>
          <w:p w14:paraId="0F0EE802"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1064" w:type="dxa"/>
          </w:tcPr>
          <w:p w14:paraId="49E742CF"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0.29</w:t>
            </w:r>
          </w:p>
        </w:tc>
        <w:tc>
          <w:tcPr>
            <w:tcW w:w="2421" w:type="dxa"/>
          </w:tcPr>
          <w:p w14:paraId="47FACDE0" w14:textId="77777777" w:rsidR="0048201E" w:rsidRPr="002D6F1A" w:rsidRDefault="0048201E" w:rsidP="0048201E">
            <w:pPr>
              <w:spacing w:line="360" w:lineRule="auto"/>
              <w:contextualSpacing/>
              <w:rPr>
                <w:rFonts w:eastAsia="Calibri" w:cs="Times New Roman"/>
              </w:rPr>
            </w:pPr>
            <w:r w:rsidRPr="002D6F1A">
              <w:rPr>
                <w:rFonts w:eastAsia="Calibri" w:cs="Times New Roman"/>
              </w:rPr>
              <w:t>P-Value = 0.00</w:t>
            </w:r>
          </w:p>
        </w:tc>
      </w:tr>
    </w:tbl>
    <w:p w14:paraId="01E9AA1A" w14:textId="77777777" w:rsidR="00CD7F09" w:rsidRPr="002D6F1A" w:rsidRDefault="00CD7F09" w:rsidP="0048201E">
      <w:pPr>
        <w:spacing w:after="0" w:line="360" w:lineRule="auto"/>
        <w:contextualSpacing/>
        <w:jc w:val="center"/>
        <w:rPr>
          <w:rFonts w:eastAsia="Calibri" w:cs="Times New Roman"/>
          <w:b/>
          <w:bCs/>
        </w:rPr>
      </w:pPr>
      <w:r w:rsidRPr="002D6F1A">
        <w:rPr>
          <w:rFonts w:eastAsia="Calibri" w:cs="Times New Roman"/>
          <w:b/>
          <w:bCs/>
        </w:rPr>
        <w:t xml:space="preserve">Table 5. </w:t>
      </w:r>
      <w:r w:rsidRPr="0048201E">
        <w:rPr>
          <w:rFonts w:eastAsia="Calibri" w:cs="Times New Roman"/>
        </w:rPr>
        <w:t>MUAC Difference Analysis of the Intervention and Control group</w:t>
      </w:r>
    </w:p>
    <w:p w14:paraId="7C2F6974" w14:textId="77777777" w:rsidR="00CD7F09" w:rsidRPr="002D6F1A" w:rsidRDefault="00CD7F09" w:rsidP="00CD7F09">
      <w:pPr>
        <w:spacing w:after="0" w:line="360" w:lineRule="auto"/>
        <w:contextualSpacing/>
        <w:rPr>
          <w:rFonts w:eastAsia="Calibri" w:cs="Times New Roman"/>
          <w:b/>
          <w:bCs/>
        </w:rPr>
      </w:pPr>
    </w:p>
    <w:p w14:paraId="34AB9729" w14:textId="77777777" w:rsidR="00CD7F09" w:rsidRPr="002D6F1A" w:rsidRDefault="00CD7F09" w:rsidP="00CD7F09">
      <w:pPr>
        <w:spacing w:after="0" w:line="360" w:lineRule="auto"/>
        <w:ind w:left="426" w:firstLine="425"/>
        <w:contextualSpacing/>
        <w:rPr>
          <w:rFonts w:eastAsia="Calibri" w:cs="Times New Roman"/>
        </w:rPr>
      </w:pPr>
    </w:p>
    <w:p w14:paraId="7B6079A1" w14:textId="77777777" w:rsidR="00C2555F" w:rsidRDefault="00C2555F" w:rsidP="00CD7F09">
      <w:pPr>
        <w:spacing w:after="0" w:line="360" w:lineRule="auto"/>
        <w:ind w:firstLine="720"/>
        <w:contextualSpacing/>
        <w:rPr>
          <w:rFonts w:eastAsia="Calibri" w:cs="Times New Roman"/>
        </w:rPr>
      </w:pPr>
    </w:p>
    <w:p w14:paraId="35D2BC96" w14:textId="644D0FB5" w:rsidR="00CD7F09" w:rsidRPr="002D6F1A" w:rsidRDefault="00CD7F09" w:rsidP="00CD7F09">
      <w:pPr>
        <w:spacing w:after="0" w:line="360" w:lineRule="auto"/>
        <w:ind w:firstLine="720"/>
        <w:contextualSpacing/>
        <w:rPr>
          <w:rFonts w:eastAsia="Calibri" w:cs="Times New Roman"/>
        </w:rPr>
      </w:pPr>
      <w:r w:rsidRPr="002D6F1A">
        <w:rPr>
          <w:rFonts w:eastAsia="Calibri" w:cs="Times New Roman"/>
        </w:rPr>
        <w:t>The results of the analysis with an independent t-test obtained a calculated t value of 1.87 &gt; t table 1.67 and a p-value of 0.03 &lt; 0.05 (Table 6). This shows that Ho is rejected meaning that there is a difference in Hb between the experimental group and the control group. The average increase in Hb levels of the experimental group was greater than that of the control group, because the mean Hb of the experimental group was 0.88 &gt; 0.72.</w:t>
      </w:r>
    </w:p>
    <w:p w14:paraId="7099A546" w14:textId="77777777" w:rsidR="00CD7F09" w:rsidRPr="002D6F1A" w:rsidRDefault="00CD7F09" w:rsidP="00CD7F09">
      <w:pPr>
        <w:spacing w:after="0" w:line="360" w:lineRule="auto"/>
        <w:ind w:firstLine="720"/>
        <w:contextualSpacing/>
        <w:rPr>
          <w:rFonts w:eastAsia="Calibri" w:cs="Times New Roman"/>
        </w:rPr>
      </w:pPr>
    </w:p>
    <w:p w14:paraId="51666604" w14:textId="77777777" w:rsidR="00CD7F09" w:rsidRPr="002D6F1A" w:rsidRDefault="00CD7F09" w:rsidP="0048201E">
      <w:pPr>
        <w:spacing w:after="0" w:line="360" w:lineRule="auto"/>
        <w:contextualSpacing/>
        <w:jc w:val="center"/>
        <w:rPr>
          <w:rFonts w:eastAsia="Calibri" w:cs="Times New Roman"/>
          <w:b/>
          <w:bCs/>
        </w:rPr>
      </w:pPr>
      <w:r w:rsidRPr="002D6F1A">
        <w:rPr>
          <w:rFonts w:eastAsia="Calibri" w:cs="Times New Roman"/>
          <w:b/>
          <w:bCs/>
        </w:rPr>
        <w:t>Table 6.</w:t>
      </w:r>
      <w:r w:rsidRPr="0048201E">
        <w:rPr>
          <w:rFonts w:eastAsia="Calibri" w:cs="Times New Roman"/>
        </w:rPr>
        <w:t xml:space="preserve"> Hb Difference Analysis of the Intervention and Control Group</w:t>
      </w:r>
    </w:p>
    <w:tbl>
      <w:tblPr>
        <w:tblStyle w:val="TableGrid1"/>
        <w:tblpPr w:leftFromText="180" w:rightFromText="180" w:vertAnchor="text" w:horzAnchor="margin" w:tblpXSpec="center" w:tblpY="-36"/>
        <w:tblW w:w="6804" w:type="dxa"/>
        <w:tblBorders>
          <w:left w:val="none" w:sz="0" w:space="0" w:color="auto"/>
          <w:right w:val="none" w:sz="0" w:space="0" w:color="auto"/>
          <w:insideV w:val="none" w:sz="0" w:space="0" w:color="auto"/>
        </w:tblBorders>
        <w:tblLook w:val="04A0" w:firstRow="1" w:lastRow="0" w:firstColumn="1" w:lastColumn="0" w:noHBand="0" w:noVBand="1"/>
      </w:tblPr>
      <w:tblGrid>
        <w:gridCol w:w="2410"/>
        <w:gridCol w:w="1418"/>
        <w:gridCol w:w="992"/>
        <w:gridCol w:w="1984"/>
      </w:tblGrid>
      <w:tr w:rsidR="0048201E" w:rsidRPr="002D6F1A" w14:paraId="7D11C3A6" w14:textId="77777777" w:rsidTr="0040353D">
        <w:tc>
          <w:tcPr>
            <w:tcW w:w="2410" w:type="dxa"/>
            <w:vAlign w:val="bottom"/>
          </w:tcPr>
          <w:p w14:paraId="4F7FD636" w14:textId="77777777" w:rsidR="0048201E" w:rsidRPr="002D6F1A" w:rsidRDefault="0048201E" w:rsidP="0048201E">
            <w:pPr>
              <w:spacing w:line="360" w:lineRule="auto"/>
              <w:contextualSpacing/>
              <w:jc w:val="center"/>
              <w:rPr>
                <w:rFonts w:eastAsia="Calibri" w:cs="Times New Roman"/>
                <w:b/>
              </w:rPr>
            </w:pPr>
            <w:r w:rsidRPr="002D6F1A">
              <w:rPr>
                <w:rFonts w:eastAsia="Calibri" w:cs="Times New Roman"/>
                <w:b/>
              </w:rPr>
              <w:t>MUAC</w:t>
            </w:r>
          </w:p>
        </w:tc>
        <w:tc>
          <w:tcPr>
            <w:tcW w:w="1418" w:type="dxa"/>
            <w:vAlign w:val="bottom"/>
          </w:tcPr>
          <w:p w14:paraId="7649AAA8" w14:textId="77777777" w:rsidR="0048201E" w:rsidRPr="002D6F1A" w:rsidRDefault="0048201E" w:rsidP="0048201E">
            <w:pPr>
              <w:spacing w:line="360" w:lineRule="auto"/>
              <w:contextualSpacing/>
              <w:jc w:val="center"/>
              <w:rPr>
                <w:rFonts w:eastAsia="Calibri" w:cs="Times New Roman"/>
                <w:b/>
              </w:rPr>
            </w:pPr>
            <w:r w:rsidRPr="002D6F1A">
              <w:rPr>
                <w:rFonts w:eastAsia="Calibri" w:cs="Times New Roman"/>
                <w:b/>
              </w:rPr>
              <w:t>N</w:t>
            </w:r>
          </w:p>
        </w:tc>
        <w:tc>
          <w:tcPr>
            <w:tcW w:w="992" w:type="dxa"/>
            <w:vAlign w:val="bottom"/>
          </w:tcPr>
          <w:p w14:paraId="0324F575" w14:textId="77777777" w:rsidR="0048201E" w:rsidRPr="002D6F1A" w:rsidRDefault="0048201E" w:rsidP="0048201E">
            <w:pPr>
              <w:spacing w:line="360" w:lineRule="auto"/>
              <w:contextualSpacing/>
              <w:rPr>
                <w:rFonts w:eastAsia="Calibri" w:cs="Times New Roman"/>
                <w:b/>
              </w:rPr>
            </w:pPr>
            <w:r w:rsidRPr="002D6F1A">
              <w:rPr>
                <w:rFonts w:eastAsia="Calibri" w:cs="Times New Roman"/>
                <w:b/>
              </w:rPr>
              <w:t>Mean</w:t>
            </w:r>
          </w:p>
        </w:tc>
        <w:tc>
          <w:tcPr>
            <w:tcW w:w="1984" w:type="dxa"/>
            <w:vAlign w:val="bottom"/>
          </w:tcPr>
          <w:p w14:paraId="3BE937E3" w14:textId="4F11EF50" w:rsidR="0048201E" w:rsidRPr="002D6F1A" w:rsidRDefault="0081424F" w:rsidP="0048201E">
            <w:pPr>
              <w:spacing w:line="360" w:lineRule="auto"/>
              <w:contextualSpacing/>
              <w:rPr>
                <w:rFonts w:eastAsia="Calibri" w:cs="Times New Roman"/>
                <w:b/>
              </w:rPr>
            </w:pPr>
            <w:r>
              <w:rPr>
                <w:rFonts w:eastAsia="Calibri" w:cs="Times New Roman"/>
                <w:b/>
              </w:rPr>
              <w:t>t</w:t>
            </w:r>
            <w:r w:rsidR="00C20B79" w:rsidRPr="00C20B79">
              <w:rPr>
                <w:rFonts w:eastAsia="Calibri" w:cs="Times New Roman"/>
                <w:b/>
              </w:rPr>
              <w:t>-value</w:t>
            </w:r>
            <w:r w:rsidR="0048201E" w:rsidRPr="002D6F1A">
              <w:rPr>
                <w:rFonts w:eastAsia="Calibri" w:cs="Times New Roman"/>
                <w:b/>
              </w:rPr>
              <w:t xml:space="preserve">, </w:t>
            </w:r>
            <w:r>
              <w:rPr>
                <w:rFonts w:eastAsia="Calibri" w:cs="Times New Roman"/>
                <w:b/>
              </w:rPr>
              <w:t>P</w:t>
            </w:r>
            <w:r w:rsidR="0048201E" w:rsidRPr="002D6F1A">
              <w:rPr>
                <w:rFonts w:eastAsia="Calibri" w:cs="Times New Roman"/>
                <w:b/>
              </w:rPr>
              <w:t>-Value</w:t>
            </w:r>
          </w:p>
        </w:tc>
      </w:tr>
      <w:tr w:rsidR="0048201E" w:rsidRPr="002D6F1A" w14:paraId="7AEC2889" w14:textId="77777777" w:rsidTr="0040353D">
        <w:tc>
          <w:tcPr>
            <w:tcW w:w="2410" w:type="dxa"/>
            <w:vAlign w:val="center"/>
          </w:tcPr>
          <w:p w14:paraId="2D8BB363" w14:textId="3505FA43" w:rsidR="0048201E" w:rsidRPr="002D6F1A" w:rsidRDefault="0048201E" w:rsidP="0048201E">
            <w:pPr>
              <w:spacing w:line="360" w:lineRule="auto"/>
              <w:contextualSpacing/>
              <w:rPr>
                <w:rFonts w:eastAsia="Calibri" w:cs="Times New Roman"/>
              </w:rPr>
            </w:pPr>
            <w:r w:rsidRPr="002D6F1A">
              <w:rPr>
                <w:rFonts w:eastAsia="Calibri" w:cs="Times New Roman"/>
              </w:rPr>
              <w:t>Experiment</w:t>
            </w:r>
            <w:r w:rsidR="00F53EDD">
              <w:rPr>
                <w:rFonts w:eastAsia="Calibri" w:cs="Times New Roman"/>
              </w:rPr>
              <w:t>al</w:t>
            </w:r>
          </w:p>
        </w:tc>
        <w:tc>
          <w:tcPr>
            <w:tcW w:w="1418" w:type="dxa"/>
            <w:vAlign w:val="center"/>
          </w:tcPr>
          <w:p w14:paraId="636DAF02"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992" w:type="dxa"/>
          </w:tcPr>
          <w:p w14:paraId="01DFDBF6"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0.88</w:t>
            </w:r>
          </w:p>
        </w:tc>
        <w:tc>
          <w:tcPr>
            <w:tcW w:w="1984" w:type="dxa"/>
          </w:tcPr>
          <w:p w14:paraId="040625FE" w14:textId="787344CC" w:rsidR="0048201E" w:rsidRPr="002D6F1A" w:rsidRDefault="00C20B79" w:rsidP="0048201E">
            <w:pPr>
              <w:spacing w:line="360" w:lineRule="auto"/>
              <w:contextualSpacing/>
              <w:rPr>
                <w:rFonts w:eastAsia="Calibri" w:cs="Times New Roman"/>
              </w:rPr>
            </w:pPr>
            <w:r w:rsidRPr="00C20B79">
              <w:rPr>
                <w:rFonts w:eastAsia="Calibri" w:cs="Times New Roman"/>
              </w:rPr>
              <w:t>t-value</w:t>
            </w:r>
            <w:r w:rsidRPr="00C20B79">
              <w:rPr>
                <w:rFonts w:eastAsia="Calibri" w:cs="Times New Roman"/>
              </w:rPr>
              <w:t xml:space="preserve"> </w:t>
            </w:r>
            <w:r w:rsidR="0048201E" w:rsidRPr="002D6F1A">
              <w:rPr>
                <w:rFonts w:eastAsia="Calibri" w:cs="Times New Roman"/>
              </w:rPr>
              <w:t>= 1.87</w:t>
            </w:r>
          </w:p>
        </w:tc>
      </w:tr>
      <w:tr w:rsidR="0048201E" w:rsidRPr="002D6F1A" w14:paraId="49935EB2" w14:textId="77777777" w:rsidTr="0040353D">
        <w:tc>
          <w:tcPr>
            <w:tcW w:w="2410" w:type="dxa"/>
            <w:vAlign w:val="center"/>
          </w:tcPr>
          <w:p w14:paraId="50DC077F" w14:textId="77777777" w:rsidR="0048201E" w:rsidRPr="002D6F1A" w:rsidRDefault="0048201E" w:rsidP="0048201E">
            <w:pPr>
              <w:spacing w:line="360" w:lineRule="auto"/>
              <w:contextualSpacing/>
              <w:rPr>
                <w:rFonts w:eastAsia="Calibri" w:cs="Times New Roman"/>
              </w:rPr>
            </w:pPr>
            <w:r w:rsidRPr="002D6F1A">
              <w:rPr>
                <w:rFonts w:eastAsia="Calibri" w:cs="Times New Roman"/>
              </w:rPr>
              <w:t>Control</w:t>
            </w:r>
          </w:p>
        </w:tc>
        <w:tc>
          <w:tcPr>
            <w:tcW w:w="1418" w:type="dxa"/>
            <w:vAlign w:val="center"/>
          </w:tcPr>
          <w:p w14:paraId="241867E2"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992" w:type="dxa"/>
          </w:tcPr>
          <w:p w14:paraId="57560D49"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0.72</w:t>
            </w:r>
          </w:p>
        </w:tc>
        <w:tc>
          <w:tcPr>
            <w:tcW w:w="1984" w:type="dxa"/>
          </w:tcPr>
          <w:p w14:paraId="1B488E9A" w14:textId="465A8C99" w:rsidR="0048201E" w:rsidRPr="002D6F1A" w:rsidRDefault="0081424F" w:rsidP="0048201E">
            <w:pPr>
              <w:spacing w:line="360" w:lineRule="auto"/>
              <w:contextualSpacing/>
              <w:rPr>
                <w:rFonts w:eastAsia="Calibri" w:cs="Times New Roman"/>
              </w:rPr>
            </w:pPr>
            <w:r>
              <w:rPr>
                <w:rFonts w:eastAsia="Calibri" w:cs="Times New Roman"/>
              </w:rPr>
              <w:t>t</w:t>
            </w:r>
            <w:r w:rsidR="0048201E" w:rsidRPr="002D6F1A">
              <w:rPr>
                <w:rFonts w:eastAsia="Calibri" w:cs="Times New Roman"/>
              </w:rPr>
              <w:t>-Value = 0.03</w:t>
            </w:r>
          </w:p>
        </w:tc>
      </w:tr>
    </w:tbl>
    <w:p w14:paraId="60647D65" w14:textId="77777777" w:rsidR="00CD7F09" w:rsidRPr="002D6F1A" w:rsidRDefault="00CD7F09" w:rsidP="00CD7F09">
      <w:pPr>
        <w:spacing w:after="0" w:line="360" w:lineRule="auto"/>
        <w:contextualSpacing/>
        <w:rPr>
          <w:rFonts w:eastAsia="Calibri" w:cs="Times New Roman"/>
          <w:b/>
          <w:bCs/>
        </w:rPr>
      </w:pPr>
    </w:p>
    <w:p w14:paraId="7C591B7B" w14:textId="77777777" w:rsidR="00CD7F09" w:rsidRPr="002D6F1A" w:rsidRDefault="00CD7F09" w:rsidP="00CD7F09">
      <w:pPr>
        <w:spacing w:after="0" w:line="360" w:lineRule="auto"/>
        <w:contextualSpacing/>
        <w:rPr>
          <w:rFonts w:eastAsia="Calibri" w:cs="Times New Roman"/>
          <w:b/>
        </w:rPr>
      </w:pPr>
    </w:p>
    <w:p w14:paraId="08C2AAD1" w14:textId="77777777" w:rsidR="0048201E" w:rsidRDefault="0048201E" w:rsidP="00CD7F09">
      <w:pPr>
        <w:spacing w:after="0" w:line="360" w:lineRule="auto"/>
        <w:contextualSpacing/>
        <w:rPr>
          <w:rFonts w:eastAsia="Calibri" w:cs="Times New Roman"/>
          <w:b/>
        </w:rPr>
      </w:pPr>
    </w:p>
    <w:p w14:paraId="70685524" w14:textId="77777777" w:rsidR="0048201E" w:rsidRDefault="0048201E" w:rsidP="00CD7F09">
      <w:pPr>
        <w:spacing w:after="0" w:line="360" w:lineRule="auto"/>
        <w:contextualSpacing/>
        <w:rPr>
          <w:rFonts w:eastAsia="Calibri" w:cs="Times New Roman"/>
          <w:b/>
        </w:rPr>
      </w:pPr>
    </w:p>
    <w:p w14:paraId="104F02CB" w14:textId="77777777" w:rsidR="00594682" w:rsidRDefault="00594682" w:rsidP="00CD7F09">
      <w:pPr>
        <w:spacing w:after="0" w:line="360" w:lineRule="auto"/>
        <w:contextualSpacing/>
        <w:rPr>
          <w:rFonts w:eastAsia="Calibri" w:cs="Times New Roman"/>
          <w:b/>
        </w:rPr>
      </w:pPr>
    </w:p>
    <w:p w14:paraId="02FE58D0" w14:textId="77777777" w:rsidR="00594682" w:rsidRDefault="00594682" w:rsidP="00CD7F09">
      <w:pPr>
        <w:spacing w:after="0" w:line="360" w:lineRule="auto"/>
        <w:contextualSpacing/>
        <w:rPr>
          <w:rFonts w:eastAsia="Calibri" w:cs="Times New Roman"/>
          <w:b/>
        </w:rPr>
      </w:pPr>
    </w:p>
    <w:p w14:paraId="4356883E" w14:textId="77777777" w:rsidR="00594682" w:rsidRDefault="00594682" w:rsidP="00CD7F09">
      <w:pPr>
        <w:spacing w:after="0" w:line="360" w:lineRule="auto"/>
        <w:contextualSpacing/>
        <w:rPr>
          <w:rFonts w:eastAsia="Calibri" w:cs="Times New Roman"/>
          <w:b/>
        </w:rPr>
      </w:pPr>
    </w:p>
    <w:p w14:paraId="018040F6" w14:textId="72A1C6DA" w:rsidR="00CD7F09" w:rsidRPr="002D6F1A" w:rsidRDefault="00CD7F09" w:rsidP="00CD7F09">
      <w:pPr>
        <w:spacing w:after="0" w:line="360" w:lineRule="auto"/>
        <w:contextualSpacing/>
        <w:rPr>
          <w:rFonts w:eastAsia="Calibri" w:cs="Times New Roman"/>
          <w:b/>
        </w:rPr>
      </w:pPr>
      <w:r w:rsidRPr="002D6F1A">
        <w:rPr>
          <w:rFonts w:eastAsia="Calibri" w:cs="Times New Roman"/>
          <w:b/>
        </w:rPr>
        <w:t>DISCUSSION</w:t>
      </w:r>
    </w:p>
    <w:p w14:paraId="68BEBD32"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This study demonstrated that daily consumption of boiled purebred chicken eggs was associated with improvements in both mid-upper arm circumference (MUAC) and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(Hb) levels among pregnant women with chronic energy deficiency (CED). Although both the intervention and comparison groups showed positive changes, greater increases were observed among participants who consumed two eggs per day, indicating a potential dose–response effect of egg consumption on maternal nutritional status.</w:t>
      </w:r>
    </w:p>
    <w:p w14:paraId="786D2245"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The observed increase in MUAC suggests an improvement in maternal energy and protein reserves. MUAC is widely used as an anthropometric indicator to assess the nutritional status of pregnant women and the risk of CED. An increase in MUAC reflects better muscle mass and subcutaneous fat accumulation, which are essential during pregnancy to support </w:t>
      </w:r>
      <w:proofErr w:type="spellStart"/>
      <w:r w:rsidRPr="00215FFB">
        <w:rPr>
          <w:rFonts w:eastAsia="Calibri" w:cs="Times New Roman"/>
          <w:bCs/>
          <w:lang w:val="en-ID"/>
        </w:rPr>
        <w:t>fetal</w:t>
      </w:r>
      <w:proofErr w:type="spellEnd"/>
      <w:r w:rsidRPr="00215FFB">
        <w:rPr>
          <w:rFonts w:eastAsia="Calibri" w:cs="Times New Roman"/>
          <w:bCs/>
          <w:lang w:val="en-ID"/>
        </w:rPr>
        <w:t xml:space="preserve"> growth and maternal health. Similar findings have been reported in previous studies showing that increased intake of animal-source protein, including eggs, contributes to improvements in MUAC among pregnant women.</w:t>
      </w:r>
    </w:p>
    <w:p w14:paraId="0DC89B9E"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lastRenderedPageBreak/>
        <w:t xml:space="preserve">In addition to MUAC, this study found a greater increase in Hb levels in the intervention group compared to the comparison group.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concentration is a key indicator of </w:t>
      </w:r>
      <w:proofErr w:type="spellStart"/>
      <w:r w:rsidRPr="00215FFB">
        <w:rPr>
          <w:rFonts w:eastAsia="Calibri" w:cs="Times New Roman"/>
          <w:bCs/>
          <w:lang w:val="en-ID"/>
        </w:rPr>
        <w:t>anemia</w:t>
      </w:r>
      <w:proofErr w:type="spellEnd"/>
      <w:r w:rsidRPr="00215FFB">
        <w:rPr>
          <w:rFonts w:eastAsia="Calibri" w:cs="Times New Roman"/>
          <w:bCs/>
          <w:lang w:val="en-ID"/>
        </w:rPr>
        <w:t xml:space="preserve"> status, which remains a major public health concern among pregnant women. Eggs are a rich source of high-quality protein and contain essential micronutrients that support erythropoiesis. Adequate protein intake plays a crucial role in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synthesis and may enhance iron utilization, thereby contributing to the prevention of </w:t>
      </w:r>
      <w:proofErr w:type="spellStart"/>
      <w:r w:rsidRPr="00215FFB">
        <w:rPr>
          <w:rFonts w:eastAsia="Calibri" w:cs="Times New Roman"/>
          <w:bCs/>
          <w:lang w:val="en-ID"/>
        </w:rPr>
        <w:t>anemia</w:t>
      </w:r>
      <w:proofErr w:type="spellEnd"/>
      <w:r w:rsidRPr="00215FFB">
        <w:rPr>
          <w:rFonts w:eastAsia="Calibri" w:cs="Times New Roman"/>
          <w:bCs/>
          <w:lang w:val="en-ID"/>
        </w:rPr>
        <w:t xml:space="preserve"> during pregnancy. The findings of this study are consistent with previous research reporting that consumption of animal-source foods can improve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levels and reduce the risk of </w:t>
      </w:r>
      <w:proofErr w:type="spellStart"/>
      <w:r w:rsidRPr="00215FFB">
        <w:rPr>
          <w:rFonts w:eastAsia="Calibri" w:cs="Times New Roman"/>
          <w:bCs/>
          <w:lang w:val="en-ID"/>
        </w:rPr>
        <w:t>anemia</w:t>
      </w:r>
      <w:proofErr w:type="spellEnd"/>
      <w:r w:rsidRPr="00215FFB">
        <w:rPr>
          <w:rFonts w:eastAsia="Calibri" w:cs="Times New Roman"/>
          <w:bCs/>
          <w:lang w:val="en-ID"/>
        </w:rPr>
        <w:t xml:space="preserve"> among pregnant women.</w:t>
      </w:r>
    </w:p>
    <w:p w14:paraId="6406BB43"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From a public health perspective, the results highlight the potential role of eggs as a simple, affordable, and locally available nutritional intervention to address maternal undernutrition and </w:t>
      </w:r>
      <w:proofErr w:type="spellStart"/>
      <w:r w:rsidRPr="00215FFB">
        <w:rPr>
          <w:rFonts w:eastAsia="Calibri" w:cs="Times New Roman"/>
          <w:bCs/>
          <w:lang w:val="en-ID"/>
        </w:rPr>
        <w:t>anemia</w:t>
      </w:r>
      <w:proofErr w:type="spellEnd"/>
      <w:r w:rsidRPr="00215FFB">
        <w:rPr>
          <w:rFonts w:eastAsia="Calibri" w:cs="Times New Roman"/>
          <w:bCs/>
          <w:lang w:val="en-ID"/>
        </w:rPr>
        <w:t xml:space="preserve">. In resource-limited settings, promoting egg consumption may be a feasible strategy to improve maternal nutritional status, particularly among pregnant women at risk of CED. Health promotion programs delivered through primary healthcare services, including antenatal care, could incorporate dietary </w:t>
      </w:r>
      <w:proofErr w:type="spellStart"/>
      <w:r w:rsidRPr="00215FFB">
        <w:rPr>
          <w:rFonts w:eastAsia="Calibri" w:cs="Times New Roman"/>
          <w:bCs/>
          <w:lang w:val="en-ID"/>
        </w:rPr>
        <w:t>counseling</w:t>
      </w:r>
      <w:proofErr w:type="spellEnd"/>
      <w:r w:rsidRPr="00215FFB">
        <w:rPr>
          <w:rFonts w:eastAsia="Calibri" w:cs="Times New Roman"/>
          <w:bCs/>
          <w:lang w:val="en-ID"/>
        </w:rPr>
        <w:t xml:space="preserve"> that emphasizes the benefits of adequate protein intake from accessible food sources such as eggs.</w:t>
      </w:r>
    </w:p>
    <w:p w14:paraId="714AE263"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Several limitations should be considered when interpreting the findings of this study. The quasi-experimental design and non-equivalent comparison groups may limit causal inference. Dietary intake beyond egg consumption was not controlled, which may have influenced the observed outcomes. In addition, the study duration was relatively short, and the sample size was limited to a single health </w:t>
      </w:r>
      <w:proofErr w:type="spellStart"/>
      <w:r w:rsidRPr="00215FFB">
        <w:rPr>
          <w:rFonts w:eastAsia="Calibri" w:cs="Times New Roman"/>
          <w:bCs/>
          <w:lang w:val="en-ID"/>
        </w:rPr>
        <w:t>center</w:t>
      </w:r>
      <w:proofErr w:type="spellEnd"/>
      <w:r w:rsidRPr="00215FFB">
        <w:rPr>
          <w:rFonts w:eastAsia="Calibri" w:cs="Times New Roman"/>
          <w:bCs/>
          <w:lang w:val="en-ID"/>
        </w:rPr>
        <w:t>, which may affect the generalizability of the results. Future studies using randomized controlled designs with larger samples and longer follow-up periods are recommended to confirm these findings.</w:t>
      </w:r>
    </w:p>
    <w:p w14:paraId="2DF047A8" w14:textId="77777777" w:rsidR="002202E6" w:rsidRDefault="002202E6" w:rsidP="007A7CA1">
      <w:pPr>
        <w:spacing w:after="120" w:line="360" w:lineRule="auto"/>
        <w:ind w:left="0" w:right="0" w:firstLine="0"/>
      </w:pPr>
    </w:p>
    <w:p w14:paraId="30222F7B" w14:textId="27EF99E9" w:rsidR="00F84920" w:rsidRPr="008A16FC" w:rsidRDefault="00F84920" w:rsidP="00323CBA">
      <w:pPr>
        <w:pStyle w:val="Heading1"/>
        <w:spacing w:after="120" w:line="360" w:lineRule="auto"/>
        <w:ind w:left="-5"/>
      </w:pPr>
      <w:r w:rsidRPr="008A16FC">
        <w:t>Conclusion</w:t>
      </w:r>
    </w:p>
    <w:p w14:paraId="0FCB133E" w14:textId="77777777" w:rsidR="00215FFB" w:rsidRPr="00215FFB" w:rsidRDefault="00215FFB" w:rsidP="00FE2B33">
      <w:pPr>
        <w:spacing w:after="120" w:line="360" w:lineRule="auto"/>
        <w:ind w:left="0" w:right="0" w:firstLine="709"/>
        <w:rPr>
          <w:rFonts w:eastAsia="Calibri" w:cs="Times New Roman"/>
          <w:bCs/>
          <w:lang w:val="en-ID"/>
        </w:rPr>
      </w:pPr>
      <w:r w:rsidRPr="00215FFB">
        <w:rPr>
          <w:rFonts w:eastAsia="Calibri" w:cs="Times New Roman"/>
          <w:bCs/>
          <w:lang w:val="en-ID"/>
        </w:rPr>
        <w:t xml:space="preserve">This study concludes that daily consumption of boiled purebred chicken eggs is associated with improvements in mid-upper arm circumference and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levels among pregnant women with chronic energy deficiency. Consuming two eggs per day resulted in greater nutritional benefits compared to consuming one egg per day.</w:t>
      </w:r>
    </w:p>
    <w:p w14:paraId="7CADE1A0" w14:textId="77777777" w:rsidR="00215FFB" w:rsidRPr="00215FFB" w:rsidRDefault="00215FFB" w:rsidP="00FE2B33">
      <w:pPr>
        <w:spacing w:after="120" w:line="360" w:lineRule="auto"/>
        <w:ind w:left="0" w:right="0" w:firstLine="709"/>
        <w:rPr>
          <w:rFonts w:eastAsia="Calibri" w:cs="Times New Roman"/>
          <w:bCs/>
          <w:lang w:val="en-ID"/>
        </w:rPr>
      </w:pPr>
      <w:r w:rsidRPr="00215FFB">
        <w:rPr>
          <w:rFonts w:eastAsia="Calibri" w:cs="Times New Roman"/>
          <w:bCs/>
          <w:lang w:val="en-ID"/>
        </w:rPr>
        <w:t xml:space="preserve">These findings suggest that egg consumption may serve as a simple and affordable dietary intervention to support maternal nutritional status during pregnancy, particularly in resource-limited settings. Incorporating egg-based nutritional recommendations into antenatal care programs may contribute to the prevention of chronic energy deficiency and </w:t>
      </w:r>
      <w:proofErr w:type="spellStart"/>
      <w:r w:rsidRPr="00215FFB">
        <w:rPr>
          <w:rFonts w:eastAsia="Calibri" w:cs="Times New Roman"/>
          <w:bCs/>
          <w:lang w:val="en-ID"/>
        </w:rPr>
        <w:t>anemia</w:t>
      </w:r>
      <w:proofErr w:type="spellEnd"/>
      <w:r w:rsidRPr="00215FFB">
        <w:rPr>
          <w:rFonts w:eastAsia="Calibri" w:cs="Times New Roman"/>
          <w:bCs/>
          <w:lang w:val="en-ID"/>
        </w:rPr>
        <w:t xml:space="preserve"> among pregnant women.</w:t>
      </w:r>
    </w:p>
    <w:p w14:paraId="6083D2A1" w14:textId="77777777" w:rsidR="00F22A84" w:rsidRPr="0048201E" w:rsidRDefault="00F22A84" w:rsidP="0048201E">
      <w:pPr>
        <w:spacing w:after="120" w:line="360" w:lineRule="auto"/>
        <w:ind w:left="0" w:right="0" w:firstLine="0"/>
        <w:rPr>
          <w:lang w:val="en-GB" w:eastAsia="pt-BR"/>
        </w:rPr>
      </w:pPr>
    </w:p>
    <w:p w14:paraId="09EF8CAC" w14:textId="1B125F35" w:rsidR="00F84920" w:rsidRDefault="00F84920" w:rsidP="00323CBA">
      <w:pPr>
        <w:pStyle w:val="Heading1"/>
        <w:spacing w:after="120" w:line="360" w:lineRule="auto"/>
        <w:ind w:left="-5"/>
      </w:pPr>
      <w:r w:rsidRPr="00E867FF">
        <w:t>References</w:t>
      </w:r>
    </w:p>
    <w:p w14:paraId="693C27C1"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Wubie, A., Seid, O., Eshetie, S., Dagne, S., </w:t>
      </w:r>
      <w:proofErr w:type="spellStart"/>
      <w:r w:rsidRPr="0048201E">
        <w:rPr>
          <w:rFonts w:eastAsia="Calibri" w:cs="Times New Roman"/>
          <w:bCs/>
          <w:sz w:val="20"/>
          <w:szCs w:val="20"/>
        </w:rPr>
        <w:t>Menber</w:t>
      </w:r>
      <w:proofErr w:type="spellEnd"/>
      <w:r w:rsidRPr="0048201E">
        <w:rPr>
          <w:rFonts w:eastAsia="Calibri" w:cs="Times New Roman"/>
          <w:bCs/>
          <w:sz w:val="20"/>
          <w:szCs w:val="20"/>
        </w:rPr>
        <w:t xml:space="preserve">, Y., </w:t>
      </w:r>
      <w:proofErr w:type="spellStart"/>
      <w:r w:rsidRPr="0048201E">
        <w:rPr>
          <w:rFonts w:eastAsia="Calibri" w:cs="Times New Roman"/>
          <w:bCs/>
          <w:sz w:val="20"/>
          <w:szCs w:val="20"/>
        </w:rPr>
        <w:t>Wasihun</w:t>
      </w:r>
      <w:proofErr w:type="spellEnd"/>
      <w:r w:rsidRPr="0048201E">
        <w:rPr>
          <w:rFonts w:eastAsia="Calibri" w:cs="Times New Roman"/>
          <w:bCs/>
          <w:sz w:val="20"/>
          <w:szCs w:val="20"/>
        </w:rPr>
        <w:t xml:space="preserve">, Y., &amp; </w:t>
      </w:r>
      <w:proofErr w:type="spellStart"/>
      <w:r w:rsidRPr="0048201E">
        <w:rPr>
          <w:rFonts w:eastAsia="Calibri" w:cs="Times New Roman"/>
          <w:bCs/>
          <w:sz w:val="20"/>
          <w:szCs w:val="20"/>
        </w:rPr>
        <w:t>Petrucka</w:t>
      </w:r>
      <w:proofErr w:type="spellEnd"/>
      <w:r w:rsidRPr="0048201E">
        <w:rPr>
          <w:rFonts w:eastAsia="Calibri" w:cs="Times New Roman"/>
          <w:bCs/>
          <w:sz w:val="20"/>
          <w:szCs w:val="20"/>
        </w:rPr>
        <w:t>, P. (2020). Determinants of chronic energy deficiency among non-pregnant and non-lactating women of reproductive age in rural Kebeles of Dera District, North West Ethiopia, 2019: Unmatched case control study. </w:t>
      </w:r>
      <w:proofErr w:type="spellStart"/>
      <w:r w:rsidRPr="0048201E">
        <w:rPr>
          <w:rFonts w:eastAsia="Calibri" w:cs="Times New Roman"/>
          <w:bCs/>
          <w:i/>
          <w:iCs/>
          <w:sz w:val="20"/>
          <w:szCs w:val="20"/>
        </w:rPr>
        <w:t>PloS</w:t>
      </w:r>
      <w:proofErr w:type="spellEnd"/>
      <w:r w:rsidRPr="0048201E">
        <w:rPr>
          <w:rFonts w:eastAsia="Calibri" w:cs="Times New Roman"/>
          <w:bCs/>
          <w:i/>
          <w:iCs/>
          <w:sz w:val="20"/>
          <w:szCs w:val="20"/>
        </w:rPr>
        <w:t xml:space="preserve"> one</w:t>
      </w:r>
      <w:r w:rsidRPr="0048201E">
        <w:rPr>
          <w:rFonts w:eastAsia="Calibri" w:cs="Times New Roman"/>
          <w:bCs/>
          <w:sz w:val="20"/>
          <w:szCs w:val="20"/>
        </w:rPr>
        <w:t>, </w:t>
      </w:r>
      <w:r w:rsidRPr="0048201E">
        <w:rPr>
          <w:rFonts w:eastAsia="Calibri" w:cs="Times New Roman"/>
          <w:bCs/>
          <w:i/>
          <w:iCs/>
          <w:sz w:val="20"/>
          <w:szCs w:val="20"/>
        </w:rPr>
        <w:t>15</w:t>
      </w:r>
      <w:r w:rsidRPr="0048201E">
        <w:rPr>
          <w:rFonts w:eastAsia="Calibri" w:cs="Times New Roman"/>
          <w:bCs/>
          <w:sz w:val="20"/>
          <w:szCs w:val="20"/>
        </w:rPr>
        <w:t>(10), e0241341. https://doi.org/10.1371/journal.pone.0241341.</w:t>
      </w:r>
    </w:p>
    <w:p w14:paraId="43CDFE5D"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Dagne, S., </w:t>
      </w:r>
      <w:proofErr w:type="spellStart"/>
      <w:r w:rsidRPr="0048201E">
        <w:rPr>
          <w:rFonts w:eastAsia="Calibri" w:cs="Times New Roman"/>
          <w:bCs/>
          <w:sz w:val="20"/>
          <w:szCs w:val="20"/>
        </w:rPr>
        <w:t>Menber</w:t>
      </w:r>
      <w:proofErr w:type="spellEnd"/>
      <w:r w:rsidRPr="0048201E">
        <w:rPr>
          <w:rFonts w:eastAsia="Calibri" w:cs="Times New Roman"/>
          <w:bCs/>
          <w:sz w:val="20"/>
          <w:szCs w:val="20"/>
        </w:rPr>
        <w:t xml:space="preserve">, Y., </w:t>
      </w:r>
      <w:proofErr w:type="spellStart"/>
      <w:r w:rsidRPr="0048201E">
        <w:rPr>
          <w:rFonts w:eastAsia="Calibri" w:cs="Times New Roman"/>
          <w:bCs/>
          <w:sz w:val="20"/>
          <w:szCs w:val="20"/>
        </w:rPr>
        <w:t>Wassihun</w:t>
      </w:r>
      <w:proofErr w:type="spellEnd"/>
      <w:r w:rsidRPr="0048201E">
        <w:rPr>
          <w:rFonts w:eastAsia="Calibri" w:cs="Times New Roman"/>
          <w:bCs/>
          <w:sz w:val="20"/>
          <w:szCs w:val="20"/>
        </w:rPr>
        <w:t>, Y., Dires, G., Abera, A., Adane, S., Linger, M., &amp; Haile, Z. T. (2021). Chronic Energy Deficiency and Its Determinant Factors among Adults Aged 18-59 Years in Ethiopia: A Cross-Sectional Study. Journal of nutrition and metabolism, 2021, 8850241. https://doi.org/10.1155/2021/8850241</w:t>
      </w:r>
    </w:p>
    <w:p w14:paraId="50A41B2A"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Okano, Y., Okamoto, M., Yazaki, M., Inui, A., Ohura, T., Murayama, K., Yuriko, W., </w:t>
      </w:r>
      <w:proofErr w:type="spellStart"/>
      <w:r w:rsidRPr="0048201E">
        <w:rPr>
          <w:rFonts w:eastAsia="Calibri" w:cs="Times New Roman"/>
          <w:bCs/>
          <w:sz w:val="20"/>
          <w:szCs w:val="20"/>
        </w:rPr>
        <w:t>Tokuhara</w:t>
      </w:r>
      <w:proofErr w:type="spellEnd"/>
      <w:r w:rsidRPr="0048201E">
        <w:rPr>
          <w:rFonts w:eastAsia="Calibri" w:cs="Times New Roman"/>
          <w:bCs/>
          <w:sz w:val="20"/>
          <w:szCs w:val="20"/>
        </w:rPr>
        <w:t>, D., Takeshima, Y. (2021). </w:t>
      </w:r>
      <w:r w:rsidRPr="0048201E">
        <w:rPr>
          <w:rFonts w:eastAsia="Calibri" w:cs="Times New Roman"/>
          <w:bCs/>
          <w:i/>
          <w:iCs/>
          <w:sz w:val="20"/>
          <w:szCs w:val="20"/>
        </w:rPr>
        <w:t xml:space="preserve">Analysis of daily energy, protein, fat, and carbohydrate intake in </w:t>
      </w:r>
      <w:proofErr w:type="spellStart"/>
      <w:r w:rsidRPr="0048201E">
        <w:rPr>
          <w:rFonts w:eastAsia="Calibri" w:cs="Times New Roman"/>
          <w:bCs/>
          <w:i/>
          <w:iCs/>
          <w:sz w:val="20"/>
          <w:szCs w:val="20"/>
        </w:rPr>
        <w:t>citrin</w:t>
      </w:r>
      <w:proofErr w:type="spellEnd"/>
      <w:r w:rsidRPr="0048201E">
        <w:rPr>
          <w:rFonts w:eastAsia="Calibri" w:cs="Times New Roman"/>
          <w:bCs/>
          <w:i/>
          <w:iCs/>
          <w:sz w:val="20"/>
          <w:szCs w:val="20"/>
        </w:rPr>
        <w:t>-deficient patients: Towards prevention of adult-onset type II citrullinemia. Molecular Genetics and Metabolism, 133(1), 63–70.</w:t>
      </w:r>
      <w:r w:rsidRPr="0048201E">
        <w:rPr>
          <w:rFonts w:eastAsia="Calibri" w:cs="Times New Roman"/>
          <w:bCs/>
          <w:sz w:val="20"/>
          <w:szCs w:val="20"/>
        </w:rPr>
        <w:t xml:space="preserve"> doi:10.1016/j.ymgme.2021.03.004 </w:t>
      </w:r>
    </w:p>
    <w:p w14:paraId="42B2EAE1"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Abadi, </w:t>
      </w:r>
      <w:proofErr w:type="spellStart"/>
      <w:r w:rsidRPr="0048201E">
        <w:rPr>
          <w:rFonts w:eastAsia="Calibri" w:cs="Times New Roman"/>
          <w:bCs/>
          <w:sz w:val="20"/>
          <w:szCs w:val="20"/>
        </w:rPr>
        <w:t>Ellyani</w:t>
      </w:r>
      <w:proofErr w:type="spellEnd"/>
      <w:r w:rsidRPr="0048201E">
        <w:rPr>
          <w:rFonts w:eastAsia="Calibri" w:cs="Times New Roman"/>
          <w:bCs/>
          <w:sz w:val="20"/>
          <w:szCs w:val="20"/>
        </w:rPr>
        <w:t xml:space="preserve"> &amp; Putri, Linda. (2020). Nutrition Assistance Increases the Size Of Middle-Upper Arm Circumference Of Pregnant Women With Chronic Energy Deficiency. Public Health of Indonesia. 6. 157-162. 10.36685/phi.v6i4.354. </w:t>
      </w:r>
    </w:p>
    <w:p w14:paraId="64E9A4A9"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Haikal, M., </w:t>
      </w:r>
      <w:proofErr w:type="spellStart"/>
      <w:r w:rsidRPr="0048201E">
        <w:rPr>
          <w:rFonts w:eastAsia="Calibri" w:cs="Times New Roman"/>
          <w:bCs/>
          <w:sz w:val="20"/>
          <w:szCs w:val="20"/>
        </w:rPr>
        <w:t>Sriwahyuni</w:t>
      </w:r>
      <w:proofErr w:type="spellEnd"/>
      <w:r w:rsidRPr="0048201E">
        <w:rPr>
          <w:rFonts w:eastAsia="Calibri" w:cs="Times New Roman"/>
          <w:bCs/>
          <w:sz w:val="20"/>
          <w:szCs w:val="20"/>
        </w:rPr>
        <w:t xml:space="preserve">, S., &amp; Husna, A. (2022). Description Of Characteristics Of Chronic Energy Deficiency (Ced) In Pregnant Women In </w:t>
      </w:r>
      <w:proofErr w:type="spellStart"/>
      <w:r w:rsidRPr="0048201E">
        <w:rPr>
          <w:rFonts w:eastAsia="Calibri" w:cs="Times New Roman"/>
          <w:bCs/>
          <w:sz w:val="20"/>
          <w:szCs w:val="20"/>
        </w:rPr>
        <w:t>Kaway</w:t>
      </w:r>
      <w:proofErr w:type="spellEnd"/>
      <w:r w:rsidRPr="0048201E">
        <w:rPr>
          <w:rFonts w:eastAsia="Calibri" w:cs="Times New Roman"/>
          <w:bCs/>
          <w:sz w:val="20"/>
          <w:szCs w:val="20"/>
        </w:rPr>
        <w:t xml:space="preserve"> XVI District, Aceh Barat Regency. </w:t>
      </w:r>
      <w:proofErr w:type="spellStart"/>
      <w:r w:rsidRPr="0048201E">
        <w:rPr>
          <w:rFonts w:eastAsia="Calibri" w:cs="Times New Roman"/>
          <w:bCs/>
          <w:sz w:val="20"/>
          <w:szCs w:val="20"/>
        </w:rPr>
        <w:t>Morfai</w:t>
      </w:r>
      <w:proofErr w:type="spellEnd"/>
      <w:r w:rsidRPr="0048201E">
        <w:rPr>
          <w:rFonts w:eastAsia="Calibri" w:cs="Times New Roman"/>
          <w:bCs/>
          <w:sz w:val="20"/>
          <w:szCs w:val="20"/>
        </w:rPr>
        <w:t xml:space="preserve"> Journal. 2. 75-80. 10.54443/morfai.v2i1.201. </w:t>
      </w:r>
    </w:p>
    <w:p w14:paraId="725EC8F3"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Ho, A., Flynn, A. C., &amp; </w:t>
      </w:r>
      <w:proofErr w:type="spellStart"/>
      <w:r w:rsidRPr="0048201E">
        <w:rPr>
          <w:rFonts w:eastAsia="Calibri" w:cs="Times New Roman"/>
          <w:bCs/>
          <w:sz w:val="20"/>
          <w:szCs w:val="20"/>
        </w:rPr>
        <w:t>Pasupathy</w:t>
      </w:r>
      <w:proofErr w:type="spellEnd"/>
      <w:r w:rsidRPr="0048201E">
        <w:rPr>
          <w:rFonts w:eastAsia="Calibri" w:cs="Times New Roman"/>
          <w:bCs/>
          <w:sz w:val="20"/>
          <w:szCs w:val="20"/>
        </w:rPr>
        <w:t>, D. (2016). </w:t>
      </w:r>
      <w:r w:rsidRPr="0048201E">
        <w:rPr>
          <w:rFonts w:eastAsia="Calibri" w:cs="Times New Roman"/>
          <w:bCs/>
          <w:i/>
          <w:iCs/>
          <w:sz w:val="20"/>
          <w:szCs w:val="20"/>
        </w:rPr>
        <w:t xml:space="preserve">Nutrition in pregnancy. Obstetrics, </w:t>
      </w:r>
      <w:proofErr w:type="spellStart"/>
      <w:r w:rsidRPr="0048201E">
        <w:rPr>
          <w:rFonts w:eastAsia="Calibri" w:cs="Times New Roman"/>
          <w:bCs/>
          <w:i/>
          <w:iCs/>
          <w:sz w:val="20"/>
          <w:szCs w:val="20"/>
        </w:rPr>
        <w:t>Gynaecology</w:t>
      </w:r>
      <w:proofErr w:type="spellEnd"/>
      <w:r w:rsidRPr="0048201E">
        <w:rPr>
          <w:rFonts w:eastAsia="Calibri" w:cs="Times New Roman"/>
          <w:bCs/>
          <w:i/>
          <w:iCs/>
          <w:sz w:val="20"/>
          <w:szCs w:val="20"/>
        </w:rPr>
        <w:t xml:space="preserve"> &amp; Reproductive Medicine, 26(9), 259–264.</w:t>
      </w:r>
      <w:r w:rsidRPr="0048201E">
        <w:rPr>
          <w:rFonts w:eastAsia="Calibri" w:cs="Times New Roman"/>
          <w:bCs/>
          <w:sz w:val="20"/>
          <w:szCs w:val="20"/>
        </w:rPr>
        <w:t> doi:10.1016/j.ogrm.2016.06.005 </w:t>
      </w:r>
    </w:p>
    <w:p w14:paraId="394FFF26" w14:textId="77777777" w:rsidR="0048201E" w:rsidRPr="0048201E" w:rsidRDefault="0048201E" w:rsidP="0048201E">
      <w:pPr>
        <w:numPr>
          <w:ilvl w:val="0"/>
          <w:numId w:val="23"/>
        </w:numPr>
        <w:spacing w:after="0" w:line="360" w:lineRule="auto"/>
        <w:ind w:right="0"/>
        <w:rPr>
          <w:rFonts w:eastAsia="Calibri" w:cs="Times New Roman"/>
          <w:bCs/>
          <w:sz w:val="20"/>
          <w:szCs w:val="20"/>
        </w:rPr>
      </w:pPr>
      <w:proofErr w:type="spellStart"/>
      <w:r w:rsidRPr="0048201E">
        <w:rPr>
          <w:rFonts w:eastAsia="Calibri" w:cs="Times New Roman"/>
          <w:bCs/>
          <w:sz w:val="20"/>
          <w:szCs w:val="20"/>
        </w:rPr>
        <w:t>Lunte</w:t>
      </w:r>
      <w:proofErr w:type="spellEnd"/>
      <w:r w:rsidRPr="0048201E">
        <w:rPr>
          <w:rFonts w:eastAsia="Calibri" w:cs="Times New Roman"/>
          <w:bCs/>
          <w:sz w:val="20"/>
          <w:szCs w:val="20"/>
        </w:rPr>
        <w:t xml:space="preserve">, S. M. (2005). Amino Acids. Encyclopedia of Analytical Science, 61–69. doi:10.1016/b0-12-369397-7/00765-2 </w:t>
      </w:r>
    </w:p>
    <w:p w14:paraId="4CFC2BCC"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Fitzgerald, E., Hor, K., &amp; Drake, A. J. (2020). Maternal influences on fetal brain development: the role of nutrition, infection and stress, and the potential for intergenerational consequences. Early Human Development, 105190. doi:10.1016/j.earlhumdev.2020.105190 </w:t>
      </w:r>
    </w:p>
    <w:p w14:paraId="01290688"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Elango, R., &amp; Ball, R. O. (2016). </w:t>
      </w:r>
      <w:r w:rsidRPr="0048201E">
        <w:rPr>
          <w:rFonts w:eastAsia="Calibri" w:cs="Times New Roman"/>
          <w:bCs/>
          <w:i/>
          <w:iCs/>
          <w:sz w:val="20"/>
          <w:szCs w:val="20"/>
        </w:rPr>
        <w:t>Protein and Amino Acid Requirements during Pregnancy. Advances in Nutrition: An International Review Journal, 7(4), 839S–844S.</w:t>
      </w:r>
      <w:r w:rsidRPr="0048201E">
        <w:rPr>
          <w:rFonts w:eastAsia="Calibri" w:cs="Times New Roman"/>
          <w:bCs/>
          <w:sz w:val="20"/>
          <w:szCs w:val="20"/>
        </w:rPr>
        <w:t> doi:10.3945/an.115.011817</w:t>
      </w:r>
    </w:p>
    <w:p w14:paraId="1DEC4595"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Maslova, E., Rytter, D., Bech, B. H., Henriksen, T. B., Rasmussen, M. A., Olsen, S. F., &amp; Halldorsson, T. I. (2013). </w:t>
      </w:r>
      <w:r w:rsidRPr="0048201E">
        <w:rPr>
          <w:rFonts w:eastAsia="Calibri" w:cs="Times New Roman"/>
          <w:bCs/>
          <w:i/>
          <w:iCs/>
          <w:sz w:val="20"/>
          <w:szCs w:val="20"/>
        </w:rPr>
        <w:t>Maternal animal protein intake during pregnancy and risk of overweight in offspring 20 years later: a prospective cohort study. The Lancet, 382, S71.</w:t>
      </w:r>
      <w:r w:rsidRPr="0048201E">
        <w:rPr>
          <w:rFonts w:eastAsia="Calibri" w:cs="Times New Roman"/>
          <w:bCs/>
          <w:sz w:val="20"/>
          <w:szCs w:val="20"/>
        </w:rPr>
        <w:t xml:space="preserve"> doi:10.1016/s0140-6736(13)62496-4  </w:t>
      </w:r>
    </w:p>
    <w:p w14:paraId="0C36251F" w14:textId="77777777" w:rsidR="0048201E" w:rsidRPr="0048201E" w:rsidRDefault="0048201E" w:rsidP="0048201E">
      <w:pPr>
        <w:numPr>
          <w:ilvl w:val="0"/>
          <w:numId w:val="23"/>
        </w:numPr>
        <w:spacing w:after="0" w:line="360" w:lineRule="auto"/>
        <w:ind w:right="0"/>
        <w:rPr>
          <w:rFonts w:eastAsia="Calibri" w:cs="Times New Roman"/>
          <w:bCs/>
          <w:sz w:val="20"/>
          <w:szCs w:val="20"/>
        </w:rPr>
      </w:pPr>
      <w:proofErr w:type="spellStart"/>
      <w:r w:rsidRPr="0048201E">
        <w:rPr>
          <w:rFonts w:eastAsia="Calibri" w:cs="Times New Roman"/>
          <w:bCs/>
          <w:sz w:val="20"/>
          <w:szCs w:val="20"/>
        </w:rPr>
        <w:t>Schnefke</w:t>
      </w:r>
      <w:proofErr w:type="spellEnd"/>
      <w:r w:rsidRPr="0048201E">
        <w:rPr>
          <w:rFonts w:eastAsia="Calibri" w:cs="Times New Roman"/>
          <w:bCs/>
          <w:sz w:val="20"/>
          <w:szCs w:val="20"/>
        </w:rPr>
        <w:t xml:space="preserve">, C., Lutter, C., </w:t>
      </w:r>
      <w:proofErr w:type="spellStart"/>
      <w:r w:rsidRPr="0048201E">
        <w:rPr>
          <w:rFonts w:eastAsia="Calibri" w:cs="Times New Roman"/>
          <w:bCs/>
          <w:sz w:val="20"/>
          <w:szCs w:val="20"/>
        </w:rPr>
        <w:t>Thuita</w:t>
      </w:r>
      <w:proofErr w:type="spellEnd"/>
      <w:r w:rsidRPr="0048201E">
        <w:rPr>
          <w:rFonts w:eastAsia="Calibri" w:cs="Times New Roman"/>
          <w:bCs/>
          <w:sz w:val="20"/>
          <w:szCs w:val="20"/>
        </w:rPr>
        <w:t xml:space="preserve">, F., </w:t>
      </w:r>
      <w:proofErr w:type="spellStart"/>
      <w:r w:rsidRPr="0048201E">
        <w:rPr>
          <w:rFonts w:eastAsia="Calibri" w:cs="Times New Roman"/>
          <w:bCs/>
          <w:sz w:val="20"/>
          <w:szCs w:val="20"/>
        </w:rPr>
        <w:t>Webale</w:t>
      </w:r>
      <w:proofErr w:type="spellEnd"/>
      <w:r w:rsidRPr="0048201E">
        <w:rPr>
          <w:rFonts w:eastAsia="Calibri" w:cs="Times New Roman"/>
          <w:bCs/>
          <w:sz w:val="20"/>
          <w:szCs w:val="20"/>
        </w:rPr>
        <w:t>, A., Flax, V., &amp; Bentley, M. (2019). </w:t>
      </w:r>
      <w:r w:rsidRPr="0048201E">
        <w:rPr>
          <w:rFonts w:eastAsia="Calibri" w:cs="Times New Roman"/>
          <w:bCs/>
          <w:i/>
          <w:iCs/>
          <w:sz w:val="20"/>
          <w:szCs w:val="20"/>
        </w:rPr>
        <w:t>Exploring Attitudes Toward Egg Consumption During Pregnancy in Kenya (P10-054-19). Current Developments in Nutrition, 3(Supplement_1).</w:t>
      </w:r>
      <w:r w:rsidRPr="0048201E">
        <w:rPr>
          <w:rFonts w:eastAsia="Calibri" w:cs="Times New Roman"/>
          <w:bCs/>
          <w:sz w:val="20"/>
          <w:szCs w:val="20"/>
        </w:rPr>
        <w:t> doi:10.1093/</w:t>
      </w:r>
      <w:proofErr w:type="spellStart"/>
      <w:r w:rsidRPr="0048201E">
        <w:rPr>
          <w:rFonts w:eastAsia="Calibri" w:cs="Times New Roman"/>
          <w:bCs/>
          <w:sz w:val="20"/>
          <w:szCs w:val="20"/>
        </w:rPr>
        <w:t>cdn</w:t>
      </w:r>
      <w:proofErr w:type="spellEnd"/>
      <w:r w:rsidRPr="0048201E">
        <w:rPr>
          <w:rFonts w:eastAsia="Calibri" w:cs="Times New Roman"/>
          <w:bCs/>
          <w:sz w:val="20"/>
          <w:szCs w:val="20"/>
        </w:rPr>
        <w:t xml:space="preserve">/nzz034.p10-054-19  </w:t>
      </w:r>
    </w:p>
    <w:p w14:paraId="143AD9E3"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Engelking, L. R. (2015). </w:t>
      </w:r>
      <w:r w:rsidRPr="0048201E">
        <w:rPr>
          <w:rFonts w:eastAsia="Calibri" w:cs="Times New Roman"/>
          <w:bCs/>
          <w:i/>
          <w:iCs/>
          <w:sz w:val="20"/>
          <w:szCs w:val="20"/>
        </w:rPr>
        <w:t>Vitamin C. Textbook of Veterinary Physiological Chemistry, 254–259.</w:t>
      </w:r>
      <w:r w:rsidRPr="0048201E">
        <w:rPr>
          <w:rFonts w:eastAsia="Calibri" w:cs="Times New Roman"/>
          <w:bCs/>
          <w:sz w:val="20"/>
          <w:szCs w:val="20"/>
        </w:rPr>
        <w:t xml:space="preserve"> doi:10.1016/b978-0-12-391909-0.50039-6  </w:t>
      </w:r>
    </w:p>
    <w:p w14:paraId="30C59D77"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lastRenderedPageBreak/>
        <w:t xml:space="preserve">Bandyopadhyay, S., Shivakumar, N., &amp; </w:t>
      </w:r>
      <w:proofErr w:type="spellStart"/>
      <w:r w:rsidRPr="0048201E">
        <w:rPr>
          <w:rFonts w:eastAsia="Calibri" w:cs="Times New Roman"/>
          <w:bCs/>
          <w:sz w:val="20"/>
          <w:szCs w:val="20"/>
        </w:rPr>
        <w:t>Kurpad</w:t>
      </w:r>
      <w:proofErr w:type="spellEnd"/>
      <w:r w:rsidRPr="0048201E">
        <w:rPr>
          <w:rFonts w:eastAsia="Calibri" w:cs="Times New Roman"/>
          <w:bCs/>
          <w:sz w:val="20"/>
          <w:szCs w:val="20"/>
        </w:rPr>
        <w:t>, A. V. (2020). Protein intakes of pregnant women and children in India-protein quality implications. </w:t>
      </w:r>
      <w:r w:rsidRPr="0048201E">
        <w:rPr>
          <w:rFonts w:eastAsia="Calibri" w:cs="Times New Roman"/>
          <w:bCs/>
          <w:i/>
          <w:iCs/>
          <w:sz w:val="20"/>
          <w:szCs w:val="20"/>
        </w:rPr>
        <w:t>Maternal &amp; child nutrition</w:t>
      </w:r>
      <w:r w:rsidRPr="0048201E">
        <w:rPr>
          <w:rFonts w:eastAsia="Calibri" w:cs="Times New Roman"/>
          <w:bCs/>
          <w:sz w:val="20"/>
          <w:szCs w:val="20"/>
        </w:rPr>
        <w:t>, </w:t>
      </w:r>
      <w:r w:rsidRPr="0048201E">
        <w:rPr>
          <w:rFonts w:eastAsia="Calibri" w:cs="Times New Roman"/>
          <w:bCs/>
          <w:i/>
          <w:iCs/>
          <w:sz w:val="20"/>
          <w:szCs w:val="20"/>
        </w:rPr>
        <w:t>16 Suppl 3</w:t>
      </w:r>
      <w:r w:rsidRPr="0048201E">
        <w:rPr>
          <w:rFonts w:eastAsia="Calibri" w:cs="Times New Roman"/>
          <w:bCs/>
          <w:sz w:val="20"/>
          <w:szCs w:val="20"/>
        </w:rPr>
        <w:t xml:space="preserve">(Suppl 3), e12952. https://doi.org/10.1111/mcn.12952 </w:t>
      </w:r>
    </w:p>
    <w:p w14:paraId="28369EB5" w14:textId="77777777" w:rsidR="0048201E" w:rsidRPr="0048201E" w:rsidRDefault="0048201E" w:rsidP="0048201E">
      <w:pPr>
        <w:numPr>
          <w:ilvl w:val="0"/>
          <w:numId w:val="23"/>
        </w:numPr>
        <w:spacing w:after="0" w:line="360" w:lineRule="auto"/>
        <w:ind w:right="0"/>
        <w:rPr>
          <w:rFonts w:eastAsia="Calibri" w:cs="Times New Roman"/>
          <w:bCs/>
          <w:sz w:val="20"/>
          <w:szCs w:val="20"/>
        </w:rPr>
      </w:pPr>
      <w:proofErr w:type="spellStart"/>
      <w:r w:rsidRPr="0048201E">
        <w:rPr>
          <w:rFonts w:eastAsia="Calibri" w:cs="Times New Roman"/>
          <w:bCs/>
          <w:sz w:val="20"/>
          <w:szCs w:val="20"/>
        </w:rPr>
        <w:t>Kpewou</w:t>
      </w:r>
      <w:proofErr w:type="spellEnd"/>
      <w:r w:rsidRPr="0048201E">
        <w:rPr>
          <w:rFonts w:eastAsia="Calibri" w:cs="Times New Roman"/>
          <w:bCs/>
          <w:sz w:val="20"/>
          <w:szCs w:val="20"/>
        </w:rPr>
        <w:t>, D. E., Poirot, E., Berger, J., Som, S. V., Laillou, A., Belayneh, S. N., &amp; Wieringa, F. T. (2020). Maternal mid-upper arm circumference during pregnancy and linear growth among Cambodian infants during the first months of life. </w:t>
      </w:r>
      <w:r w:rsidRPr="0048201E">
        <w:rPr>
          <w:rFonts w:eastAsia="Calibri" w:cs="Times New Roman"/>
          <w:bCs/>
          <w:i/>
          <w:iCs/>
          <w:sz w:val="20"/>
          <w:szCs w:val="20"/>
        </w:rPr>
        <w:t>Maternal &amp; child nutrition</w:t>
      </w:r>
      <w:r w:rsidRPr="0048201E">
        <w:rPr>
          <w:rFonts w:eastAsia="Calibri" w:cs="Times New Roman"/>
          <w:bCs/>
          <w:sz w:val="20"/>
          <w:szCs w:val="20"/>
        </w:rPr>
        <w:t>, </w:t>
      </w:r>
      <w:r w:rsidRPr="0048201E">
        <w:rPr>
          <w:rFonts w:eastAsia="Calibri" w:cs="Times New Roman"/>
          <w:bCs/>
          <w:i/>
          <w:iCs/>
          <w:sz w:val="20"/>
          <w:szCs w:val="20"/>
        </w:rPr>
        <w:t>16 Suppl 2</w:t>
      </w:r>
      <w:r w:rsidRPr="0048201E">
        <w:rPr>
          <w:rFonts w:eastAsia="Calibri" w:cs="Times New Roman"/>
          <w:bCs/>
          <w:sz w:val="20"/>
          <w:szCs w:val="20"/>
        </w:rPr>
        <w:t xml:space="preserve">(Suppl 2), e12951. https://doi.org/10.1111/mcn.12951 </w:t>
      </w:r>
    </w:p>
    <w:p w14:paraId="527357FD"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Baum, J. I., Miller, J. D., &amp; Gaines, B. L. (2017). The effect of egg supplementation on growth parameters in children participating in a school feeding program in rural Uganda: a pilot study. </w:t>
      </w:r>
      <w:r w:rsidRPr="0048201E">
        <w:rPr>
          <w:rFonts w:eastAsia="Calibri" w:cs="Times New Roman"/>
          <w:bCs/>
          <w:i/>
          <w:iCs/>
          <w:sz w:val="20"/>
          <w:szCs w:val="20"/>
        </w:rPr>
        <w:t>Food &amp; nutrition research</w:t>
      </w:r>
      <w:r w:rsidRPr="0048201E">
        <w:rPr>
          <w:rFonts w:eastAsia="Calibri" w:cs="Times New Roman"/>
          <w:bCs/>
          <w:sz w:val="20"/>
          <w:szCs w:val="20"/>
        </w:rPr>
        <w:t>, </w:t>
      </w:r>
      <w:r w:rsidRPr="0048201E">
        <w:rPr>
          <w:rFonts w:eastAsia="Calibri" w:cs="Times New Roman"/>
          <w:bCs/>
          <w:i/>
          <w:iCs/>
          <w:sz w:val="20"/>
          <w:szCs w:val="20"/>
        </w:rPr>
        <w:t>61</w:t>
      </w:r>
      <w:r w:rsidRPr="0048201E">
        <w:rPr>
          <w:rFonts w:eastAsia="Calibri" w:cs="Times New Roman"/>
          <w:bCs/>
          <w:sz w:val="20"/>
          <w:szCs w:val="20"/>
        </w:rPr>
        <w:t xml:space="preserve">(1), 1330097. https://doi.org/10.1080/16546628.2017.1330097 </w:t>
      </w:r>
    </w:p>
    <w:p w14:paraId="2E035905"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Stephen, G., Mgongo, M., Hussein Hashim, T., Katanga, J., Stray-Pedersen, B., &amp; </w:t>
      </w:r>
      <w:proofErr w:type="spellStart"/>
      <w:r w:rsidRPr="0048201E">
        <w:rPr>
          <w:rFonts w:eastAsia="Calibri" w:cs="Times New Roman"/>
          <w:bCs/>
          <w:sz w:val="20"/>
          <w:szCs w:val="20"/>
        </w:rPr>
        <w:t>Msuya</w:t>
      </w:r>
      <w:proofErr w:type="spellEnd"/>
      <w:r w:rsidRPr="0048201E">
        <w:rPr>
          <w:rFonts w:eastAsia="Calibri" w:cs="Times New Roman"/>
          <w:bCs/>
          <w:sz w:val="20"/>
          <w:szCs w:val="20"/>
        </w:rPr>
        <w:t xml:space="preserve">, S. E. (2018).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in Pregnancy: Prevalence, Risk Factors, and Adverse Perinatal Outcomes in Northern Tanzania. </w:t>
      </w:r>
      <w:r w:rsidRPr="0048201E">
        <w:rPr>
          <w:rFonts w:eastAsia="Calibri" w:cs="Times New Roman"/>
          <w:bCs/>
          <w:i/>
          <w:iCs/>
          <w:sz w:val="20"/>
          <w:szCs w:val="20"/>
        </w:rPr>
        <w:t>Anemia</w:t>
      </w:r>
      <w:r w:rsidRPr="0048201E">
        <w:rPr>
          <w:rFonts w:eastAsia="Calibri" w:cs="Times New Roman"/>
          <w:bCs/>
          <w:sz w:val="20"/>
          <w:szCs w:val="20"/>
        </w:rPr>
        <w:t>, </w:t>
      </w:r>
      <w:r w:rsidRPr="0048201E">
        <w:rPr>
          <w:rFonts w:eastAsia="Calibri" w:cs="Times New Roman"/>
          <w:bCs/>
          <w:i/>
          <w:iCs/>
          <w:sz w:val="20"/>
          <w:szCs w:val="20"/>
        </w:rPr>
        <w:t>2018</w:t>
      </w:r>
      <w:r w:rsidRPr="0048201E">
        <w:rPr>
          <w:rFonts w:eastAsia="Calibri" w:cs="Times New Roman"/>
          <w:bCs/>
          <w:sz w:val="20"/>
          <w:szCs w:val="20"/>
        </w:rPr>
        <w:t xml:space="preserve">, 1846280. https://doi.org/10.1155/2018/1846280 </w:t>
      </w:r>
    </w:p>
    <w:p w14:paraId="517AD75A"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Parks S, Hoffman MK, </w:t>
      </w:r>
      <w:proofErr w:type="spellStart"/>
      <w:r w:rsidRPr="0048201E">
        <w:rPr>
          <w:rFonts w:eastAsia="Calibri" w:cs="Times New Roman"/>
          <w:bCs/>
          <w:sz w:val="20"/>
          <w:szCs w:val="20"/>
        </w:rPr>
        <w:t>Goudar</w:t>
      </w:r>
      <w:proofErr w:type="spellEnd"/>
      <w:r w:rsidRPr="0048201E">
        <w:rPr>
          <w:rFonts w:eastAsia="Calibri" w:cs="Times New Roman"/>
          <w:bCs/>
          <w:sz w:val="20"/>
          <w:szCs w:val="20"/>
        </w:rPr>
        <w:t xml:space="preserve"> SS, Patel A, Saleem S, Ali SA, Goldenberg RL, Hibberd PL, Moore J, Wallace D, McClure EM, Derman RJ. (2019). </w:t>
      </w:r>
      <w:r w:rsidRPr="0048201E">
        <w:rPr>
          <w:rFonts w:eastAsia="Calibri" w:cs="Times New Roman"/>
          <w:bCs/>
          <w:i/>
          <w:iCs/>
          <w:sz w:val="20"/>
          <w:szCs w:val="20"/>
        </w:rPr>
        <w:t xml:space="preserve">Maternal </w:t>
      </w:r>
      <w:proofErr w:type="spellStart"/>
      <w:r w:rsidRPr="0048201E">
        <w:rPr>
          <w:rFonts w:eastAsia="Calibri" w:cs="Times New Roman"/>
          <w:bCs/>
          <w:i/>
          <w:iCs/>
          <w:sz w:val="20"/>
          <w:szCs w:val="20"/>
        </w:rPr>
        <w:t>anaemia</w:t>
      </w:r>
      <w:proofErr w:type="spellEnd"/>
      <w:r w:rsidRPr="0048201E">
        <w:rPr>
          <w:rFonts w:eastAsia="Calibri" w:cs="Times New Roman"/>
          <w:bCs/>
          <w:i/>
          <w:iCs/>
          <w:sz w:val="20"/>
          <w:szCs w:val="20"/>
        </w:rPr>
        <w:t xml:space="preserve"> and maternal, fetal, and neonatal outcomes in a prospective cohort study in India and Pakistan</w:t>
      </w:r>
      <w:r w:rsidRPr="0048201E">
        <w:rPr>
          <w:rFonts w:eastAsia="Calibri" w:cs="Times New Roman"/>
          <w:bCs/>
          <w:sz w:val="20"/>
          <w:szCs w:val="20"/>
        </w:rPr>
        <w:t xml:space="preserve">. BJOG. 2019 May;126(6):737-743. </w:t>
      </w:r>
      <w:proofErr w:type="spellStart"/>
      <w:r w:rsidRPr="0048201E">
        <w:rPr>
          <w:rFonts w:eastAsia="Calibri" w:cs="Times New Roman"/>
          <w:bCs/>
          <w:sz w:val="20"/>
          <w:szCs w:val="20"/>
        </w:rPr>
        <w:t>doi</w:t>
      </w:r>
      <w:proofErr w:type="spellEnd"/>
      <w:r w:rsidRPr="0048201E">
        <w:rPr>
          <w:rFonts w:eastAsia="Calibri" w:cs="Times New Roman"/>
          <w:bCs/>
          <w:sz w:val="20"/>
          <w:szCs w:val="20"/>
        </w:rPr>
        <w:t>: 10.1111/1471-0528.15585. PMID: 30554474; PMCID: PMC6459713.</w:t>
      </w:r>
    </w:p>
    <w:p w14:paraId="70A47CEC" w14:textId="77777777" w:rsidR="0048201E" w:rsidRPr="0048201E" w:rsidRDefault="0048201E" w:rsidP="0048201E">
      <w:pPr>
        <w:numPr>
          <w:ilvl w:val="0"/>
          <w:numId w:val="23"/>
        </w:numPr>
        <w:spacing w:after="0" w:line="360" w:lineRule="auto"/>
        <w:ind w:right="0"/>
        <w:rPr>
          <w:rFonts w:eastAsia="Calibri" w:cs="Times New Roman"/>
          <w:bCs/>
          <w:sz w:val="20"/>
          <w:szCs w:val="20"/>
        </w:rPr>
      </w:pPr>
      <w:proofErr w:type="spellStart"/>
      <w:r w:rsidRPr="0048201E">
        <w:rPr>
          <w:rFonts w:eastAsia="Calibri" w:cs="Times New Roman"/>
          <w:bCs/>
          <w:sz w:val="20"/>
          <w:szCs w:val="20"/>
        </w:rPr>
        <w:t>Enawgaw</w:t>
      </w:r>
      <w:proofErr w:type="spellEnd"/>
      <w:r w:rsidRPr="0048201E">
        <w:rPr>
          <w:rFonts w:eastAsia="Calibri" w:cs="Times New Roman"/>
          <w:bCs/>
          <w:sz w:val="20"/>
          <w:szCs w:val="20"/>
        </w:rPr>
        <w:t xml:space="preserve">, B., </w:t>
      </w:r>
      <w:proofErr w:type="spellStart"/>
      <w:r w:rsidRPr="0048201E">
        <w:rPr>
          <w:rFonts w:eastAsia="Calibri" w:cs="Times New Roman"/>
          <w:bCs/>
          <w:sz w:val="20"/>
          <w:szCs w:val="20"/>
        </w:rPr>
        <w:t>Birhanie</w:t>
      </w:r>
      <w:proofErr w:type="spellEnd"/>
      <w:r w:rsidRPr="0048201E">
        <w:rPr>
          <w:rFonts w:eastAsia="Calibri" w:cs="Times New Roman"/>
          <w:bCs/>
          <w:sz w:val="20"/>
          <w:szCs w:val="20"/>
        </w:rPr>
        <w:t xml:space="preserve">, M., Terefe, B., &amp; </w:t>
      </w:r>
      <w:proofErr w:type="spellStart"/>
      <w:r w:rsidRPr="0048201E">
        <w:rPr>
          <w:rFonts w:eastAsia="Calibri" w:cs="Times New Roman"/>
          <w:bCs/>
          <w:sz w:val="20"/>
          <w:szCs w:val="20"/>
        </w:rPr>
        <w:t>Asrie</w:t>
      </w:r>
      <w:proofErr w:type="spellEnd"/>
      <w:r w:rsidRPr="0048201E">
        <w:rPr>
          <w:rFonts w:eastAsia="Calibri" w:cs="Times New Roman"/>
          <w:bCs/>
          <w:sz w:val="20"/>
          <w:szCs w:val="20"/>
        </w:rPr>
        <w:t>, F. (2019). Prevalence of Anemia and Iron Deficiency Among Pregnant Women Attending Antenatal Care Service at University of Gondar Hospital, Northwest Ethiopia. </w:t>
      </w:r>
      <w:r w:rsidRPr="0048201E">
        <w:rPr>
          <w:rFonts w:eastAsia="Calibri" w:cs="Times New Roman"/>
          <w:bCs/>
          <w:i/>
          <w:iCs/>
          <w:sz w:val="20"/>
          <w:szCs w:val="20"/>
        </w:rPr>
        <w:t>Clinical laboratory</w:t>
      </w:r>
      <w:r w:rsidRPr="0048201E">
        <w:rPr>
          <w:rFonts w:eastAsia="Calibri" w:cs="Times New Roman"/>
          <w:bCs/>
          <w:sz w:val="20"/>
          <w:szCs w:val="20"/>
        </w:rPr>
        <w:t>, </w:t>
      </w:r>
      <w:r w:rsidRPr="0048201E">
        <w:rPr>
          <w:rFonts w:eastAsia="Calibri" w:cs="Times New Roman"/>
          <w:bCs/>
          <w:i/>
          <w:iCs/>
          <w:sz w:val="20"/>
          <w:szCs w:val="20"/>
        </w:rPr>
        <w:t>65</w:t>
      </w:r>
      <w:r w:rsidRPr="0048201E">
        <w:rPr>
          <w:rFonts w:eastAsia="Calibri" w:cs="Times New Roman"/>
          <w:bCs/>
          <w:sz w:val="20"/>
          <w:szCs w:val="20"/>
        </w:rPr>
        <w:t xml:space="preserve">(4), 10.7754/Clin.Lab.2018.180822. https://doi.org/10.7754/Clin.Lab.2018.180822 </w:t>
      </w:r>
    </w:p>
    <w:p w14:paraId="715952C8"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Suryanarayana, R., </w:t>
      </w:r>
      <w:proofErr w:type="spellStart"/>
      <w:r w:rsidRPr="0048201E">
        <w:rPr>
          <w:rFonts w:eastAsia="Calibri" w:cs="Times New Roman"/>
          <w:bCs/>
          <w:sz w:val="20"/>
          <w:szCs w:val="20"/>
        </w:rPr>
        <w:t>Chandrappa</w:t>
      </w:r>
      <w:proofErr w:type="spellEnd"/>
      <w:r w:rsidRPr="0048201E">
        <w:rPr>
          <w:rFonts w:eastAsia="Calibri" w:cs="Times New Roman"/>
          <w:bCs/>
          <w:sz w:val="20"/>
          <w:szCs w:val="20"/>
        </w:rPr>
        <w:t xml:space="preserve">, M., </w:t>
      </w:r>
      <w:proofErr w:type="spellStart"/>
      <w:r w:rsidRPr="0048201E">
        <w:rPr>
          <w:rFonts w:eastAsia="Calibri" w:cs="Times New Roman"/>
          <w:bCs/>
          <w:sz w:val="20"/>
          <w:szCs w:val="20"/>
        </w:rPr>
        <w:t>Santhuram</w:t>
      </w:r>
      <w:proofErr w:type="spellEnd"/>
      <w:r w:rsidRPr="0048201E">
        <w:rPr>
          <w:rFonts w:eastAsia="Calibri" w:cs="Times New Roman"/>
          <w:bCs/>
          <w:sz w:val="20"/>
          <w:szCs w:val="20"/>
        </w:rPr>
        <w:t>, A. N., Prathima, S., &amp; Sheela, S. R. (2017). Prospective study on prevalence of anemia of pregnant women and its outcome: A community based study. </w:t>
      </w:r>
      <w:r w:rsidRPr="0048201E">
        <w:rPr>
          <w:rFonts w:eastAsia="Calibri" w:cs="Times New Roman"/>
          <w:bCs/>
          <w:i/>
          <w:iCs/>
          <w:sz w:val="20"/>
          <w:szCs w:val="20"/>
        </w:rPr>
        <w:t>Journal of family medicine and primary care</w:t>
      </w:r>
      <w:r w:rsidRPr="0048201E">
        <w:rPr>
          <w:rFonts w:eastAsia="Calibri" w:cs="Times New Roman"/>
          <w:bCs/>
          <w:sz w:val="20"/>
          <w:szCs w:val="20"/>
        </w:rPr>
        <w:t>, </w:t>
      </w:r>
      <w:r w:rsidRPr="0048201E">
        <w:rPr>
          <w:rFonts w:eastAsia="Calibri" w:cs="Times New Roman"/>
          <w:bCs/>
          <w:i/>
          <w:iCs/>
          <w:sz w:val="20"/>
          <w:szCs w:val="20"/>
        </w:rPr>
        <w:t>6</w:t>
      </w:r>
      <w:r w:rsidRPr="0048201E">
        <w:rPr>
          <w:rFonts w:eastAsia="Calibri" w:cs="Times New Roman"/>
          <w:bCs/>
          <w:sz w:val="20"/>
          <w:szCs w:val="20"/>
        </w:rPr>
        <w:t>(4), 739–743. https://doi.org/10.4103/jfmpc.jfmpc_33_17</w:t>
      </w:r>
    </w:p>
    <w:p w14:paraId="0AC9B5F9"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Hansda, R., Tirkey, S., Trivedi, K., Singh, P., &amp; Prakash, J. (2022). Study on types of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and </w:t>
      </w:r>
      <w:proofErr w:type="spellStart"/>
      <w:r w:rsidRPr="0048201E">
        <w:rPr>
          <w:rFonts w:eastAsia="Calibri" w:cs="Times New Roman"/>
          <w:bCs/>
          <w:sz w:val="20"/>
          <w:szCs w:val="20"/>
        </w:rPr>
        <w:t>foetomaternal</w:t>
      </w:r>
      <w:proofErr w:type="spellEnd"/>
      <w:r w:rsidRPr="0048201E">
        <w:rPr>
          <w:rFonts w:eastAsia="Calibri" w:cs="Times New Roman"/>
          <w:bCs/>
          <w:sz w:val="20"/>
          <w:szCs w:val="20"/>
        </w:rPr>
        <w:t xml:space="preserve"> outcome in antenatal patients. </w:t>
      </w:r>
      <w:r w:rsidRPr="0048201E">
        <w:rPr>
          <w:rFonts w:eastAsia="Calibri" w:cs="Times New Roman"/>
          <w:bCs/>
          <w:i/>
          <w:iCs/>
          <w:sz w:val="20"/>
          <w:szCs w:val="20"/>
        </w:rPr>
        <w:t>Journal of family medicine and primary care</w:t>
      </w:r>
      <w:r w:rsidRPr="0048201E">
        <w:rPr>
          <w:rFonts w:eastAsia="Calibri" w:cs="Times New Roman"/>
          <w:bCs/>
          <w:sz w:val="20"/>
          <w:szCs w:val="20"/>
        </w:rPr>
        <w:t>, </w:t>
      </w:r>
      <w:r w:rsidRPr="0048201E">
        <w:rPr>
          <w:rFonts w:eastAsia="Calibri" w:cs="Times New Roman"/>
          <w:bCs/>
          <w:i/>
          <w:iCs/>
          <w:sz w:val="20"/>
          <w:szCs w:val="20"/>
        </w:rPr>
        <w:t>11</w:t>
      </w:r>
      <w:r w:rsidRPr="0048201E">
        <w:rPr>
          <w:rFonts w:eastAsia="Calibri" w:cs="Times New Roman"/>
          <w:bCs/>
          <w:sz w:val="20"/>
          <w:szCs w:val="20"/>
        </w:rPr>
        <w:t>(6), 3040–3044. https://doi.org/10.4103/jfmpc.jfmpc_2418_21</w:t>
      </w:r>
    </w:p>
    <w:p w14:paraId="7756D9E9"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Figueiredo, A. C. M. G., Gomes-Filho, I. S., Silva, R. B., Pereira, P. P. S., Mata, F. A. F. D., Lyrio, A. O., Souza, E. S., Cruz, S. S., &amp; Pereira, M. G. (2018). Maternal Anemia and Low Birth Weight: A Systematic Review and Meta-Analysis. </w:t>
      </w:r>
      <w:r w:rsidRPr="0048201E">
        <w:rPr>
          <w:rFonts w:eastAsia="Calibri" w:cs="Times New Roman"/>
          <w:bCs/>
          <w:i/>
          <w:iCs/>
          <w:sz w:val="20"/>
          <w:szCs w:val="20"/>
        </w:rPr>
        <w:t>Nutrients</w:t>
      </w:r>
      <w:r w:rsidRPr="0048201E">
        <w:rPr>
          <w:rFonts w:eastAsia="Calibri" w:cs="Times New Roman"/>
          <w:bCs/>
          <w:sz w:val="20"/>
          <w:szCs w:val="20"/>
        </w:rPr>
        <w:t>, </w:t>
      </w:r>
      <w:r w:rsidRPr="0048201E">
        <w:rPr>
          <w:rFonts w:eastAsia="Calibri" w:cs="Times New Roman"/>
          <w:bCs/>
          <w:i/>
          <w:iCs/>
          <w:sz w:val="20"/>
          <w:szCs w:val="20"/>
        </w:rPr>
        <w:t>10</w:t>
      </w:r>
      <w:r w:rsidRPr="0048201E">
        <w:rPr>
          <w:rFonts w:eastAsia="Calibri" w:cs="Times New Roman"/>
          <w:bCs/>
          <w:sz w:val="20"/>
          <w:szCs w:val="20"/>
        </w:rPr>
        <w:t>(5), 601. https://doi.org/10.3390/nu10050601</w:t>
      </w:r>
    </w:p>
    <w:p w14:paraId="59F2B249" w14:textId="77777777" w:rsidR="0048201E" w:rsidRPr="0048201E" w:rsidRDefault="0048201E" w:rsidP="0048201E">
      <w:pPr>
        <w:numPr>
          <w:ilvl w:val="0"/>
          <w:numId w:val="23"/>
        </w:numPr>
        <w:spacing w:after="0" w:line="360" w:lineRule="auto"/>
        <w:ind w:right="0"/>
        <w:rPr>
          <w:rFonts w:eastAsia="Calibri" w:cs="Times New Roman"/>
          <w:bCs/>
          <w:sz w:val="20"/>
          <w:szCs w:val="20"/>
        </w:rPr>
      </w:pPr>
      <w:proofErr w:type="spellStart"/>
      <w:r w:rsidRPr="0048201E">
        <w:rPr>
          <w:rFonts w:eastAsia="Calibri" w:cs="Times New Roman"/>
          <w:bCs/>
          <w:sz w:val="20"/>
          <w:szCs w:val="20"/>
        </w:rPr>
        <w:t>Engidaw</w:t>
      </w:r>
      <w:proofErr w:type="spellEnd"/>
      <w:r w:rsidRPr="0048201E">
        <w:rPr>
          <w:rFonts w:eastAsia="Calibri" w:cs="Times New Roman"/>
          <w:bCs/>
          <w:sz w:val="20"/>
          <w:szCs w:val="20"/>
        </w:rPr>
        <w:t xml:space="preserve">, M. T., Eyayu, T., &amp; Tiruneh, T. (2022). The effect of maternal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on low birth weight among newborns in Northwest Ethiopia. </w:t>
      </w:r>
      <w:r w:rsidRPr="0048201E">
        <w:rPr>
          <w:rFonts w:eastAsia="Calibri" w:cs="Times New Roman"/>
          <w:bCs/>
          <w:i/>
          <w:iCs/>
          <w:sz w:val="20"/>
          <w:szCs w:val="20"/>
        </w:rPr>
        <w:t>Scientific reports</w:t>
      </w:r>
      <w:r w:rsidRPr="0048201E">
        <w:rPr>
          <w:rFonts w:eastAsia="Calibri" w:cs="Times New Roman"/>
          <w:bCs/>
          <w:sz w:val="20"/>
          <w:szCs w:val="20"/>
        </w:rPr>
        <w:t>, </w:t>
      </w:r>
      <w:r w:rsidRPr="0048201E">
        <w:rPr>
          <w:rFonts w:eastAsia="Calibri" w:cs="Times New Roman"/>
          <w:bCs/>
          <w:i/>
          <w:iCs/>
          <w:sz w:val="20"/>
          <w:szCs w:val="20"/>
        </w:rPr>
        <w:t>12</w:t>
      </w:r>
      <w:r w:rsidRPr="0048201E">
        <w:rPr>
          <w:rFonts w:eastAsia="Calibri" w:cs="Times New Roman"/>
          <w:bCs/>
          <w:sz w:val="20"/>
          <w:szCs w:val="20"/>
        </w:rPr>
        <w:t>(1), 15280. https://doi.org/10.1038/s41598-022-19726-z</w:t>
      </w:r>
    </w:p>
    <w:p w14:paraId="4EAE7110"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Figueiredo, A. C. M. G., Gomes-Filho, I. S., Silva, R. B., Pereira, P. P. S., Mata, F. A. F. D., Lyrio, A. O., Souza, E. S., Cruz, S. S., &amp; Pereira, M. G. (2018). Maternal Anemia and Low Birth Weight: A Systematic Review and Meta-Analysis. </w:t>
      </w:r>
      <w:r w:rsidRPr="0048201E">
        <w:rPr>
          <w:rFonts w:eastAsia="Calibri" w:cs="Times New Roman"/>
          <w:bCs/>
          <w:i/>
          <w:iCs/>
          <w:sz w:val="20"/>
          <w:szCs w:val="20"/>
        </w:rPr>
        <w:t>Nutrients</w:t>
      </w:r>
      <w:r w:rsidRPr="0048201E">
        <w:rPr>
          <w:rFonts w:eastAsia="Calibri" w:cs="Times New Roman"/>
          <w:bCs/>
          <w:sz w:val="20"/>
          <w:szCs w:val="20"/>
        </w:rPr>
        <w:t>, </w:t>
      </w:r>
      <w:r w:rsidRPr="0048201E">
        <w:rPr>
          <w:rFonts w:eastAsia="Calibri" w:cs="Times New Roman"/>
          <w:bCs/>
          <w:i/>
          <w:iCs/>
          <w:sz w:val="20"/>
          <w:szCs w:val="20"/>
        </w:rPr>
        <w:t>10</w:t>
      </w:r>
      <w:r w:rsidRPr="0048201E">
        <w:rPr>
          <w:rFonts w:eastAsia="Calibri" w:cs="Times New Roman"/>
          <w:bCs/>
          <w:sz w:val="20"/>
          <w:szCs w:val="20"/>
        </w:rPr>
        <w:t>(5), 601. https://doi.org/10.3390/nu10050601</w:t>
      </w:r>
    </w:p>
    <w:p w14:paraId="153444C9" w14:textId="77777777" w:rsidR="0048201E" w:rsidRPr="0048201E" w:rsidRDefault="0048201E" w:rsidP="0048201E">
      <w:pPr>
        <w:numPr>
          <w:ilvl w:val="0"/>
          <w:numId w:val="23"/>
        </w:numPr>
        <w:spacing w:after="0" w:line="360" w:lineRule="auto"/>
        <w:ind w:right="0"/>
        <w:rPr>
          <w:rFonts w:eastAsia="Calibri" w:cs="Times New Roman"/>
          <w:bCs/>
          <w:sz w:val="20"/>
          <w:szCs w:val="20"/>
        </w:rPr>
      </w:pPr>
      <w:proofErr w:type="spellStart"/>
      <w:r w:rsidRPr="0048201E">
        <w:rPr>
          <w:rFonts w:eastAsia="Calibri" w:cs="Times New Roman"/>
          <w:bCs/>
          <w:sz w:val="20"/>
          <w:szCs w:val="20"/>
        </w:rPr>
        <w:t>Ardic</w:t>
      </w:r>
      <w:proofErr w:type="spellEnd"/>
      <w:r w:rsidRPr="0048201E">
        <w:rPr>
          <w:rFonts w:eastAsia="Calibri" w:cs="Times New Roman"/>
          <w:bCs/>
          <w:sz w:val="20"/>
          <w:szCs w:val="20"/>
        </w:rPr>
        <w:t xml:space="preserve">, C., Usta, O., Omar, E., Yıldız, C., Memis, E., &amp; Zeren Öztürk, G. (2019). Relationship between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during pregnancy and preterm delivery. </w:t>
      </w:r>
      <w:r w:rsidRPr="0048201E">
        <w:rPr>
          <w:rFonts w:eastAsia="Calibri" w:cs="Times New Roman"/>
          <w:bCs/>
          <w:i/>
          <w:iCs/>
          <w:sz w:val="20"/>
          <w:szCs w:val="20"/>
        </w:rPr>
        <w:t xml:space="preserve">Journal of obstetrics and </w:t>
      </w:r>
      <w:proofErr w:type="spellStart"/>
      <w:r w:rsidRPr="0048201E">
        <w:rPr>
          <w:rFonts w:eastAsia="Calibri" w:cs="Times New Roman"/>
          <w:bCs/>
          <w:i/>
          <w:iCs/>
          <w:sz w:val="20"/>
          <w:szCs w:val="20"/>
        </w:rPr>
        <w:t>gynaecology</w:t>
      </w:r>
      <w:proofErr w:type="spellEnd"/>
      <w:r w:rsidRPr="0048201E">
        <w:rPr>
          <w:rFonts w:eastAsia="Calibri" w:cs="Times New Roman"/>
          <w:bCs/>
          <w:i/>
          <w:iCs/>
          <w:sz w:val="20"/>
          <w:szCs w:val="20"/>
        </w:rPr>
        <w:t xml:space="preserve"> : the journal </w:t>
      </w:r>
      <w:r w:rsidRPr="0048201E">
        <w:rPr>
          <w:rFonts w:eastAsia="Calibri" w:cs="Times New Roman"/>
          <w:bCs/>
          <w:i/>
          <w:iCs/>
          <w:sz w:val="20"/>
          <w:szCs w:val="20"/>
        </w:rPr>
        <w:lastRenderedPageBreak/>
        <w:t xml:space="preserve">of the Institute of Obstetrics and </w:t>
      </w:r>
      <w:proofErr w:type="spellStart"/>
      <w:r w:rsidRPr="0048201E">
        <w:rPr>
          <w:rFonts w:eastAsia="Calibri" w:cs="Times New Roman"/>
          <w:bCs/>
          <w:i/>
          <w:iCs/>
          <w:sz w:val="20"/>
          <w:szCs w:val="20"/>
        </w:rPr>
        <w:t>Gynaecology</w:t>
      </w:r>
      <w:proofErr w:type="spellEnd"/>
      <w:r w:rsidRPr="0048201E">
        <w:rPr>
          <w:rFonts w:eastAsia="Calibri" w:cs="Times New Roman"/>
          <w:bCs/>
          <w:sz w:val="20"/>
          <w:szCs w:val="20"/>
        </w:rPr>
        <w:t>, </w:t>
      </w:r>
      <w:r w:rsidRPr="0048201E">
        <w:rPr>
          <w:rFonts w:eastAsia="Calibri" w:cs="Times New Roman"/>
          <w:bCs/>
          <w:i/>
          <w:iCs/>
          <w:sz w:val="20"/>
          <w:szCs w:val="20"/>
        </w:rPr>
        <w:t>39</w:t>
      </w:r>
      <w:r w:rsidRPr="0048201E">
        <w:rPr>
          <w:rFonts w:eastAsia="Calibri" w:cs="Times New Roman"/>
          <w:bCs/>
          <w:sz w:val="20"/>
          <w:szCs w:val="20"/>
        </w:rPr>
        <w:t>(7), 903–906. https://doi.org/10.1080/01443615.2019.1572726</w:t>
      </w:r>
    </w:p>
    <w:p w14:paraId="113FA1EC"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Symington, E. A., Baumgartner, J., Malan, L., Wise, A. J., Ricci, C., Zandberg, L., &amp; Smuts, C. M. (2019). Maternal iron-deficiency is associated with premature birth and higher birth weight despite routine antenatal iron supplementation in an urban South African setting: The </w:t>
      </w:r>
      <w:proofErr w:type="spellStart"/>
      <w:r w:rsidRPr="0048201E">
        <w:rPr>
          <w:rFonts w:eastAsia="Calibri" w:cs="Times New Roman"/>
          <w:bCs/>
          <w:sz w:val="20"/>
          <w:szCs w:val="20"/>
        </w:rPr>
        <w:t>NuPED</w:t>
      </w:r>
      <w:proofErr w:type="spellEnd"/>
      <w:r w:rsidRPr="0048201E">
        <w:rPr>
          <w:rFonts w:eastAsia="Calibri" w:cs="Times New Roman"/>
          <w:bCs/>
          <w:sz w:val="20"/>
          <w:szCs w:val="20"/>
        </w:rPr>
        <w:t xml:space="preserve"> prospective study. </w:t>
      </w:r>
      <w:proofErr w:type="spellStart"/>
      <w:r w:rsidRPr="0048201E">
        <w:rPr>
          <w:rFonts w:eastAsia="Calibri" w:cs="Times New Roman"/>
          <w:bCs/>
          <w:i/>
          <w:iCs/>
          <w:sz w:val="20"/>
          <w:szCs w:val="20"/>
        </w:rPr>
        <w:t>PloS</w:t>
      </w:r>
      <w:proofErr w:type="spellEnd"/>
      <w:r w:rsidRPr="0048201E">
        <w:rPr>
          <w:rFonts w:eastAsia="Calibri" w:cs="Times New Roman"/>
          <w:bCs/>
          <w:i/>
          <w:iCs/>
          <w:sz w:val="20"/>
          <w:szCs w:val="20"/>
        </w:rPr>
        <w:t xml:space="preserve"> one</w:t>
      </w:r>
      <w:r w:rsidRPr="0048201E">
        <w:rPr>
          <w:rFonts w:eastAsia="Calibri" w:cs="Times New Roman"/>
          <w:bCs/>
          <w:sz w:val="20"/>
          <w:szCs w:val="20"/>
        </w:rPr>
        <w:t>, </w:t>
      </w:r>
      <w:r w:rsidRPr="0048201E">
        <w:rPr>
          <w:rFonts w:eastAsia="Calibri" w:cs="Times New Roman"/>
          <w:bCs/>
          <w:i/>
          <w:iCs/>
          <w:sz w:val="20"/>
          <w:szCs w:val="20"/>
        </w:rPr>
        <w:t>14</w:t>
      </w:r>
      <w:r w:rsidRPr="0048201E">
        <w:rPr>
          <w:rFonts w:eastAsia="Calibri" w:cs="Times New Roman"/>
          <w:bCs/>
          <w:sz w:val="20"/>
          <w:szCs w:val="20"/>
        </w:rPr>
        <w:t>(9), e0221299. https://doi.org/10.1371/journal.pone.0221299</w:t>
      </w:r>
    </w:p>
    <w:p w14:paraId="51339879" w14:textId="77777777" w:rsidR="0048201E" w:rsidRPr="002D6F1A" w:rsidRDefault="0048201E" w:rsidP="0048201E">
      <w:pPr>
        <w:numPr>
          <w:ilvl w:val="0"/>
          <w:numId w:val="23"/>
        </w:numPr>
        <w:spacing w:after="0" w:line="360" w:lineRule="auto"/>
        <w:ind w:right="0"/>
        <w:rPr>
          <w:rFonts w:eastAsia="Calibri" w:cs="Times New Roman"/>
          <w:bCs/>
        </w:rPr>
      </w:pPr>
      <w:r w:rsidRPr="0048201E">
        <w:rPr>
          <w:rFonts w:eastAsia="Calibri" w:cs="Times New Roman"/>
          <w:bCs/>
          <w:sz w:val="20"/>
          <w:szCs w:val="20"/>
        </w:rPr>
        <w:t>Boyle, S., Thomas, H., &amp; Brooks, F. (2016). Women's views on partnership working with midwives during pregnancy and childbirth. </w:t>
      </w:r>
      <w:r w:rsidRPr="0048201E">
        <w:rPr>
          <w:rFonts w:eastAsia="Calibri" w:cs="Times New Roman"/>
          <w:bCs/>
          <w:i/>
          <w:iCs/>
          <w:sz w:val="20"/>
          <w:szCs w:val="20"/>
        </w:rPr>
        <w:t>Midwifery</w:t>
      </w:r>
      <w:r w:rsidRPr="0048201E">
        <w:rPr>
          <w:rFonts w:eastAsia="Calibri" w:cs="Times New Roman"/>
          <w:bCs/>
          <w:sz w:val="20"/>
          <w:szCs w:val="20"/>
        </w:rPr>
        <w:t>, </w:t>
      </w:r>
      <w:r w:rsidRPr="0048201E">
        <w:rPr>
          <w:rFonts w:eastAsia="Calibri" w:cs="Times New Roman"/>
          <w:bCs/>
          <w:i/>
          <w:iCs/>
          <w:sz w:val="20"/>
          <w:szCs w:val="20"/>
        </w:rPr>
        <w:t>32</w:t>
      </w:r>
      <w:r w:rsidRPr="0048201E">
        <w:rPr>
          <w:rFonts w:eastAsia="Calibri" w:cs="Times New Roman"/>
          <w:bCs/>
          <w:sz w:val="20"/>
          <w:szCs w:val="20"/>
        </w:rPr>
        <w:t>, 21–29. https://doi.org/10.1016/j.midw.2015.09.001</w:t>
      </w:r>
    </w:p>
    <w:p w14:paraId="34BEDFDB" w14:textId="77777777" w:rsidR="0048201E" w:rsidRDefault="0048201E" w:rsidP="00761248">
      <w:pPr>
        <w:pStyle w:val="Heading1"/>
        <w:ind w:left="-5"/>
      </w:pPr>
    </w:p>
    <w:p w14:paraId="767B9D66" w14:textId="77777777" w:rsidR="0048201E" w:rsidRDefault="0048201E" w:rsidP="00761248">
      <w:pPr>
        <w:pStyle w:val="Heading1"/>
        <w:ind w:left="-5"/>
      </w:pPr>
    </w:p>
    <w:p w14:paraId="144BF0C5" w14:textId="77777777" w:rsidR="002365AB" w:rsidRPr="002365AB" w:rsidRDefault="002365AB" w:rsidP="002365AB"/>
    <w:p w14:paraId="11619FCD" w14:textId="77777777" w:rsidR="0048201E" w:rsidRDefault="0048201E" w:rsidP="00761248">
      <w:pPr>
        <w:pStyle w:val="Heading1"/>
        <w:ind w:left="-5"/>
      </w:pPr>
    </w:p>
    <w:p w14:paraId="0C89F87E" w14:textId="77777777" w:rsidR="009C43B1" w:rsidRDefault="009C43B1" w:rsidP="009C43B1"/>
    <w:p w14:paraId="6404CBCE" w14:textId="77777777" w:rsidR="009C43B1" w:rsidRDefault="009C43B1" w:rsidP="009C43B1"/>
    <w:p w14:paraId="018A3087" w14:textId="77777777" w:rsidR="009C43B1" w:rsidRDefault="009C43B1" w:rsidP="009C43B1"/>
    <w:p w14:paraId="63FC0A41" w14:textId="77777777" w:rsidR="009C43B1" w:rsidRPr="009C43B1" w:rsidRDefault="009C43B1" w:rsidP="009C43B1"/>
    <w:p w14:paraId="1A9314F8" w14:textId="0EDC6AA3" w:rsidR="00664C6B" w:rsidRDefault="00664C6B">
      <w:pPr>
        <w:spacing w:after="0" w:line="259" w:lineRule="auto"/>
        <w:ind w:left="0" w:right="0" w:firstLine="0"/>
        <w:jc w:val="left"/>
      </w:pPr>
    </w:p>
    <w:sectPr w:rsidR="00664C6B" w:rsidSect="009A7897">
      <w:headerReference w:type="even" r:id="rId20"/>
      <w:headerReference w:type="default" r:id="rId21"/>
      <w:footerReference w:type="even" r:id="rId22"/>
      <w:footerReference w:type="default" r:id="rId23"/>
      <w:headerReference w:type="first" r:id="rId24"/>
      <w:footerReference w:type="first" r:id="rId25"/>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15D60" w14:textId="77777777" w:rsidR="00C73296" w:rsidRDefault="00C73296">
      <w:pPr>
        <w:spacing w:after="0" w:line="240" w:lineRule="auto"/>
      </w:pPr>
      <w:r>
        <w:separator/>
      </w:r>
    </w:p>
  </w:endnote>
  <w:endnote w:type="continuationSeparator" w:id="0">
    <w:p w14:paraId="07FA04B2" w14:textId="77777777" w:rsidR="00C73296" w:rsidRDefault="00C73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6D5DDCDF"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Paper Formatting for IIST</w:t>
    </w:r>
    <w:r>
      <w:rPr>
        <w:rFonts w:eastAsia="Calibri" w:cs="Calibri"/>
        <w:i/>
        <w:iCs/>
        <w:noProof/>
        <w:sz w:val="20"/>
        <w:szCs w:val="20"/>
      </w:rPr>
      <w:t>R Journals</w:t>
    </w:r>
    <w:r w:rsidR="007E606E" w:rsidRPr="009A7897">
      <w:rPr>
        <w:rFonts w:eastAsia="Calibri" w:cs="Calibri"/>
        <w:i/>
        <w:iCs/>
        <w:noProof/>
        <w:sz w:val="20"/>
        <w:szCs w:val="20"/>
      </w:rPr>
      <w:t xml:space="preserve"> </w:t>
    </w:r>
    <w:r w:rsidR="00F11B2D" w:rsidRPr="009A7897">
      <w:rPr>
        <w:i/>
        <w:iCs/>
        <w:sz w:val="20"/>
        <w:szCs w:val="20"/>
      </w:rPr>
      <w:t>(</w:t>
    </w:r>
    <w:r w:rsidR="007E606E" w:rsidRPr="009A7897">
      <w:rPr>
        <w:i/>
        <w:iCs/>
        <w:sz w:val="20"/>
        <w:szCs w:val="20"/>
      </w:rPr>
      <w:t>First author</w:t>
    </w:r>
    <w:r w:rsidR="00F11B2D" w:rsidRPr="009A7897">
      <w:rPr>
        <w:i/>
        <w:iCs/>
        <w:sz w:val="20"/>
        <w:szCs w:val="20"/>
      </w:rPr>
      <w:t xml:space="preserve">, et al.)                                  </w:t>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D1DB4" w14:textId="77777777" w:rsidR="00C73296" w:rsidRDefault="00C73296">
      <w:pPr>
        <w:spacing w:after="0" w:line="240" w:lineRule="auto"/>
      </w:pPr>
      <w:r>
        <w:separator/>
      </w:r>
    </w:p>
  </w:footnote>
  <w:footnote w:type="continuationSeparator" w:id="0">
    <w:p w14:paraId="3C38E06A" w14:textId="77777777" w:rsidR="00C73296" w:rsidRDefault="00C73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7096F357"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Pr>
        <w: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75147202" w:rsidR="00664C6B" w:rsidRDefault="006E0898" w:rsidP="009A7897">
    <w:pPr>
      <w:tabs>
        <w:tab w:val="center" w:pos="4321"/>
        <w:tab w:val="center" w:pos="8642"/>
      </w:tabs>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3AF7D72"/>
    <w:multiLevelType w:val="hybridMultilevel"/>
    <w:tmpl w:val="AA6C9F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4"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5" w15:restartNumberingAfterBreak="0">
    <w:nsid w:val="0E370E50"/>
    <w:multiLevelType w:val="hybridMultilevel"/>
    <w:tmpl w:val="75CA2216"/>
    <w:lvl w:ilvl="0" w:tplc="3AA0584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9"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0"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5"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6"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8"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9"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2"/>
  </w:num>
  <w:num w:numId="2" w16cid:durableId="1328902160">
    <w:abstractNumId w:val="11"/>
  </w:num>
  <w:num w:numId="3" w16cid:durableId="167405885">
    <w:abstractNumId w:val="7"/>
  </w:num>
  <w:num w:numId="4" w16cid:durableId="839732622">
    <w:abstractNumId w:val="10"/>
  </w:num>
  <w:num w:numId="5" w16cid:durableId="760955740">
    <w:abstractNumId w:val="12"/>
  </w:num>
  <w:num w:numId="6" w16cid:durableId="865020756">
    <w:abstractNumId w:val="16"/>
  </w:num>
  <w:num w:numId="7" w16cid:durableId="1662999864">
    <w:abstractNumId w:val="23"/>
  </w:num>
  <w:num w:numId="8" w16cid:durableId="86581767">
    <w:abstractNumId w:val="6"/>
  </w:num>
  <w:num w:numId="9" w16cid:durableId="1225533002">
    <w:abstractNumId w:val="4"/>
  </w:num>
  <w:num w:numId="10" w16cid:durableId="1238635097">
    <w:abstractNumId w:val="20"/>
  </w:num>
  <w:num w:numId="11" w16cid:durableId="539903219">
    <w:abstractNumId w:val="3"/>
  </w:num>
  <w:num w:numId="12" w16cid:durableId="1887715145">
    <w:abstractNumId w:val="21"/>
  </w:num>
  <w:num w:numId="13" w16cid:durableId="276330521">
    <w:abstractNumId w:val="15"/>
  </w:num>
  <w:num w:numId="14" w16cid:durableId="2091391591">
    <w:abstractNumId w:val="8"/>
  </w:num>
  <w:num w:numId="15" w16cid:durableId="1166240142">
    <w:abstractNumId w:val="0"/>
  </w:num>
  <w:num w:numId="16" w16cid:durableId="542329710">
    <w:abstractNumId w:val="22"/>
  </w:num>
  <w:num w:numId="17" w16cid:durableId="1098407239">
    <w:abstractNumId w:val="17"/>
  </w:num>
  <w:num w:numId="18" w16cid:durableId="1980719134">
    <w:abstractNumId w:val="18"/>
  </w:num>
  <w:num w:numId="19" w16cid:durableId="868687771">
    <w:abstractNumId w:val="14"/>
  </w:num>
  <w:num w:numId="20" w16cid:durableId="975717312">
    <w:abstractNumId w:val="13"/>
  </w:num>
  <w:num w:numId="21" w16cid:durableId="1374118931">
    <w:abstractNumId w:val="9"/>
  </w:num>
  <w:num w:numId="22" w16cid:durableId="1160536925">
    <w:abstractNumId w:val="19"/>
  </w:num>
  <w:num w:numId="23" w16cid:durableId="938835297">
    <w:abstractNumId w:val="5"/>
  </w:num>
  <w:num w:numId="24" w16cid:durableId="145168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40679"/>
    <w:rsid w:val="0004748C"/>
    <w:rsid w:val="0006303F"/>
    <w:rsid w:val="00085B44"/>
    <w:rsid w:val="000A08E3"/>
    <w:rsid w:val="000B411E"/>
    <w:rsid w:val="00170371"/>
    <w:rsid w:val="001D10E7"/>
    <w:rsid w:val="001D60A2"/>
    <w:rsid w:val="001F17EE"/>
    <w:rsid w:val="00213C1C"/>
    <w:rsid w:val="00213DBF"/>
    <w:rsid w:val="00215FFB"/>
    <w:rsid w:val="002202E6"/>
    <w:rsid w:val="00226E82"/>
    <w:rsid w:val="00235BF6"/>
    <w:rsid w:val="002365AB"/>
    <w:rsid w:val="002512D0"/>
    <w:rsid w:val="00254B56"/>
    <w:rsid w:val="00256EDE"/>
    <w:rsid w:val="00261A17"/>
    <w:rsid w:val="002948A8"/>
    <w:rsid w:val="002A3672"/>
    <w:rsid w:val="002E6AEC"/>
    <w:rsid w:val="00323CBA"/>
    <w:rsid w:val="00326153"/>
    <w:rsid w:val="003C1D1A"/>
    <w:rsid w:val="003D17C7"/>
    <w:rsid w:val="003F4C67"/>
    <w:rsid w:val="0040353D"/>
    <w:rsid w:val="00411E45"/>
    <w:rsid w:val="00447A7E"/>
    <w:rsid w:val="0048201E"/>
    <w:rsid w:val="0051702D"/>
    <w:rsid w:val="0052651C"/>
    <w:rsid w:val="00594682"/>
    <w:rsid w:val="005C7800"/>
    <w:rsid w:val="005F0EE8"/>
    <w:rsid w:val="006115DD"/>
    <w:rsid w:val="00620BE2"/>
    <w:rsid w:val="00657F11"/>
    <w:rsid w:val="00664C6B"/>
    <w:rsid w:val="00684886"/>
    <w:rsid w:val="006B64BB"/>
    <w:rsid w:val="006C299C"/>
    <w:rsid w:val="006E0898"/>
    <w:rsid w:val="006E110F"/>
    <w:rsid w:val="00747DBC"/>
    <w:rsid w:val="00761248"/>
    <w:rsid w:val="00771E70"/>
    <w:rsid w:val="007A6E70"/>
    <w:rsid w:val="007A7CA1"/>
    <w:rsid w:val="007B71EC"/>
    <w:rsid w:val="007C5CBB"/>
    <w:rsid w:val="007E606E"/>
    <w:rsid w:val="00812893"/>
    <w:rsid w:val="00813644"/>
    <w:rsid w:val="0081424F"/>
    <w:rsid w:val="00830E0F"/>
    <w:rsid w:val="00840725"/>
    <w:rsid w:val="00865414"/>
    <w:rsid w:val="008A16FC"/>
    <w:rsid w:val="008D2008"/>
    <w:rsid w:val="008E23E1"/>
    <w:rsid w:val="00913F7A"/>
    <w:rsid w:val="009839F3"/>
    <w:rsid w:val="00985D72"/>
    <w:rsid w:val="00995E27"/>
    <w:rsid w:val="009A7897"/>
    <w:rsid w:val="009C43B1"/>
    <w:rsid w:val="009D7B6B"/>
    <w:rsid w:val="00A74476"/>
    <w:rsid w:val="00B0753C"/>
    <w:rsid w:val="00B21D02"/>
    <w:rsid w:val="00B60002"/>
    <w:rsid w:val="00B83874"/>
    <w:rsid w:val="00BA574E"/>
    <w:rsid w:val="00BA584F"/>
    <w:rsid w:val="00BA6DD0"/>
    <w:rsid w:val="00BB4B59"/>
    <w:rsid w:val="00BD27E2"/>
    <w:rsid w:val="00C062CC"/>
    <w:rsid w:val="00C20B79"/>
    <w:rsid w:val="00C2555F"/>
    <w:rsid w:val="00C3729D"/>
    <w:rsid w:val="00C43089"/>
    <w:rsid w:val="00C73296"/>
    <w:rsid w:val="00C732F6"/>
    <w:rsid w:val="00C75B14"/>
    <w:rsid w:val="00C81805"/>
    <w:rsid w:val="00C929A8"/>
    <w:rsid w:val="00CC0230"/>
    <w:rsid w:val="00CD7F09"/>
    <w:rsid w:val="00CE0E8A"/>
    <w:rsid w:val="00CE7BEF"/>
    <w:rsid w:val="00D455CE"/>
    <w:rsid w:val="00D62F90"/>
    <w:rsid w:val="00D94419"/>
    <w:rsid w:val="00D94FA8"/>
    <w:rsid w:val="00D9690E"/>
    <w:rsid w:val="00DE5885"/>
    <w:rsid w:val="00E1791E"/>
    <w:rsid w:val="00E64FFB"/>
    <w:rsid w:val="00E85071"/>
    <w:rsid w:val="00E867FF"/>
    <w:rsid w:val="00F11B2D"/>
    <w:rsid w:val="00F22A84"/>
    <w:rsid w:val="00F401EF"/>
    <w:rsid w:val="00F43588"/>
    <w:rsid w:val="00F4698E"/>
    <w:rsid w:val="00F53EDD"/>
    <w:rsid w:val="00F84920"/>
    <w:rsid w:val="00FA1E9D"/>
    <w:rsid w:val="00FE2B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Body of text,List Paragraph1,Colorful List - Accent 11"/>
    <w:basedOn w:val="Normal"/>
    <w:link w:val="ListParagraphChar"/>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3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semiHidden/>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table" w:customStyle="1" w:styleId="TableGrid1">
    <w:name w:val="Table Grid1"/>
    <w:basedOn w:val="TableNormal"/>
    <w:next w:val="TableGrid0"/>
    <w:uiPriority w:val="59"/>
    <w:rsid w:val="00CD7F09"/>
    <w:pPr>
      <w:spacing w:after="0" w:line="240" w:lineRule="auto"/>
      <w:ind w:firstLine="425"/>
      <w:jc w:val="both"/>
    </w:pPr>
    <w:rPr>
      <w:rFonts w:eastAsiaTheme="minorHAns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Body of text Char,List Paragraph1 Char,Colorful List - Accent 11 Char"/>
    <w:basedOn w:val="DefaultParagraphFont"/>
    <w:link w:val="ListParagraph"/>
    <w:uiPriority w:val="34"/>
    <w:rsid w:val="007C5CBB"/>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creativecommons.org/licenses/by-sa/4.0/" TargetMode="External"/><Relationship Id="rId18" Type="http://schemas.openxmlformats.org/officeDocument/2006/relationships/hyperlink" Target="http://creativecommons.org/licenses/by-sa/4.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creativecommons.org/licenses/by-sa/4.0/" TargetMode="External"/><Relationship Id="rId17" Type="http://schemas.openxmlformats.org/officeDocument/2006/relationships/hyperlink" Target="http://creativecommons.org/licenses/by-sa/4.0/"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creativecommons.org/licenses/by-sa/4.0/"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creativecommons.org/licenses/by-sa/4.0/"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11</Pages>
  <Words>3570</Words>
  <Characters>20355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Miftahul Amri</dc:creator>
  <cp:keywords/>
  <cp:lastModifiedBy>acer nitro</cp:lastModifiedBy>
  <cp:revision>64</cp:revision>
  <cp:lastPrinted>2025-07-05T12:18:00Z</cp:lastPrinted>
  <dcterms:created xsi:type="dcterms:W3CDTF">2022-06-25T13:03:00Z</dcterms:created>
  <dcterms:modified xsi:type="dcterms:W3CDTF">2026-02-18T06:23:00Z</dcterms:modified>
</cp:coreProperties>
</file>