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72758DC" w14:textId="77777777" w:rsidR="00263C13" w:rsidRPr="0003746C" w:rsidRDefault="00263C13" w:rsidP="00263C13">
      <w:pPr>
        <w:pStyle w:val="ListParagraph1"/>
        <w:spacing w:after="0" w:line="240" w:lineRule="auto"/>
        <w:ind w:left="0"/>
        <w:rPr>
          <w:rFonts w:ascii="Times New Roman" w:hAnsi="Times New Roman" w:cs="Times New Roman"/>
          <w:sz w:val="24"/>
          <w:szCs w:val="24"/>
        </w:rPr>
      </w:pPr>
      <w:r w:rsidRPr="0003746C">
        <w:rPr>
          <w:rFonts w:ascii="Times New Roman" w:hAnsi="Times New Roman" w:cs="Times New Roman"/>
          <w:sz w:val="24"/>
          <w:szCs w:val="24"/>
        </w:rPr>
        <w:t xml:space="preserve">Type of Manuscript: </w:t>
      </w:r>
    </w:p>
    <w:p w14:paraId="4B88C557" w14:textId="77777777" w:rsidR="00263C13" w:rsidRPr="0003746C" w:rsidRDefault="00263C13" w:rsidP="00263C13">
      <w:pPr>
        <w:tabs>
          <w:tab w:val="left" w:pos="0"/>
        </w:tabs>
        <w:jc w:val="both"/>
        <w:rPr>
          <w:bCs/>
          <w:i/>
          <w:iCs/>
          <w:u w:val="single"/>
        </w:rPr>
      </w:pPr>
      <w:r w:rsidRPr="0003746C">
        <w:rPr>
          <w:bCs/>
          <w:i/>
          <w:iCs/>
          <w:u w:val="single"/>
        </w:rPr>
        <w:t>Research</w:t>
      </w:r>
    </w:p>
    <w:p w14:paraId="3598EF76" w14:textId="77777777" w:rsidR="00263C13" w:rsidRPr="0003746C" w:rsidRDefault="00263C13" w:rsidP="00712CA2">
      <w:pPr>
        <w:spacing w:before="60"/>
        <w:rPr>
          <w:b/>
          <w:bCs/>
          <w:noProof/>
          <w:color w:val="000000"/>
        </w:rPr>
      </w:pPr>
    </w:p>
    <w:p w14:paraId="3E16654E" w14:textId="251BC673" w:rsidR="0026505D" w:rsidRPr="0003746C" w:rsidRDefault="0026505D" w:rsidP="00712CA2">
      <w:pPr>
        <w:spacing w:before="60"/>
        <w:rPr>
          <w:b/>
          <w:bCs/>
          <w:noProof/>
          <w:color w:val="000000"/>
        </w:rPr>
      </w:pPr>
      <w:r w:rsidRPr="0003746C">
        <w:rPr>
          <w:b/>
          <w:bCs/>
          <w:noProof/>
          <w:color w:val="000000"/>
        </w:rPr>
        <w:t>Susceptibility Status of Aedes spp. to Pyrethroid Insecticides in Two Dengue-Endemic Subdistricts of Kendari, Indonesia: A Comparative Biochemical Study</w:t>
      </w:r>
    </w:p>
    <w:p w14:paraId="325358D1" w14:textId="77777777" w:rsidR="005D54A2" w:rsidRPr="0003746C" w:rsidRDefault="005D54A2" w:rsidP="00712CA2">
      <w:pPr>
        <w:jc w:val="both"/>
        <w:rPr>
          <w:b/>
          <w:bCs/>
          <w:vertAlign w:val="superscript"/>
        </w:rPr>
      </w:pPr>
    </w:p>
    <w:p w14:paraId="37266C4A" w14:textId="77777777" w:rsidR="00970174" w:rsidRPr="0003746C" w:rsidRDefault="00970174" w:rsidP="00712CA2">
      <w:pPr>
        <w:spacing w:before="60"/>
        <w:rPr>
          <w:b/>
          <w:bCs/>
          <w:color w:val="000000"/>
        </w:rPr>
      </w:pPr>
    </w:p>
    <w:p w14:paraId="49EEE081" w14:textId="77777777" w:rsidR="00BD67F1" w:rsidRPr="0003746C" w:rsidRDefault="0026505D" w:rsidP="00712CA2">
      <w:pPr>
        <w:spacing w:before="60"/>
        <w:rPr>
          <w:b/>
          <w:color w:val="000000"/>
        </w:rPr>
      </w:pPr>
      <w:r w:rsidRPr="0003746C">
        <w:rPr>
          <w:b/>
          <w:color w:val="000000"/>
        </w:rPr>
        <w:t>ABSTRACT</w:t>
      </w:r>
    </w:p>
    <w:p w14:paraId="52618C8A" w14:textId="6FE7EFA0" w:rsidR="00BD67F1" w:rsidRPr="0003746C" w:rsidRDefault="002152FA" w:rsidP="00712CA2">
      <w:pPr>
        <w:spacing w:before="60"/>
        <w:jc w:val="both"/>
        <w:rPr>
          <w:lang w:val="en-ID"/>
        </w:rPr>
      </w:pPr>
      <w:r w:rsidRPr="0003746C">
        <w:t>Introduction:</w:t>
      </w:r>
      <w:r w:rsidR="0026505D" w:rsidRPr="0003746C">
        <w:rPr>
          <w:lang w:val="en-ID"/>
        </w:rPr>
        <w:t xml:space="preserve"> Dengue remains a major public health problem in Indonesia, including Kendari City, with increasing incidence reported in recent years. Vector control through insecticide-based fogging is widely implemented, with pyrethroids as the primary insecticide used. However, continuous exposure may alter mosquito susceptibility and reduce control effectiveness. This study aimed to assess and compare the susceptibility status of </w:t>
      </w:r>
      <w:r w:rsidR="0026505D" w:rsidRPr="0003746C">
        <w:rPr>
          <w:i/>
          <w:iCs/>
          <w:lang w:val="en-ID"/>
        </w:rPr>
        <w:t>Aedes</w:t>
      </w:r>
      <w:r w:rsidR="0026505D" w:rsidRPr="0003746C">
        <w:rPr>
          <w:lang w:val="en-ID"/>
        </w:rPr>
        <w:t xml:space="preserve"> </w:t>
      </w:r>
      <w:r w:rsidR="0026505D" w:rsidRPr="0003746C">
        <w:rPr>
          <w:i/>
          <w:iCs/>
          <w:lang w:val="en-ID"/>
        </w:rPr>
        <w:t>spp</w:t>
      </w:r>
      <w:r w:rsidR="0026505D" w:rsidRPr="0003746C">
        <w:rPr>
          <w:lang w:val="en-ID"/>
        </w:rPr>
        <w:t xml:space="preserve">. mosquitoes in </w:t>
      </w:r>
      <w:proofErr w:type="spellStart"/>
      <w:r w:rsidR="0026505D" w:rsidRPr="0003746C">
        <w:rPr>
          <w:lang w:val="en-ID"/>
        </w:rPr>
        <w:t>Poasia</w:t>
      </w:r>
      <w:proofErr w:type="spellEnd"/>
      <w:r w:rsidR="0026505D" w:rsidRPr="0003746C">
        <w:rPr>
          <w:lang w:val="en-ID"/>
        </w:rPr>
        <w:t xml:space="preserve"> and </w:t>
      </w:r>
      <w:proofErr w:type="spellStart"/>
      <w:r w:rsidR="0026505D" w:rsidRPr="0003746C">
        <w:rPr>
          <w:lang w:val="en-ID"/>
        </w:rPr>
        <w:t>Baruga</w:t>
      </w:r>
      <w:proofErr w:type="spellEnd"/>
      <w:r w:rsidR="0026505D" w:rsidRPr="0003746C">
        <w:rPr>
          <w:lang w:val="en-ID"/>
        </w:rPr>
        <w:t xml:space="preserve"> Subdistricts, Kendari.</w:t>
      </w:r>
    </w:p>
    <w:p w14:paraId="22D2A50D" w14:textId="77777777" w:rsidR="00BD67F1" w:rsidRPr="0003746C" w:rsidRDefault="0026505D" w:rsidP="00712CA2">
      <w:pPr>
        <w:spacing w:before="60"/>
        <w:jc w:val="both"/>
        <w:rPr>
          <w:lang w:val="en-ID"/>
        </w:rPr>
      </w:pPr>
      <w:r w:rsidRPr="0003746C">
        <w:rPr>
          <w:lang w:val="en-ID"/>
        </w:rPr>
        <w:t>Methods: An analytical observational study with a cross-sectional design was conducted. Mosquito samples were collected from selected villages in both subdistricts. Susceptibility status was determined based on non-specific esterase enzyme activity using a biochemical assay measured by an ELISA reader. Statistical analysis was performed using Mann–Whitney and Kruskal–Wallis tests.</w:t>
      </w:r>
    </w:p>
    <w:p w14:paraId="08686D3C" w14:textId="77777777" w:rsidR="00BD67F1" w:rsidRPr="0003746C" w:rsidRDefault="0026505D" w:rsidP="00712CA2">
      <w:pPr>
        <w:spacing w:before="60"/>
        <w:jc w:val="both"/>
        <w:rPr>
          <w:lang w:val="en-ID"/>
        </w:rPr>
      </w:pPr>
      <w:r w:rsidRPr="0003746C">
        <w:rPr>
          <w:lang w:val="en-ID"/>
        </w:rPr>
        <w:t xml:space="preserve">Results: All mosquito populations from both subdistricts were classified as sensitive to pyrethroid insecticides, with mean absorbance values below 0.700. A significant difference in non-specific esterase enzyme activity was observed between </w:t>
      </w:r>
      <w:proofErr w:type="spellStart"/>
      <w:r w:rsidRPr="0003746C">
        <w:rPr>
          <w:lang w:val="en-ID"/>
        </w:rPr>
        <w:t>Poasia</w:t>
      </w:r>
      <w:proofErr w:type="spellEnd"/>
      <w:r w:rsidRPr="0003746C">
        <w:rPr>
          <w:lang w:val="en-ID"/>
        </w:rPr>
        <w:t xml:space="preserve"> and </w:t>
      </w:r>
      <w:proofErr w:type="spellStart"/>
      <w:r w:rsidRPr="0003746C">
        <w:rPr>
          <w:lang w:val="en-ID"/>
        </w:rPr>
        <w:t>Baruga</w:t>
      </w:r>
      <w:proofErr w:type="spellEnd"/>
      <w:r w:rsidRPr="0003746C">
        <w:rPr>
          <w:lang w:val="en-ID"/>
        </w:rPr>
        <w:t xml:space="preserve"> Subdistricts (p &lt; 0.001). Significant differences were also found among villages within both subdistricts (p &lt; 0.001).</w:t>
      </w:r>
    </w:p>
    <w:p w14:paraId="100AFA5C" w14:textId="77777777" w:rsidR="00BD67F1" w:rsidRPr="0003746C" w:rsidRDefault="0026505D" w:rsidP="00712CA2">
      <w:pPr>
        <w:spacing w:before="60"/>
        <w:jc w:val="both"/>
        <w:rPr>
          <w:b/>
          <w:color w:val="000000"/>
        </w:rPr>
      </w:pPr>
      <w:r w:rsidRPr="0003746C">
        <w:rPr>
          <w:lang w:val="en-ID"/>
        </w:rPr>
        <w:t xml:space="preserve">Conclusions: </w:t>
      </w:r>
      <w:r w:rsidRPr="0003746C">
        <w:rPr>
          <w:i/>
          <w:iCs/>
          <w:lang w:val="en-ID"/>
        </w:rPr>
        <w:t>Aedes</w:t>
      </w:r>
      <w:r w:rsidRPr="0003746C">
        <w:rPr>
          <w:lang w:val="en-ID"/>
        </w:rPr>
        <w:t xml:space="preserve"> </w:t>
      </w:r>
      <w:r w:rsidRPr="0003746C">
        <w:rPr>
          <w:i/>
          <w:iCs/>
          <w:lang w:val="en-ID"/>
        </w:rPr>
        <w:t>spp</w:t>
      </w:r>
      <w:r w:rsidRPr="0003746C">
        <w:rPr>
          <w:lang w:val="en-ID"/>
        </w:rPr>
        <w:t>. populations remain susceptible to pyrethroid insecticides. However, variations in enzyme activity indicate the need for continuous resistance surveillance to ensure the effectiveness of dengue vector control programs.</w:t>
      </w:r>
    </w:p>
    <w:p w14:paraId="7BF4A3EE" w14:textId="77777777" w:rsidR="00983EE4" w:rsidRPr="0003746C" w:rsidRDefault="0026505D" w:rsidP="00712CA2">
      <w:pPr>
        <w:spacing w:before="60"/>
        <w:jc w:val="both"/>
        <w:rPr>
          <w:color w:val="000000"/>
        </w:rPr>
        <w:sectPr w:rsidR="00983EE4" w:rsidRPr="0003746C" w:rsidSect="0003746C">
          <w:headerReference w:type="default" r:id="rId8"/>
          <w:pgSz w:w="11906" w:h="16838" w:code="9"/>
          <w:pgMar w:top="1418" w:right="1418" w:bottom="1418" w:left="1418" w:header="709" w:footer="709" w:gutter="0"/>
          <w:cols w:space="708"/>
          <w:docGrid w:linePitch="360"/>
        </w:sectPr>
      </w:pPr>
      <w:r w:rsidRPr="0003746C">
        <w:rPr>
          <w:color w:val="000000"/>
        </w:rPr>
        <w:t xml:space="preserve">Keywords: </w:t>
      </w:r>
      <w:r w:rsidRPr="0003746C">
        <w:t xml:space="preserve">Aedes </w:t>
      </w:r>
      <w:r w:rsidRPr="0003746C">
        <w:rPr>
          <w:i/>
          <w:iCs/>
        </w:rPr>
        <w:t>spp</w:t>
      </w:r>
      <w:r w:rsidRPr="0003746C">
        <w:t>.; dengue; insecticide susceptibility; pyrethroids; vector control</w:t>
      </w:r>
      <w:r w:rsidRPr="0003746C">
        <w:rPr>
          <w:color w:val="000000"/>
        </w:rPr>
        <w:t xml:space="preserve"> </w:t>
      </w:r>
    </w:p>
    <w:p w14:paraId="56414DBF" w14:textId="4A78283A" w:rsidR="0026505D" w:rsidRPr="0003746C" w:rsidRDefault="0026505D" w:rsidP="003E42B4">
      <w:pPr>
        <w:spacing w:before="60" w:after="80"/>
        <w:rPr>
          <w:b/>
          <w:color w:val="000000"/>
        </w:rPr>
      </w:pPr>
      <w:r w:rsidRPr="0003746C">
        <w:rPr>
          <w:b/>
          <w:color w:val="000000"/>
        </w:rPr>
        <w:lastRenderedPageBreak/>
        <w:t>INTRODUCTION</w:t>
      </w:r>
    </w:p>
    <w:p w14:paraId="7582ECA7" w14:textId="77777777" w:rsidR="00E55A29" w:rsidRPr="00E55A29" w:rsidRDefault="00E55A29" w:rsidP="00E55A29">
      <w:pPr>
        <w:spacing w:before="60"/>
        <w:jc w:val="both"/>
        <w:outlineLvl w:val="0"/>
        <w:rPr>
          <w:rFonts w:eastAsiaTheme="majorEastAsia"/>
          <w:spacing w:val="-2"/>
          <w:lang w:val="en-ID"/>
        </w:rPr>
      </w:pPr>
      <w:r w:rsidRPr="00E55A29">
        <w:rPr>
          <w:rFonts w:eastAsiaTheme="majorEastAsia"/>
          <w:spacing w:val="-2"/>
          <w:lang w:val="en-ID"/>
        </w:rPr>
        <w:t xml:space="preserve">Dengue is one of the most rapidly spreading mosquito-borne viral diseases and remains a major global public health concern, particularly in tropical and subtropical regions. The World Health Organization (WHO) has reported a substantial increase in dengue incidence worldwide over the past decades, with Southeast Asia, including Indonesia, contributing significantly to the global </w:t>
      </w:r>
      <w:proofErr w:type="gramStart"/>
      <w:r w:rsidRPr="00E55A29">
        <w:rPr>
          <w:rFonts w:eastAsiaTheme="majorEastAsia"/>
          <w:spacing w:val="-2"/>
          <w:lang w:val="en-ID"/>
        </w:rPr>
        <w:t>burden.¹</w:t>
      </w:r>
      <w:proofErr w:type="gramEnd"/>
      <w:r w:rsidRPr="00E55A29">
        <w:rPr>
          <w:rFonts w:eastAsiaTheme="majorEastAsia"/>
          <w:spacing w:val="-2"/>
          <w:lang w:val="en-ID"/>
        </w:rPr>
        <w:t xml:space="preserve">˒² In Indonesia, dengue continues to pose a serious health challenge, with recurrent outbreaks and increasing case numbers reported </w:t>
      </w:r>
      <w:proofErr w:type="gramStart"/>
      <w:r w:rsidRPr="00E55A29">
        <w:rPr>
          <w:rFonts w:eastAsiaTheme="majorEastAsia"/>
          <w:spacing w:val="-2"/>
          <w:lang w:val="en-ID"/>
        </w:rPr>
        <w:t>annually.³</w:t>
      </w:r>
      <w:proofErr w:type="gramEnd"/>
    </w:p>
    <w:p w14:paraId="3ABDA68C" w14:textId="77777777" w:rsidR="00E55A29" w:rsidRPr="00E55A29" w:rsidRDefault="00E55A29" w:rsidP="00E55A29">
      <w:pPr>
        <w:spacing w:before="60"/>
        <w:jc w:val="both"/>
        <w:outlineLvl w:val="0"/>
        <w:rPr>
          <w:rFonts w:eastAsiaTheme="majorEastAsia"/>
          <w:spacing w:val="-2"/>
          <w:lang w:val="en-ID"/>
        </w:rPr>
      </w:pPr>
      <w:r w:rsidRPr="00E55A29">
        <w:rPr>
          <w:rFonts w:eastAsiaTheme="majorEastAsia"/>
          <w:spacing w:val="-2"/>
          <w:lang w:val="en-ID"/>
        </w:rPr>
        <w:t xml:space="preserve">Kendari City, located in Southeast Sulawesi, is among the dengue-endemic areas experiencing a rising trend in incidence, particularly in </w:t>
      </w:r>
      <w:proofErr w:type="spellStart"/>
      <w:r w:rsidRPr="00E55A29">
        <w:rPr>
          <w:rFonts w:eastAsiaTheme="majorEastAsia"/>
          <w:spacing w:val="-2"/>
          <w:lang w:val="en-ID"/>
        </w:rPr>
        <w:t>Poasia</w:t>
      </w:r>
      <w:proofErr w:type="spellEnd"/>
      <w:r w:rsidRPr="00E55A29">
        <w:rPr>
          <w:rFonts w:eastAsiaTheme="majorEastAsia"/>
          <w:spacing w:val="-2"/>
          <w:lang w:val="en-ID"/>
        </w:rPr>
        <w:t xml:space="preserve"> and </w:t>
      </w:r>
      <w:proofErr w:type="spellStart"/>
      <w:r w:rsidRPr="00E55A29">
        <w:rPr>
          <w:rFonts w:eastAsiaTheme="majorEastAsia"/>
          <w:spacing w:val="-2"/>
          <w:lang w:val="en-ID"/>
        </w:rPr>
        <w:t>Baruga</w:t>
      </w:r>
      <w:proofErr w:type="spellEnd"/>
      <w:r w:rsidRPr="00E55A29">
        <w:rPr>
          <w:rFonts w:eastAsiaTheme="majorEastAsia"/>
          <w:spacing w:val="-2"/>
          <w:lang w:val="en-ID"/>
        </w:rPr>
        <w:t xml:space="preserve"> </w:t>
      </w:r>
      <w:proofErr w:type="gramStart"/>
      <w:r w:rsidRPr="00E55A29">
        <w:rPr>
          <w:rFonts w:eastAsiaTheme="majorEastAsia"/>
          <w:spacing w:val="-2"/>
          <w:lang w:val="en-ID"/>
        </w:rPr>
        <w:t>Subdistricts.³</w:t>
      </w:r>
      <w:proofErr w:type="gramEnd"/>
      <w:r w:rsidRPr="00E55A29">
        <w:rPr>
          <w:rFonts w:eastAsiaTheme="majorEastAsia"/>
          <w:spacing w:val="-2"/>
          <w:lang w:val="en-ID"/>
        </w:rPr>
        <w:t xml:space="preserve"> </w:t>
      </w:r>
      <w:proofErr w:type="gramStart"/>
      <w:r w:rsidRPr="00E55A29">
        <w:rPr>
          <w:rFonts w:eastAsiaTheme="majorEastAsia"/>
          <w:spacing w:val="-2"/>
          <w:lang w:val="en-ID"/>
        </w:rPr>
        <w:t>The</w:t>
      </w:r>
      <w:proofErr w:type="gramEnd"/>
      <w:r w:rsidRPr="00E55A29">
        <w:rPr>
          <w:rFonts w:eastAsiaTheme="majorEastAsia"/>
          <w:spacing w:val="-2"/>
          <w:lang w:val="en-ID"/>
        </w:rPr>
        <w:t xml:space="preserve"> persistence of dengue transmission in these areas highlights the importance of effective vector control strategies to reduce disease burden and prevent outbreaks.</w:t>
      </w:r>
    </w:p>
    <w:p w14:paraId="18AB27A5" w14:textId="77777777" w:rsidR="00E55A29" w:rsidRPr="00E55A29" w:rsidRDefault="00E55A29" w:rsidP="00E55A29">
      <w:pPr>
        <w:spacing w:before="60"/>
        <w:jc w:val="both"/>
        <w:outlineLvl w:val="0"/>
        <w:rPr>
          <w:rFonts w:eastAsiaTheme="majorEastAsia"/>
          <w:spacing w:val="-2"/>
          <w:lang w:val="en-ID"/>
        </w:rPr>
      </w:pPr>
      <w:r w:rsidRPr="00E55A29">
        <w:rPr>
          <w:rFonts w:eastAsiaTheme="majorEastAsia"/>
          <w:spacing w:val="-2"/>
          <w:lang w:val="en-ID"/>
        </w:rPr>
        <w:t xml:space="preserve">Vector control remains the primary strategy for dengue prevention, as no universally effective antiviral treatment is available and vaccine coverage is still limited in many endemic regions. Among various control methods, insecticide-based fogging is widely implemented to reduce adult mosquito populations. Pyrethroids are the most commonly used class of insecticides due to their high efficacy, rapid knockdown effect, and relatively low toxicity to </w:t>
      </w:r>
      <w:proofErr w:type="gramStart"/>
      <w:r w:rsidRPr="00E55A29">
        <w:rPr>
          <w:rFonts w:eastAsiaTheme="majorEastAsia"/>
          <w:spacing w:val="-2"/>
          <w:lang w:val="en-ID"/>
        </w:rPr>
        <w:t>humans.²</w:t>
      </w:r>
      <w:proofErr w:type="gramEnd"/>
      <w:r w:rsidRPr="00E55A29">
        <w:rPr>
          <w:rFonts w:eastAsiaTheme="majorEastAsia"/>
          <w:spacing w:val="-2"/>
          <w:lang w:val="en-ID"/>
        </w:rPr>
        <w:t xml:space="preserve"> However, the extensive and repeated use of pyrethroids may exert selective pressure on mosquito populations, leading to alterations in susceptibility and the eventual development of insecticide </w:t>
      </w:r>
      <w:proofErr w:type="gramStart"/>
      <w:r w:rsidRPr="00E55A29">
        <w:rPr>
          <w:rFonts w:eastAsiaTheme="majorEastAsia"/>
          <w:spacing w:val="-2"/>
          <w:lang w:val="en-ID"/>
        </w:rPr>
        <w:t>resistance.⁴</w:t>
      </w:r>
      <w:proofErr w:type="gramEnd"/>
    </w:p>
    <w:p w14:paraId="791CB629" w14:textId="77777777" w:rsidR="00E55A29" w:rsidRPr="00E55A29" w:rsidRDefault="00E55A29" w:rsidP="00E55A29">
      <w:pPr>
        <w:spacing w:before="60"/>
        <w:jc w:val="both"/>
        <w:outlineLvl w:val="0"/>
        <w:rPr>
          <w:rFonts w:eastAsiaTheme="majorEastAsia"/>
          <w:spacing w:val="-2"/>
          <w:lang w:val="en-ID"/>
        </w:rPr>
      </w:pPr>
      <w:r w:rsidRPr="00E55A29">
        <w:rPr>
          <w:rFonts w:eastAsiaTheme="majorEastAsia"/>
          <w:spacing w:val="-2"/>
          <w:lang w:val="en-ID"/>
        </w:rPr>
        <w:t xml:space="preserve">Insecticide resistance in </w:t>
      </w:r>
      <w:r w:rsidRPr="00E55A29">
        <w:rPr>
          <w:rFonts w:eastAsiaTheme="majorEastAsia"/>
          <w:i/>
          <w:iCs/>
          <w:spacing w:val="-2"/>
          <w:lang w:val="en-ID"/>
        </w:rPr>
        <w:t>Aedes</w:t>
      </w:r>
      <w:r w:rsidRPr="00E55A29">
        <w:rPr>
          <w:rFonts w:eastAsiaTheme="majorEastAsia"/>
          <w:spacing w:val="-2"/>
          <w:lang w:val="en-ID"/>
        </w:rPr>
        <w:t xml:space="preserve"> spp. is a growing concern, as it can significantly compromise the effectiveness of vector control programs and contribute to increased dengue transmission. One of the key mechanisms underlying resistance is metabolic detoxification, which involves elevated activity of enzymes such as esterases, monooxygenases, and glutathione S-</w:t>
      </w:r>
      <w:proofErr w:type="gramStart"/>
      <w:r w:rsidRPr="00E55A29">
        <w:rPr>
          <w:rFonts w:eastAsiaTheme="majorEastAsia"/>
          <w:spacing w:val="-2"/>
          <w:lang w:val="en-ID"/>
        </w:rPr>
        <w:t>transferases.⁵</w:t>
      </w:r>
      <w:proofErr w:type="gramEnd"/>
      <w:r w:rsidRPr="00E55A29">
        <w:rPr>
          <w:rFonts w:eastAsiaTheme="majorEastAsia"/>
          <w:spacing w:val="-2"/>
          <w:lang w:val="en-ID"/>
        </w:rPr>
        <w:t>˒⁸ Among these, non-specific esterase activity has been widely used as a biochemical marker for early detection of resistance development in mosquito populations.</w:t>
      </w:r>
    </w:p>
    <w:p w14:paraId="5D853F33" w14:textId="77777777" w:rsidR="00E55A29" w:rsidRPr="00E55A29" w:rsidRDefault="00E55A29" w:rsidP="00E55A29">
      <w:pPr>
        <w:spacing w:before="60"/>
        <w:jc w:val="both"/>
        <w:outlineLvl w:val="0"/>
        <w:rPr>
          <w:rFonts w:eastAsiaTheme="majorEastAsia"/>
          <w:spacing w:val="-2"/>
          <w:lang w:val="en-ID"/>
        </w:rPr>
      </w:pPr>
      <w:r w:rsidRPr="00E55A29">
        <w:rPr>
          <w:rFonts w:eastAsiaTheme="majorEastAsia"/>
          <w:spacing w:val="-2"/>
          <w:lang w:val="en-ID"/>
        </w:rPr>
        <w:t>Monitoring the susceptibility status of mosquito vectors is therefore essential to ensure the continued effectiveness of insecticide-based interventions and to support evidence-based decision-making in vector control programs. Early detection of biochemical changes can serve as an important warning signal before phenotypic resistance becomes evident, allowing timely implementation of resistance management strategies.</w:t>
      </w:r>
    </w:p>
    <w:p w14:paraId="5BD66E8D" w14:textId="77777777" w:rsidR="00E55A29" w:rsidRPr="00E55A29" w:rsidRDefault="00E55A29" w:rsidP="00E55A29">
      <w:pPr>
        <w:spacing w:before="60"/>
        <w:jc w:val="both"/>
        <w:outlineLvl w:val="0"/>
        <w:rPr>
          <w:rFonts w:eastAsiaTheme="majorEastAsia"/>
          <w:spacing w:val="-2"/>
          <w:lang w:val="en-ID"/>
        </w:rPr>
      </w:pPr>
      <w:r w:rsidRPr="00E55A29">
        <w:rPr>
          <w:rFonts w:eastAsiaTheme="majorEastAsia"/>
          <w:spacing w:val="-2"/>
          <w:lang w:val="en-ID"/>
        </w:rPr>
        <w:t xml:space="preserve">Despite the importance of resistance surveillance, data on insecticide susceptibility of </w:t>
      </w:r>
      <w:r w:rsidRPr="00E55A29">
        <w:rPr>
          <w:rFonts w:eastAsiaTheme="majorEastAsia"/>
          <w:i/>
          <w:iCs/>
          <w:spacing w:val="-2"/>
          <w:lang w:val="en-ID"/>
        </w:rPr>
        <w:t>Aedes</w:t>
      </w:r>
      <w:r w:rsidRPr="00E55A29">
        <w:rPr>
          <w:rFonts w:eastAsiaTheme="majorEastAsia"/>
          <w:spacing w:val="-2"/>
          <w:lang w:val="en-ID"/>
        </w:rPr>
        <w:t xml:space="preserve"> spp. in Kendari City remain limited, particularly those based on biochemical approaches. Therefore, this study aimed to assess and compare the susceptibility status of </w:t>
      </w:r>
      <w:r w:rsidRPr="00E55A29">
        <w:rPr>
          <w:rFonts w:eastAsiaTheme="majorEastAsia"/>
          <w:i/>
          <w:iCs/>
          <w:spacing w:val="-2"/>
          <w:lang w:val="en-ID"/>
        </w:rPr>
        <w:t>Aedes</w:t>
      </w:r>
      <w:r w:rsidRPr="00E55A29">
        <w:rPr>
          <w:rFonts w:eastAsiaTheme="majorEastAsia"/>
          <w:spacing w:val="-2"/>
          <w:lang w:val="en-ID"/>
        </w:rPr>
        <w:t xml:space="preserve"> spp. mosquitoes in </w:t>
      </w:r>
      <w:proofErr w:type="spellStart"/>
      <w:r w:rsidRPr="00E55A29">
        <w:rPr>
          <w:rFonts w:eastAsiaTheme="majorEastAsia"/>
          <w:spacing w:val="-2"/>
          <w:lang w:val="en-ID"/>
        </w:rPr>
        <w:t>Poasia</w:t>
      </w:r>
      <w:proofErr w:type="spellEnd"/>
      <w:r w:rsidRPr="00E55A29">
        <w:rPr>
          <w:rFonts w:eastAsiaTheme="majorEastAsia"/>
          <w:spacing w:val="-2"/>
          <w:lang w:val="en-ID"/>
        </w:rPr>
        <w:t xml:space="preserve"> and </w:t>
      </w:r>
      <w:proofErr w:type="spellStart"/>
      <w:r w:rsidRPr="00E55A29">
        <w:rPr>
          <w:rFonts w:eastAsiaTheme="majorEastAsia"/>
          <w:spacing w:val="-2"/>
          <w:lang w:val="en-ID"/>
        </w:rPr>
        <w:t>Baruga</w:t>
      </w:r>
      <w:proofErr w:type="spellEnd"/>
      <w:r w:rsidRPr="00E55A29">
        <w:rPr>
          <w:rFonts w:eastAsiaTheme="majorEastAsia"/>
          <w:spacing w:val="-2"/>
          <w:lang w:val="en-ID"/>
        </w:rPr>
        <w:t xml:space="preserve"> Subdistricts using biochemical testing based on non-specific esterase enzyme activity.</w:t>
      </w:r>
    </w:p>
    <w:p w14:paraId="1BB00337" w14:textId="77777777" w:rsidR="00983EE4" w:rsidRPr="0003746C" w:rsidRDefault="00983EE4" w:rsidP="00712CA2">
      <w:pPr>
        <w:spacing w:before="60"/>
        <w:outlineLvl w:val="0"/>
        <w:rPr>
          <w:b/>
          <w:bCs/>
          <w:color w:val="000000"/>
        </w:rPr>
        <w:sectPr w:rsidR="00983EE4" w:rsidRPr="0003746C" w:rsidSect="006F05A4">
          <w:pgSz w:w="11906" w:h="16838" w:code="9"/>
          <w:pgMar w:top="1418" w:right="1418" w:bottom="1418" w:left="1418" w:header="709" w:footer="709" w:gutter="0"/>
          <w:cols w:space="708"/>
          <w:docGrid w:linePitch="360"/>
        </w:sectPr>
      </w:pPr>
    </w:p>
    <w:p w14:paraId="07BA41B9" w14:textId="34702DF0" w:rsidR="003E42B4" w:rsidRPr="003E42B4" w:rsidRDefault="003E42B4" w:rsidP="003E42B4">
      <w:pPr>
        <w:pStyle w:val="Heading1"/>
        <w:spacing w:before="200"/>
        <w:jc w:val="both"/>
        <w:rPr>
          <w:rFonts w:ascii="Times New Roman" w:eastAsia="Cambria" w:hAnsi="Times New Roman" w:cs="Times New Roman"/>
          <w:b/>
          <w:bCs/>
          <w:color w:val="auto"/>
          <w:sz w:val="24"/>
          <w:szCs w:val="24"/>
          <w:lang w:val="en-ID"/>
        </w:rPr>
      </w:pPr>
      <w:r w:rsidRPr="003E42B4">
        <w:rPr>
          <w:rFonts w:ascii="Times New Roman" w:eastAsia="Cambria" w:hAnsi="Times New Roman" w:cs="Times New Roman"/>
          <w:b/>
          <w:bCs/>
          <w:color w:val="auto"/>
          <w:sz w:val="24"/>
          <w:szCs w:val="24"/>
          <w:lang w:val="en-ID"/>
        </w:rPr>
        <w:lastRenderedPageBreak/>
        <w:t>METHODS</w:t>
      </w:r>
    </w:p>
    <w:p w14:paraId="2818A456" w14:textId="72F04CAB"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Study Design</w:t>
      </w:r>
    </w:p>
    <w:p w14:paraId="546549E3"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 xml:space="preserve">This study employed an analytical observational approach using a cross-sectional design to evaluate the susceptibility status of </w:t>
      </w:r>
      <w:r w:rsidRPr="003E42B4">
        <w:rPr>
          <w:rFonts w:ascii="Times New Roman" w:eastAsia="Cambria" w:hAnsi="Times New Roman" w:cs="Times New Roman"/>
          <w:i/>
          <w:iCs/>
          <w:color w:val="auto"/>
          <w:sz w:val="24"/>
          <w:szCs w:val="24"/>
          <w:lang w:val="en-ID"/>
        </w:rPr>
        <w:t>Aedes</w:t>
      </w:r>
      <w:r w:rsidRPr="003E42B4">
        <w:rPr>
          <w:rFonts w:ascii="Times New Roman" w:eastAsia="Cambria" w:hAnsi="Times New Roman" w:cs="Times New Roman"/>
          <w:color w:val="auto"/>
          <w:sz w:val="24"/>
          <w:szCs w:val="24"/>
          <w:lang w:val="en-ID"/>
        </w:rPr>
        <w:t xml:space="preserve"> spp. mosquitoes in selected dengue-endemic areas.</w:t>
      </w:r>
    </w:p>
    <w:p w14:paraId="738101DB"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Study Area and Period</w:t>
      </w:r>
    </w:p>
    <w:p w14:paraId="3731258C"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 xml:space="preserve">The research was conducted in two dengue-endemic subdistricts, namely </w:t>
      </w:r>
      <w:proofErr w:type="spellStart"/>
      <w:r w:rsidRPr="003E42B4">
        <w:rPr>
          <w:rFonts w:ascii="Times New Roman" w:eastAsia="Cambria" w:hAnsi="Times New Roman" w:cs="Times New Roman"/>
          <w:color w:val="auto"/>
          <w:sz w:val="24"/>
          <w:szCs w:val="24"/>
          <w:lang w:val="en-ID"/>
        </w:rPr>
        <w:t>Poasia</w:t>
      </w:r>
      <w:proofErr w:type="spellEnd"/>
      <w:r w:rsidRPr="003E42B4">
        <w:rPr>
          <w:rFonts w:ascii="Times New Roman" w:eastAsia="Cambria" w:hAnsi="Times New Roman" w:cs="Times New Roman"/>
          <w:color w:val="auto"/>
          <w:sz w:val="24"/>
          <w:szCs w:val="24"/>
          <w:lang w:val="en-ID"/>
        </w:rPr>
        <w:t xml:space="preserve"> and </w:t>
      </w:r>
      <w:proofErr w:type="spellStart"/>
      <w:r w:rsidRPr="003E42B4">
        <w:rPr>
          <w:rFonts w:ascii="Times New Roman" w:eastAsia="Cambria" w:hAnsi="Times New Roman" w:cs="Times New Roman"/>
          <w:color w:val="auto"/>
          <w:sz w:val="24"/>
          <w:szCs w:val="24"/>
          <w:lang w:val="en-ID"/>
        </w:rPr>
        <w:t>Baruga</w:t>
      </w:r>
      <w:proofErr w:type="spellEnd"/>
      <w:r w:rsidRPr="003E42B4">
        <w:rPr>
          <w:rFonts w:ascii="Times New Roman" w:eastAsia="Cambria" w:hAnsi="Times New Roman" w:cs="Times New Roman"/>
          <w:color w:val="auto"/>
          <w:sz w:val="24"/>
          <w:szCs w:val="24"/>
          <w:lang w:val="en-ID"/>
        </w:rPr>
        <w:t>, located in Kendari City, Southeast Sulawesi, Indonesia. Data collection and laboratory analysis were carried out throughout 2024.</w:t>
      </w:r>
    </w:p>
    <w:p w14:paraId="31A05A6E"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Ethical Considerations</w:t>
      </w:r>
    </w:p>
    <w:p w14:paraId="6FB9F49E"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The study protocol received ethical clearance from the Institutional Ethics Committee (No. 126/UN29.17.1.3/ETIK/2024). All procedures were performed in accordance with established ethical standards.</w:t>
      </w:r>
    </w:p>
    <w:p w14:paraId="733021F8"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Sample Selection</w:t>
      </w:r>
    </w:p>
    <w:p w14:paraId="18941671"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 xml:space="preserve">Adult </w:t>
      </w:r>
      <w:r w:rsidRPr="003E42B4">
        <w:rPr>
          <w:rFonts w:ascii="Times New Roman" w:eastAsia="Cambria" w:hAnsi="Times New Roman" w:cs="Times New Roman"/>
          <w:i/>
          <w:iCs/>
          <w:color w:val="auto"/>
          <w:sz w:val="24"/>
          <w:szCs w:val="24"/>
          <w:lang w:val="en-ID"/>
        </w:rPr>
        <w:t>Aedes</w:t>
      </w:r>
      <w:r w:rsidRPr="003E42B4">
        <w:rPr>
          <w:rFonts w:ascii="Times New Roman" w:eastAsia="Cambria" w:hAnsi="Times New Roman" w:cs="Times New Roman"/>
          <w:color w:val="auto"/>
          <w:sz w:val="24"/>
          <w:szCs w:val="24"/>
          <w:lang w:val="en-ID"/>
        </w:rPr>
        <w:t xml:space="preserve"> spp. mosquitoes were collected from several selected villages within each subdistrict. Only intact specimens were included for analysis, while damaged or incomplete samples were excluded to ensure data reliability.</w:t>
      </w:r>
    </w:p>
    <w:p w14:paraId="650131E3"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Sampling Technique and Sample Size</w:t>
      </w:r>
    </w:p>
    <w:p w14:paraId="79E3B63D"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Mosquito collection was performed using a purposive sampling method. A total of nine villages were included in the study, and from each village, 30 adult mosquitoes were obtained, resulting in a representative sample for comparative analysis.</w:t>
      </w:r>
    </w:p>
    <w:p w14:paraId="58690727"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Biochemical Assay Procedure</w:t>
      </w:r>
    </w:p>
    <w:p w14:paraId="504441BA"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 xml:space="preserve">Each mosquito specimen was processed individually. The samples were homogenized in phosphate-buffered saline to obtain a uniform suspension. Subsequently, the homogenate was reacted with α-naphthyl acetate as a substrate, followed by the addition of a coupling reagent to facilitate </w:t>
      </w:r>
      <w:proofErr w:type="spellStart"/>
      <w:r w:rsidRPr="003E42B4">
        <w:rPr>
          <w:rFonts w:ascii="Times New Roman" w:eastAsia="Cambria" w:hAnsi="Times New Roman" w:cs="Times New Roman"/>
          <w:color w:val="auto"/>
          <w:sz w:val="24"/>
          <w:szCs w:val="24"/>
          <w:lang w:val="en-ID"/>
        </w:rPr>
        <w:t>color</w:t>
      </w:r>
      <w:proofErr w:type="spellEnd"/>
      <w:r w:rsidRPr="003E42B4">
        <w:rPr>
          <w:rFonts w:ascii="Times New Roman" w:eastAsia="Cambria" w:hAnsi="Times New Roman" w:cs="Times New Roman"/>
          <w:color w:val="auto"/>
          <w:sz w:val="24"/>
          <w:szCs w:val="24"/>
          <w:lang w:val="en-ID"/>
        </w:rPr>
        <w:t xml:space="preserve"> development. The enzymatic activity was then quantified by measuring absorbance using an ELISA reader at a wavelength of 450 nm.</w:t>
      </w:r>
    </w:p>
    <w:p w14:paraId="659A5F40"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Based on absorbance values, susceptibility status was categorized into three groups: sensitive (AV &lt; 0.700), tolerant (0.700–0.900), and resistant (AV &gt; 0.900).</w:t>
      </w:r>
    </w:p>
    <w:p w14:paraId="6799B969" w14:textId="77777777" w:rsidR="003E42B4" w:rsidRP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Statistical Analysis</w:t>
      </w:r>
    </w:p>
    <w:p w14:paraId="0F6AEBA8" w14:textId="77777777" w:rsidR="003E42B4" w:rsidRDefault="003E42B4" w:rsidP="003E42B4">
      <w:pPr>
        <w:pStyle w:val="Heading1"/>
        <w:spacing w:before="200"/>
        <w:jc w:val="both"/>
        <w:rPr>
          <w:rFonts w:ascii="Times New Roman" w:eastAsia="Cambria" w:hAnsi="Times New Roman" w:cs="Times New Roman"/>
          <w:color w:val="auto"/>
          <w:sz w:val="24"/>
          <w:szCs w:val="24"/>
          <w:lang w:val="en-ID"/>
        </w:rPr>
      </w:pPr>
      <w:r w:rsidRPr="003E42B4">
        <w:rPr>
          <w:rFonts w:ascii="Times New Roman" w:eastAsia="Cambria" w:hAnsi="Times New Roman" w:cs="Times New Roman"/>
          <w:color w:val="auto"/>
          <w:sz w:val="24"/>
          <w:szCs w:val="24"/>
          <w:lang w:val="en-ID"/>
        </w:rPr>
        <w:t xml:space="preserve">Data analysis was conducted using non-parametric statistical methods. Differences in enzyme activity between the two subdistricts were examined using the Mann–Whitney test, while variations among villages were </w:t>
      </w:r>
      <w:proofErr w:type="spellStart"/>
      <w:r w:rsidRPr="003E42B4">
        <w:rPr>
          <w:rFonts w:ascii="Times New Roman" w:eastAsia="Cambria" w:hAnsi="Times New Roman" w:cs="Times New Roman"/>
          <w:color w:val="auto"/>
          <w:sz w:val="24"/>
          <w:szCs w:val="24"/>
          <w:lang w:val="en-ID"/>
        </w:rPr>
        <w:t>analyzed</w:t>
      </w:r>
      <w:proofErr w:type="spellEnd"/>
      <w:r w:rsidRPr="003E42B4">
        <w:rPr>
          <w:rFonts w:ascii="Times New Roman" w:eastAsia="Cambria" w:hAnsi="Times New Roman" w:cs="Times New Roman"/>
          <w:color w:val="auto"/>
          <w:sz w:val="24"/>
          <w:szCs w:val="24"/>
          <w:lang w:val="en-ID"/>
        </w:rPr>
        <w:t xml:space="preserve"> using the Kruskal–</w:t>
      </w:r>
      <w:proofErr w:type="gramStart"/>
      <w:r w:rsidRPr="003E42B4">
        <w:rPr>
          <w:rFonts w:ascii="Times New Roman" w:eastAsia="Cambria" w:hAnsi="Times New Roman" w:cs="Times New Roman"/>
          <w:color w:val="auto"/>
          <w:sz w:val="24"/>
          <w:szCs w:val="24"/>
          <w:lang w:val="en-ID"/>
        </w:rPr>
        <w:t>Wallis</w:t>
      </w:r>
      <w:proofErr w:type="gramEnd"/>
      <w:r w:rsidRPr="003E42B4">
        <w:rPr>
          <w:rFonts w:ascii="Times New Roman" w:eastAsia="Cambria" w:hAnsi="Times New Roman" w:cs="Times New Roman"/>
          <w:color w:val="auto"/>
          <w:sz w:val="24"/>
          <w:szCs w:val="24"/>
          <w:lang w:val="en-ID"/>
        </w:rPr>
        <w:t xml:space="preserve"> test. A p-value of less than 0.05 was considered statistically significant.</w:t>
      </w:r>
    </w:p>
    <w:p w14:paraId="7C05ECA0" w14:textId="77777777" w:rsidR="003E42B4" w:rsidRPr="003E42B4" w:rsidRDefault="003E42B4" w:rsidP="003E42B4">
      <w:pPr>
        <w:rPr>
          <w:lang w:val="en-ID"/>
        </w:rPr>
      </w:pPr>
    </w:p>
    <w:p w14:paraId="4A14AB8D" w14:textId="279C170B" w:rsidR="006F05A4" w:rsidRPr="0003746C" w:rsidRDefault="006F05A4" w:rsidP="00712CA2">
      <w:pPr>
        <w:pStyle w:val="Heading1"/>
        <w:spacing w:before="200"/>
        <w:jc w:val="both"/>
        <w:rPr>
          <w:rFonts w:ascii="Times New Roman" w:hAnsi="Times New Roman" w:cs="Times New Roman"/>
          <w:b/>
          <w:bCs/>
          <w:color w:val="auto"/>
          <w:sz w:val="24"/>
          <w:szCs w:val="24"/>
        </w:rPr>
      </w:pPr>
      <w:r w:rsidRPr="0003746C">
        <w:rPr>
          <w:rFonts w:ascii="Times New Roman" w:hAnsi="Times New Roman" w:cs="Times New Roman"/>
          <w:b/>
          <w:bCs/>
          <w:color w:val="auto"/>
          <w:sz w:val="24"/>
          <w:szCs w:val="24"/>
        </w:rPr>
        <w:lastRenderedPageBreak/>
        <w:t>RESULTS</w:t>
      </w:r>
    </w:p>
    <w:p w14:paraId="5E885709" w14:textId="32F3B287" w:rsidR="0026505D" w:rsidRPr="0003746C" w:rsidRDefault="0026505D" w:rsidP="00712CA2">
      <w:pPr>
        <w:pStyle w:val="Heading1"/>
        <w:spacing w:before="200"/>
        <w:jc w:val="both"/>
        <w:rPr>
          <w:rFonts w:ascii="Times New Roman" w:hAnsi="Times New Roman" w:cs="Times New Roman"/>
          <w:color w:val="auto"/>
          <w:sz w:val="24"/>
          <w:szCs w:val="24"/>
        </w:rPr>
      </w:pPr>
      <w:r w:rsidRPr="0003746C">
        <w:rPr>
          <w:rFonts w:ascii="Times New Roman" w:hAnsi="Times New Roman" w:cs="Times New Roman"/>
          <w:color w:val="auto"/>
          <w:sz w:val="24"/>
          <w:szCs w:val="24"/>
        </w:rPr>
        <w:t xml:space="preserve">All mosquito populations from </w:t>
      </w:r>
      <w:proofErr w:type="spellStart"/>
      <w:r w:rsidRPr="0003746C">
        <w:rPr>
          <w:rFonts w:ascii="Times New Roman" w:hAnsi="Times New Roman" w:cs="Times New Roman"/>
          <w:color w:val="auto"/>
          <w:sz w:val="24"/>
          <w:szCs w:val="24"/>
        </w:rPr>
        <w:t>Poasia</w:t>
      </w:r>
      <w:proofErr w:type="spellEnd"/>
      <w:r w:rsidRPr="0003746C">
        <w:rPr>
          <w:rFonts w:ascii="Times New Roman" w:hAnsi="Times New Roman" w:cs="Times New Roman"/>
          <w:color w:val="auto"/>
          <w:sz w:val="24"/>
          <w:szCs w:val="24"/>
        </w:rPr>
        <w:t xml:space="preserve"> Subdistrict showed mean absorbance values below 0.700, indicating susceptibility to pyrethroid insecticides (Table 1).</w:t>
      </w:r>
    </w:p>
    <w:p w14:paraId="2F7FD89A" w14:textId="77777777" w:rsidR="0026505D" w:rsidRPr="0003746C" w:rsidRDefault="0026505D" w:rsidP="00712CA2">
      <w:pPr>
        <w:pStyle w:val="Heading1"/>
        <w:ind w:left="289"/>
        <w:jc w:val="center"/>
        <w:rPr>
          <w:rFonts w:ascii="Times New Roman" w:hAnsi="Times New Roman" w:cs="Times New Roman"/>
          <w:color w:val="auto"/>
          <w:sz w:val="24"/>
          <w:szCs w:val="24"/>
        </w:rPr>
      </w:pPr>
      <w:r w:rsidRPr="0003746C">
        <w:rPr>
          <w:rFonts w:ascii="Times New Roman" w:hAnsi="Times New Roman" w:cs="Times New Roman"/>
          <w:color w:val="auto"/>
          <w:sz w:val="24"/>
          <w:szCs w:val="24"/>
        </w:rPr>
        <w:t xml:space="preserve">Table 1. Biochemical Testing of </w:t>
      </w:r>
      <w:r w:rsidRPr="0003746C">
        <w:rPr>
          <w:rFonts w:ascii="Times New Roman" w:hAnsi="Times New Roman" w:cs="Times New Roman"/>
          <w:i/>
          <w:iCs/>
          <w:color w:val="auto"/>
          <w:sz w:val="24"/>
          <w:szCs w:val="24"/>
        </w:rPr>
        <w:t>Aedes spp.</w:t>
      </w:r>
      <w:r w:rsidRPr="0003746C">
        <w:rPr>
          <w:rFonts w:ascii="Times New Roman" w:hAnsi="Times New Roman" w:cs="Times New Roman"/>
          <w:color w:val="auto"/>
          <w:sz w:val="24"/>
          <w:szCs w:val="24"/>
        </w:rPr>
        <w:t xml:space="preserve"> Mosquitoes from </w:t>
      </w:r>
      <w:proofErr w:type="spellStart"/>
      <w:r w:rsidRPr="0003746C">
        <w:rPr>
          <w:rFonts w:ascii="Times New Roman" w:hAnsi="Times New Roman" w:cs="Times New Roman"/>
          <w:color w:val="auto"/>
          <w:sz w:val="24"/>
          <w:szCs w:val="24"/>
        </w:rPr>
        <w:t>Poasia</w:t>
      </w:r>
      <w:proofErr w:type="spellEnd"/>
      <w:r w:rsidRPr="0003746C">
        <w:rPr>
          <w:rFonts w:ascii="Times New Roman" w:hAnsi="Times New Roman" w:cs="Times New Roman"/>
          <w:color w:val="auto"/>
          <w:sz w:val="24"/>
          <w:szCs w:val="24"/>
        </w:rPr>
        <w:t xml:space="preserve">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268"/>
        <w:gridCol w:w="2403"/>
      </w:tblGrid>
      <w:tr w:rsidR="0026505D" w:rsidRPr="0003746C" w14:paraId="650E9F37" w14:textId="77777777" w:rsidTr="00277065">
        <w:trPr>
          <w:jc w:val="center"/>
        </w:trPr>
        <w:tc>
          <w:tcPr>
            <w:tcW w:w="2410" w:type="dxa"/>
            <w:tcBorders>
              <w:top w:val="single" w:sz="4" w:space="0" w:color="auto"/>
              <w:left w:val="nil"/>
              <w:bottom w:val="single" w:sz="4" w:space="0" w:color="auto"/>
              <w:right w:val="nil"/>
            </w:tcBorders>
            <w:vAlign w:val="center"/>
            <w:hideMark/>
          </w:tcPr>
          <w:p w14:paraId="56A547BD"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Subdistrict</w:t>
            </w:r>
          </w:p>
        </w:tc>
        <w:tc>
          <w:tcPr>
            <w:tcW w:w="2268" w:type="dxa"/>
            <w:tcBorders>
              <w:top w:val="single" w:sz="4" w:space="0" w:color="auto"/>
              <w:left w:val="nil"/>
              <w:bottom w:val="single" w:sz="4" w:space="0" w:color="auto"/>
              <w:right w:val="nil"/>
            </w:tcBorders>
            <w:vAlign w:val="center"/>
            <w:hideMark/>
          </w:tcPr>
          <w:p w14:paraId="1DBDF58E"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b/>
                <w:bCs/>
                <w:color w:val="auto"/>
                <w:sz w:val="24"/>
                <w:szCs w:val="24"/>
              </w:rPr>
              <w:t>n</w:t>
            </w:r>
          </w:p>
        </w:tc>
        <w:tc>
          <w:tcPr>
            <w:tcW w:w="2403" w:type="dxa"/>
            <w:tcBorders>
              <w:top w:val="single" w:sz="4" w:space="0" w:color="auto"/>
              <w:left w:val="nil"/>
              <w:bottom w:val="single" w:sz="4" w:space="0" w:color="auto"/>
              <w:right w:val="nil"/>
            </w:tcBorders>
            <w:vAlign w:val="center"/>
            <w:hideMark/>
          </w:tcPr>
          <w:p w14:paraId="1B81FE89"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Mean AV</w:t>
            </w:r>
          </w:p>
        </w:tc>
      </w:tr>
      <w:tr w:rsidR="0026505D" w:rsidRPr="0003746C" w14:paraId="01DF8F9B" w14:textId="77777777" w:rsidTr="00277065">
        <w:trPr>
          <w:jc w:val="center"/>
        </w:trPr>
        <w:tc>
          <w:tcPr>
            <w:tcW w:w="2410" w:type="dxa"/>
            <w:tcBorders>
              <w:top w:val="single" w:sz="4" w:space="0" w:color="auto"/>
              <w:left w:val="nil"/>
              <w:bottom w:val="nil"/>
              <w:right w:val="nil"/>
            </w:tcBorders>
            <w:hideMark/>
          </w:tcPr>
          <w:p w14:paraId="7CFEEBD3"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Andounohu</w:t>
            </w:r>
            <w:proofErr w:type="spellEnd"/>
          </w:p>
        </w:tc>
        <w:tc>
          <w:tcPr>
            <w:tcW w:w="2268" w:type="dxa"/>
            <w:tcBorders>
              <w:top w:val="single" w:sz="4" w:space="0" w:color="auto"/>
              <w:left w:val="nil"/>
              <w:bottom w:val="nil"/>
              <w:right w:val="nil"/>
            </w:tcBorders>
            <w:vAlign w:val="center"/>
            <w:hideMark/>
          </w:tcPr>
          <w:p w14:paraId="5AA9FE9A"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403" w:type="dxa"/>
            <w:tcBorders>
              <w:top w:val="single" w:sz="4" w:space="0" w:color="auto"/>
              <w:left w:val="nil"/>
              <w:bottom w:val="nil"/>
              <w:right w:val="nil"/>
            </w:tcBorders>
            <w:vAlign w:val="center"/>
            <w:hideMark/>
          </w:tcPr>
          <w:p w14:paraId="46994B03"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0.330</w:t>
            </w:r>
          </w:p>
        </w:tc>
      </w:tr>
      <w:tr w:rsidR="0026505D" w:rsidRPr="0003746C" w14:paraId="2620DF41" w14:textId="77777777" w:rsidTr="00277065">
        <w:trPr>
          <w:jc w:val="center"/>
        </w:trPr>
        <w:tc>
          <w:tcPr>
            <w:tcW w:w="2410" w:type="dxa"/>
            <w:hideMark/>
          </w:tcPr>
          <w:p w14:paraId="7894D4CB"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Rahandouna</w:t>
            </w:r>
            <w:proofErr w:type="spellEnd"/>
          </w:p>
        </w:tc>
        <w:tc>
          <w:tcPr>
            <w:tcW w:w="2268" w:type="dxa"/>
            <w:vAlign w:val="center"/>
            <w:hideMark/>
          </w:tcPr>
          <w:p w14:paraId="00B46564"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403" w:type="dxa"/>
            <w:vAlign w:val="center"/>
            <w:hideMark/>
          </w:tcPr>
          <w:p w14:paraId="23A25844"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0.419</w:t>
            </w:r>
          </w:p>
        </w:tc>
      </w:tr>
      <w:tr w:rsidR="0026505D" w:rsidRPr="0003746C" w14:paraId="3081B792" w14:textId="77777777" w:rsidTr="00277065">
        <w:trPr>
          <w:jc w:val="center"/>
        </w:trPr>
        <w:tc>
          <w:tcPr>
            <w:tcW w:w="2410" w:type="dxa"/>
            <w:hideMark/>
          </w:tcPr>
          <w:p w14:paraId="56218895"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Anggoeya</w:t>
            </w:r>
            <w:proofErr w:type="spellEnd"/>
          </w:p>
        </w:tc>
        <w:tc>
          <w:tcPr>
            <w:tcW w:w="2268" w:type="dxa"/>
            <w:vAlign w:val="center"/>
            <w:hideMark/>
          </w:tcPr>
          <w:p w14:paraId="5F8194A8"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403" w:type="dxa"/>
            <w:vAlign w:val="center"/>
            <w:hideMark/>
          </w:tcPr>
          <w:p w14:paraId="0930CEFF"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0.319</w:t>
            </w:r>
          </w:p>
        </w:tc>
      </w:tr>
      <w:tr w:rsidR="0026505D" w:rsidRPr="0003746C" w14:paraId="4510C92E" w14:textId="77777777" w:rsidTr="00277065">
        <w:trPr>
          <w:jc w:val="center"/>
        </w:trPr>
        <w:tc>
          <w:tcPr>
            <w:tcW w:w="2410" w:type="dxa"/>
            <w:hideMark/>
          </w:tcPr>
          <w:p w14:paraId="7B6C38F2"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Matabubu</w:t>
            </w:r>
            <w:proofErr w:type="spellEnd"/>
          </w:p>
        </w:tc>
        <w:tc>
          <w:tcPr>
            <w:tcW w:w="2268" w:type="dxa"/>
            <w:vAlign w:val="center"/>
            <w:hideMark/>
          </w:tcPr>
          <w:p w14:paraId="01D1A51D"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403" w:type="dxa"/>
            <w:vAlign w:val="center"/>
            <w:hideMark/>
          </w:tcPr>
          <w:p w14:paraId="62B7ED20"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0.423</w:t>
            </w:r>
          </w:p>
        </w:tc>
      </w:tr>
      <w:tr w:rsidR="0026505D" w:rsidRPr="0003746C" w14:paraId="1A5E2B05" w14:textId="77777777" w:rsidTr="00277065">
        <w:trPr>
          <w:jc w:val="center"/>
        </w:trPr>
        <w:tc>
          <w:tcPr>
            <w:tcW w:w="2410" w:type="dxa"/>
            <w:tcBorders>
              <w:top w:val="nil"/>
              <w:left w:val="nil"/>
              <w:bottom w:val="single" w:sz="4" w:space="0" w:color="auto"/>
              <w:right w:val="nil"/>
            </w:tcBorders>
            <w:hideMark/>
          </w:tcPr>
          <w:p w14:paraId="3002D16A"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Wundumbatu</w:t>
            </w:r>
            <w:proofErr w:type="spellEnd"/>
          </w:p>
        </w:tc>
        <w:tc>
          <w:tcPr>
            <w:tcW w:w="2268" w:type="dxa"/>
            <w:tcBorders>
              <w:top w:val="nil"/>
              <w:left w:val="nil"/>
              <w:bottom w:val="single" w:sz="4" w:space="0" w:color="auto"/>
              <w:right w:val="nil"/>
            </w:tcBorders>
            <w:vAlign w:val="center"/>
            <w:hideMark/>
          </w:tcPr>
          <w:p w14:paraId="772891F7"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403" w:type="dxa"/>
            <w:tcBorders>
              <w:top w:val="nil"/>
              <w:left w:val="nil"/>
              <w:bottom w:val="single" w:sz="4" w:space="0" w:color="auto"/>
              <w:right w:val="nil"/>
            </w:tcBorders>
            <w:vAlign w:val="center"/>
            <w:hideMark/>
          </w:tcPr>
          <w:p w14:paraId="6A74B55A"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0.432</w:t>
            </w:r>
          </w:p>
        </w:tc>
      </w:tr>
    </w:tbl>
    <w:p w14:paraId="2BA2B8F6" w14:textId="77777777" w:rsidR="005D4929" w:rsidRPr="0003746C" w:rsidRDefault="0026505D" w:rsidP="00712CA2">
      <w:pPr>
        <w:pStyle w:val="Heading1"/>
        <w:ind w:left="289"/>
        <w:jc w:val="both"/>
        <w:rPr>
          <w:rFonts w:ascii="Times New Roman" w:hAnsi="Times New Roman" w:cs="Times New Roman"/>
          <w:color w:val="auto"/>
          <w:sz w:val="24"/>
          <w:szCs w:val="24"/>
        </w:rPr>
      </w:pPr>
      <w:r w:rsidRPr="0003746C">
        <w:rPr>
          <w:rFonts w:ascii="Times New Roman" w:hAnsi="Times New Roman" w:cs="Times New Roman"/>
          <w:color w:val="auto"/>
          <w:sz w:val="24"/>
          <w:szCs w:val="24"/>
        </w:rPr>
        <w:t xml:space="preserve">Similarly, mosquito populations from </w:t>
      </w:r>
      <w:proofErr w:type="spellStart"/>
      <w:r w:rsidRPr="0003746C">
        <w:rPr>
          <w:rFonts w:ascii="Times New Roman" w:hAnsi="Times New Roman" w:cs="Times New Roman"/>
          <w:color w:val="auto"/>
          <w:sz w:val="24"/>
          <w:szCs w:val="24"/>
        </w:rPr>
        <w:t>Baruga</w:t>
      </w:r>
      <w:proofErr w:type="spellEnd"/>
      <w:r w:rsidRPr="0003746C">
        <w:rPr>
          <w:rFonts w:ascii="Times New Roman" w:hAnsi="Times New Roman" w:cs="Times New Roman"/>
          <w:color w:val="auto"/>
          <w:sz w:val="24"/>
          <w:szCs w:val="24"/>
        </w:rPr>
        <w:t xml:space="preserve"> Subdistrict were also classified as sensitive, with all mean absorbance values below 0.700 (Table 2).</w:t>
      </w:r>
    </w:p>
    <w:p w14:paraId="01917F9C" w14:textId="6F585ADD" w:rsidR="00D559F0" w:rsidRPr="0003746C" w:rsidRDefault="00D559F0" w:rsidP="00712CA2">
      <w:pPr>
        <w:pStyle w:val="Heading1"/>
        <w:ind w:left="289"/>
        <w:jc w:val="both"/>
        <w:rPr>
          <w:rFonts w:ascii="Times New Roman" w:hAnsi="Times New Roman" w:cs="Times New Roman"/>
          <w:color w:val="auto"/>
          <w:sz w:val="24"/>
          <w:szCs w:val="24"/>
        </w:rPr>
      </w:pPr>
      <w:r w:rsidRPr="0003746C">
        <w:rPr>
          <w:rFonts w:ascii="Times New Roman" w:hAnsi="Times New Roman" w:cs="Times New Roman"/>
          <w:color w:val="auto"/>
          <w:sz w:val="24"/>
          <w:szCs w:val="24"/>
        </w:rPr>
        <w:t xml:space="preserve">Table 2. Biochemical Testing of </w:t>
      </w:r>
      <w:r w:rsidRPr="0003746C">
        <w:rPr>
          <w:rFonts w:ascii="Times New Roman" w:hAnsi="Times New Roman" w:cs="Times New Roman"/>
          <w:i/>
          <w:iCs/>
          <w:color w:val="auto"/>
          <w:sz w:val="24"/>
          <w:szCs w:val="24"/>
        </w:rPr>
        <w:t>Aedes spp</w:t>
      </w:r>
      <w:r w:rsidRPr="0003746C">
        <w:rPr>
          <w:rFonts w:ascii="Times New Roman" w:hAnsi="Times New Roman" w:cs="Times New Roman"/>
          <w:color w:val="auto"/>
          <w:sz w:val="24"/>
          <w:szCs w:val="24"/>
        </w:rPr>
        <w:t xml:space="preserve">. Mosquitoes from </w:t>
      </w:r>
      <w:proofErr w:type="spellStart"/>
      <w:r w:rsidRPr="0003746C">
        <w:rPr>
          <w:rFonts w:ascii="Times New Roman" w:hAnsi="Times New Roman" w:cs="Times New Roman"/>
          <w:color w:val="auto"/>
          <w:sz w:val="24"/>
          <w:szCs w:val="24"/>
        </w:rPr>
        <w:t>Baruga</w:t>
      </w:r>
      <w:proofErr w:type="spellEnd"/>
      <w:r w:rsidRPr="0003746C">
        <w:rPr>
          <w:rFonts w:ascii="Times New Roman" w:hAnsi="Times New Roman" w:cs="Times New Roman"/>
          <w:color w:val="auto"/>
          <w:sz w:val="24"/>
          <w:szCs w:val="24"/>
        </w:rPr>
        <w:t xml:space="preserve"> Subdistrict</w:t>
      </w:r>
    </w:p>
    <w:tbl>
      <w:tblPr>
        <w:tblStyle w:val="TableGrid"/>
        <w:tblW w:w="0" w:type="auto"/>
        <w:jc w:val="center"/>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2410"/>
        <w:gridCol w:w="2170"/>
        <w:gridCol w:w="2643"/>
      </w:tblGrid>
      <w:tr w:rsidR="0026505D" w:rsidRPr="0003746C" w14:paraId="2FBA4E83" w14:textId="77777777" w:rsidTr="00277065">
        <w:trPr>
          <w:jc w:val="center"/>
        </w:trPr>
        <w:tc>
          <w:tcPr>
            <w:tcW w:w="2410" w:type="dxa"/>
            <w:tcBorders>
              <w:top w:val="single" w:sz="4" w:space="0" w:color="auto"/>
              <w:left w:val="nil"/>
              <w:bottom w:val="single" w:sz="4" w:space="0" w:color="auto"/>
              <w:right w:val="nil"/>
            </w:tcBorders>
            <w:vAlign w:val="center"/>
            <w:hideMark/>
          </w:tcPr>
          <w:p w14:paraId="3CCFB803"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Village</w:t>
            </w:r>
          </w:p>
        </w:tc>
        <w:tc>
          <w:tcPr>
            <w:tcW w:w="2170" w:type="dxa"/>
            <w:tcBorders>
              <w:top w:val="single" w:sz="4" w:space="0" w:color="auto"/>
              <w:left w:val="nil"/>
              <w:bottom w:val="single" w:sz="4" w:space="0" w:color="auto"/>
              <w:right w:val="nil"/>
            </w:tcBorders>
            <w:vAlign w:val="center"/>
            <w:hideMark/>
          </w:tcPr>
          <w:p w14:paraId="07D32E00"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n</w:t>
            </w:r>
          </w:p>
        </w:tc>
        <w:tc>
          <w:tcPr>
            <w:tcW w:w="2643" w:type="dxa"/>
            <w:tcBorders>
              <w:top w:val="single" w:sz="4" w:space="0" w:color="auto"/>
              <w:left w:val="nil"/>
              <w:bottom w:val="single" w:sz="4" w:space="0" w:color="auto"/>
              <w:right w:val="nil"/>
            </w:tcBorders>
            <w:vAlign w:val="center"/>
            <w:hideMark/>
          </w:tcPr>
          <w:p w14:paraId="4B98607C"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b/>
                <w:bCs/>
                <w:color w:val="auto"/>
                <w:sz w:val="24"/>
                <w:szCs w:val="24"/>
              </w:rPr>
              <w:t xml:space="preserve">Mean </w:t>
            </w:r>
            <w:r w:rsidRPr="0003746C">
              <w:rPr>
                <w:rFonts w:ascii="Times New Roman" w:hAnsi="Times New Roman" w:cs="Times New Roman"/>
                <w:color w:val="auto"/>
                <w:sz w:val="24"/>
                <w:szCs w:val="24"/>
              </w:rPr>
              <w:t>AV</w:t>
            </w:r>
          </w:p>
        </w:tc>
      </w:tr>
      <w:tr w:rsidR="0026505D" w:rsidRPr="0003746C" w14:paraId="01E7D642" w14:textId="77777777" w:rsidTr="00277065">
        <w:trPr>
          <w:jc w:val="center"/>
        </w:trPr>
        <w:tc>
          <w:tcPr>
            <w:tcW w:w="2410" w:type="dxa"/>
            <w:tcBorders>
              <w:top w:val="single" w:sz="4" w:space="0" w:color="auto"/>
              <w:left w:val="nil"/>
              <w:bottom w:val="nil"/>
              <w:right w:val="nil"/>
            </w:tcBorders>
            <w:vAlign w:val="center"/>
            <w:hideMark/>
          </w:tcPr>
          <w:p w14:paraId="1962CCC9"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Baruga</w:t>
            </w:r>
            <w:proofErr w:type="spellEnd"/>
          </w:p>
        </w:tc>
        <w:tc>
          <w:tcPr>
            <w:tcW w:w="2170" w:type="dxa"/>
            <w:tcBorders>
              <w:top w:val="single" w:sz="4" w:space="0" w:color="auto"/>
              <w:left w:val="nil"/>
              <w:bottom w:val="nil"/>
              <w:right w:val="nil"/>
            </w:tcBorders>
            <w:vAlign w:val="center"/>
            <w:hideMark/>
          </w:tcPr>
          <w:p w14:paraId="7E5702A6"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643" w:type="dxa"/>
            <w:tcBorders>
              <w:top w:val="single" w:sz="4" w:space="0" w:color="auto"/>
              <w:left w:val="nil"/>
              <w:bottom w:val="nil"/>
              <w:right w:val="nil"/>
            </w:tcBorders>
            <w:vAlign w:val="center"/>
            <w:hideMark/>
          </w:tcPr>
          <w:p w14:paraId="6B0D8D05"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0.224</w:t>
            </w:r>
          </w:p>
        </w:tc>
      </w:tr>
      <w:tr w:rsidR="0026505D" w:rsidRPr="0003746C" w14:paraId="22400C11" w14:textId="77777777" w:rsidTr="00277065">
        <w:trPr>
          <w:jc w:val="center"/>
        </w:trPr>
        <w:tc>
          <w:tcPr>
            <w:tcW w:w="2410" w:type="dxa"/>
            <w:vAlign w:val="center"/>
            <w:hideMark/>
          </w:tcPr>
          <w:p w14:paraId="36134292"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Lepo-</w:t>
            </w:r>
            <w:proofErr w:type="spellStart"/>
            <w:r w:rsidRPr="0003746C">
              <w:rPr>
                <w:rFonts w:ascii="Times New Roman" w:hAnsi="Times New Roman" w:cs="Times New Roman"/>
                <w:color w:val="auto"/>
                <w:sz w:val="24"/>
                <w:szCs w:val="24"/>
              </w:rPr>
              <w:t>lepo</w:t>
            </w:r>
            <w:proofErr w:type="spellEnd"/>
          </w:p>
        </w:tc>
        <w:tc>
          <w:tcPr>
            <w:tcW w:w="2170" w:type="dxa"/>
            <w:vAlign w:val="center"/>
            <w:hideMark/>
          </w:tcPr>
          <w:p w14:paraId="1BEDB568"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643" w:type="dxa"/>
            <w:vAlign w:val="center"/>
            <w:hideMark/>
          </w:tcPr>
          <w:p w14:paraId="09552383"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0.260</w:t>
            </w:r>
          </w:p>
        </w:tc>
      </w:tr>
      <w:tr w:rsidR="0026505D" w:rsidRPr="0003746C" w14:paraId="7E18FF93" w14:textId="77777777" w:rsidTr="00277065">
        <w:trPr>
          <w:jc w:val="center"/>
        </w:trPr>
        <w:tc>
          <w:tcPr>
            <w:tcW w:w="2410" w:type="dxa"/>
            <w:vAlign w:val="center"/>
            <w:hideMark/>
          </w:tcPr>
          <w:p w14:paraId="0E1BB9DA"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Watubangga</w:t>
            </w:r>
            <w:proofErr w:type="spellEnd"/>
          </w:p>
        </w:tc>
        <w:tc>
          <w:tcPr>
            <w:tcW w:w="2170" w:type="dxa"/>
            <w:vAlign w:val="center"/>
            <w:hideMark/>
          </w:tcPr>
          <w:p w14:paraId="58B59338"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643" w:type="dxa"/>
            <w:vAlign w:val="center"/>
            <w:hideMark/>
          </w:tcPr>
          <w:p w14:paraId="48DDBFEF"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0.291</w:t>
            </w:r>
          </w:p>
        </w:tc>
      </w:tr>
      <w:tr w:rsidR="0026505D" w:rsidRPr="0003746C" w14:paraId="1FF686E6" w14:textId="77777777" w:rsidTr="00277065">
        <w:trPr>
          <w:jc w:val="center"/>
        </w:trPr>
        <w:tc>
          <w:tcPr>
            <w:tcW w:w="2410" w:type="dxa"/>
            <w:tcBorders>
              <w:top w:val="nil"/>
              <w:left w:val="nil"/>
              <w:bottom w:val="single" w:sz="4" w:space="0" w:color="auto"/>
              <w:right w:val="nil"/>
            </w:tcBorders>
            <w:vAlign w:val="center"/>
            <w:hideMark/>
          </w:tcPr>
          <w:p w14:paraId="20119CBF"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proofErr w:type="spellStart"/>
            <w:r w:rsidRPr="0003746C">
              <w:rPr>
                <w:rFonts w:ascii="Times New Roman" w:hAnsi="Times New Roman" w:cs="Times New Roman"/>
                <w:color w:val="auto"/>
                <w:sz w:val="24"/>
                <w:szCs w:val="24"/>
              </w:rPr>
              <w:t>Wundudopi</w:t>
            </w:r>
            <w:proofErr w:type="spellEnd"/>
          </w:p>
        </w:tc>
        <w:tc>
          <w:tcPr>
            <w:tcW w:w="2170" w:type="dxa"/>
            <w:tcBorders>
              <w:top w:val="nil"/>
              <w:left w:val="nil"/>
              <w:bottom w:val="single" w:sz="4" w:space="0" w:color="auto"/>
              <w:right w:val="nil"/>
            </w:tcBorders>
            <w:vAlign w:val="center"/>
            <w:hideMark/>
          </w:tcPr>
          <w:p w14:paraId="5EB7060E"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30</w:t>
            </w:r>
          </w:p>
        </w:tc>
        <w:tc>
          <w:tcPr>
            <w:tcW w:w="2643" w:type="dxa"/>
            <w:tcBorders>
              <w:top w:val="nil"/>
              <w:left w:val="nil"/>
              <w:bottom w:val="single" w:sz="4" w:space="0" w:color="auto"/>
              <w:right w:val="nil"/>
            </w:tcBorders>
            <w:vAlign w:val="center"/>
            <w:hideMark/>
          </w:tcPr>
          <w:p w14:paraId="2E70298B" w14:textId="77777777" w:rsidR="0026505D" w:rsidRPr="0003746C" w:rsidRDefault="0026505D" w:rsidP="00712CA2">
            <w:pPr>
              <w:pStyle w:val="Heading1"/>
              <w:spacing w:before="0"/>
              <w:ind w:left="289"/>
              <w:rPr>
                <w:rFonts w:ascii="Times New Roman" w:hAnsi="Times New Roman" w:cs="Times New Roman"/>
                <w:b/>
                <w:bCs/>
                <w:color w:val="auto"/>
                <w:sz w:val="24"/>
                <w:szCs w:val="24"/>
              </w:rPr>
            </w:pPr>
            <w:r w:rsidRPr="0003746C">
              <w:rPr>
                <w:rFonts w:ascii="Times New Roman" w:hAnsi="Times New Roman" w:cs="Times New Roman"/>
                <w:color w:val="auto"/>
                <w:sz w:val="24"/>
                <w:szCs w:val="24"/>
              </w:rPr>
              <w:t>0.188</w:t>
            </w:r>
          </w:p>
        </w:tc>
      </w:tr>
    </w:tbl>
    <w:p w14:paraId="637E52BC" w14:textId="3A57891C" w:rsidR="005D4929" w:rsidRPr="0003746C" w:rsidRDefault="0026505D" w:rsidP="00712CA2">
      <w:pPr>
        <w:pStyle w:val="Heading1"/>
        <w:ind w:left="289"/>
        <w:jc w:val="both"/>
        <w:rPr>
          <w:rFonts w:ascii="Times New Roman" w:hAnsi="Times New Roman" w:cs="Times New Roman"/>
          <w:color w:val="auto"/>
          <w:sz w:val="24"/>
          <w:szCs w:val="24"/>
          <w:lang w:val="en-ID"/>
        </w:rPr>
        <w:sectPr w:rsidR="005D4929" w:rsidRPr="0003746C" w:rsidSect="006F05A4">
          <w:pgSz w:w="11906" w:h="16838" w:code="9"/>
          <w:pgMar w:top="1418" w:right="1418" w:bottom="1418" w:left="1418" w:header="709" w:footer="709" w:gutter="0"/>
          <w:cols w:space="708"/>
          <w:docGrid w:linePitch="360"/>
        </w:sectPr>
      </w:pPr>
      <w:r w:rsidRPr="0003746C">
        <w:rPr>
          <w:rFonts w:ascii="Times New Roman" w:hAnsi="Times New Roman" w:cs="Times New Roman"/>
          <w:color w:val="auto"/>
          <w:sz w:val="24"/>
          <w:szCs w:val="24"/>
          <w:lang w:val="en-ID"/>
        </w:rPr>
        <w:t xml:space="preserve">A statistically significant difference in non-specific esterase enzyme activity was observed between </w:t>
      </w:r>
      <w:proofErr w:type="spellStart"/>
      <w:r w:rsidRPr="0003746C">
        <w:rPr>
          <w:rFonts w:ascii="Times New Roman" w:hAnsi="Times New Roman" w:cs="Times New Roman"/>
          <w:color w:val="auto"/>
          <w:sz w:val="24"/>
          <w:szCs w:val="24"/>
          <w:lang w:val="en-ID"/>
        </w:rPr>
        <w:t>Poasia</w:t>
      </w:r>
      <w:proofErr w:type="spellEnd"/>
      <w:r w:rsidRPr="0003746C">
        <w:rPr>
          <w:rFonts w:ascii="Times New Roman" w:hAnsi="Times New Roman" w:cs="Times New Roman"/>
          <w:color w:val="auto"/>
          <w:sz w:val="24"/>
          <w:szCs w:val="24"/>
          <w:lang w:val="en-ID"/>
        </w:rPr>
        <w:t xml:space="preserve"> and </w:t>
      </w:r>
      <w:proofErr w:type="spellStart"/>
      <w:r w:rsidRPr="0003746C">
        <w:rPr>
          <w:rFonts w:ascii="Times New Roman" w:hAnsi="Times New Roman" w:cs="Times New Roman"/>
          <w:color w:val="auto"/>
          <w:sz w:val="24"/>
          <w:szCs w:val="24"/>
          <w:lang w:val="en-ID"/>
        </w:rPr>
        <w:t>Baruga</w:t>
      </w:r>
      <w:proofErr w:type="spellEnd"/>
      <w:r w:rsidRPr="0003746C">
        <w:rPr>
          <w:rFonts w:ascii="Times New Roman" w:hAnsi="Times New Roman" w:cs="Times New Roman"/>
          <w:color w:val="auto"/>
          <w:sz w:val="24"/>
          <w:szCs w:val="24"/>
          <w:lang w:val="en-ID"/>
        </w:rPr>
        <w:t xml:space="preserve"> Subdistricts (p &lt; 0.001). In addition, significant differences in enzyme activity were found among villages within both subdistricts (p &lt; 0.001).</w:t>
      </w:r>
    </w:p>
    <w:p w14:paraId="475E8AA8" w14:textId="77777777" w:rsidR="0026505D" w:rsidRPr="0003746C" w:rsidRDefault="0026505D" w:rsidP="00712CA2">
      <w:pPr>
        <w:spacing w:before="60"/>
        <w:outlineLvl w:val="0"/>
        <w:rPr>
          <w:b/>
          <w:bCs/>
          <w:color w:val="000000"/>
        </w:rPr>
      </w:pPr>
      <w:r w:rsidRPr="0003746C">
        <w:rPr>
          <w:b/>
          <w:bCs/>
          <w:color w:val="000000"/>
        </w:rPr>
        <w:lastRenderedPageBreak/>
        <w:t>DISCUSSION</w:t>
      </w:r>
    </w:p>
    <w:p w14:paraId="1C2B12CD" w14:textId="77777777" w:rsidR="003E42B4" w:rsidRPr="003E42B4" w:rsidRDefault="003E42B4" w:rsidP="00BE321E">
      <w:pPr>
        <w:spacing w:before="60" w:after="200"/>
        <w:jc w:val="both"/>
        <w:outlineLvl w:val="0"/>
        <w:rPr>
          <w:lang w:val="en-ID"/>
        </w:rPr>
      </w:pPr>
      <w:r w:rsidRPr="003E42B4">
        <w:rPr>
          <w:lang w:val="en-ID"/>
        </w:rPr>
        <w:t xml:space="preserve">The present study demonstrated that </w:t>
      </w:r>
      <w:r w:rsidRPr="003E42B4">
        <w:rPr>
          <w:i/>
          <w:iCs/>
          <w:lang w:val="en-ID"/>
        </w:rPr>
        <w:t>Aedes</w:t>
      </w:r>
      <w:r w:rsidRPr="003E42B4">
        <w:rPr>
          <w:lang w:val="en-ID"/>
        </w:rPr>
        <w:t xml:space="preserve"> spp. mosquito populations from both </w:t>
      </w:r>
      <w:proofErr w:type="spellStart"/>
      <w:r w:rsidRPr="003E42B4">
        <w:rPr>
          <w:lang w:val="en-ID"/>
        </w:rPr>
        <w:t>Poasia</w:t>
      </w:r>
      <w:proofErr w:type="spellEnd"/>
      <w:r w:rsidRPr="003E42B4">
        <w:rPr>
          <w:lang w:val="en-ID"/>
        </w:rPr>
        <w:t xml:space="preserve"> and </w:t>
      </w:r>
      <w:proofErr w:type="spellStart"/>
      <w:r w:rsidRPr="003E42B4">
        <w:rPr>
          <w:lang w:val="en-ID"/>
        </w:rPr>
        <w:t>Baruga</w:t>
      </w:r>
      <w:proofErr w:type="spellEnd"/>
      <w:r w:rsidRPr="003E42B4">
        <w:rPr>
          <w:lang w:val="en-ID"/>
        </w:rPr>
        <w:t xml:space="preserve"> Subdistricts remain susceptible to pyrethroid insecticides, as indicated by absorbance values below the established threshold. These findings suggest that pyrethroid-based fogging interventions are still effective in reducing adult mosquito populations in the study areas.</w:t>
      </w:r>
    </w:p>
    <w:p w14:paraId="3B7CF56D" w14:textId="77777777" w:rsidR="003E42B4" w:rsidRPr="003E42B4" w:rsidRDefault="003E42B4" w:rsidP="00BE321E">
      <w:pPr>
        <w:spacing w:before="60" w:after="200"/>
        <w:jc w:val="both"/>
        <w:outlineLvl w:val="0"/>
        <w:rPr>
          <w:lang w:val="en-ID"/>
        </w:rPr>
      </w:pPr>
      <w:r w:rsidRPr="003E42B4">
        <w:rPr>
          <w:lang w:val="en-ID"/>
        </w:rPr>
        <w:t xml:space="preserve">Despite this overall susceptibility, a statistically significant difference in non-specific esterase enzyme activity was observed between subdistricts and among villages. Although all mosquito populations were still categorized as sensitive, the variation in enzyme activity may reflect early biochemical adaptation within the mosquito populations. Such changes are important because metabolic detoxification, particularly through elevated esterase activity, has been widely recognized as one of the primary mechanisms underlying insecticide resistance in </w:t>
      </w:r>
      <w:r w:rsidRPr="003E42B4">
        <w:rPr>
          <w:i/>
          <w:iCs/>
          <w:lang w:val="en-ID"/>
        </w:rPr>
        <w:t>Aedes</w:t>
      </w:r>
      <w:r w:rsidRPr="003E42B4">
        <w:rPr>
          <w:lang w:val="en-ID"/>
        </w:rPr>
        <w:t xml:space="preserve"> </w:t>
      </w:r>
      <w:proofErr w:type="gramStart"/>
      <w:r w:rsidRPr="003E42B4">
        <w:rPr>
          <w:lang w:val="en-ID"/>
        </w:rPr>
        <w:t>mosquitoes.⁵</w:t>
      </w:r>
      <w:proofErr w:type="gramEnd"/>
      <w:r w:rsidRPr="003E42B4">
        <w:rPr>
          <w:lang w:val="en-ID"/>
        </w:rPr>
        <w:t>˒⁸</w:t>
      </w:r>
    </w:p>
    <w:p w14:paraId="43E01DDB" w14:textId="77777777" w:rsidR="003E42B4" w:rsidRPr="003E42B4" w:rsidRDefault="003E42B4" w:rsidP="00BE321E">
      <w:pPr>
        <w:spacing w:before="60" w:after="200"/>
        <w:jc w:val="both"/>
        <w:outlineLvl w:val="0"/>
        <w:rPr>
          <w:lang w:val="en-ID"/>
        </w:rPr>
      </w:pPr>
      <w:r w:rsidRPr="003E42B4">
        <w:rPr>
          <w:lang w:val="en-ID"/>
        </w:rPr>
        <w:t xml:space="preserve">The absence of resistance in the present study may be associated with the relatively limited duration or intensity of pyrethroid use in Kendari City. Previous studies have reported that resistance in </w:t>
      </w:r>
      <w:r w:rsidRPr="003E42B4">
        <w:rPr>
          <w:i/>
          <w:iCs/>
          <w:lang w:val="en-ID"/>
        </w:rPr>
        <w:t>Aedes aegypti</w:t>
      </w:r>
      <w:r w:rsidRPr="003E42B4">
        <w:rPr>
          <w:lang w:val="en-ID"/>
        </w:rPr>
        <w:t xml:space="preserve"> typically develops following prolonged and repeated exposure to insecticides, often over several </w:t>
      </w:r>
      <w:proofErr w:type="gramStart"/>
      <w:r w:rsidRPr="003E42B4">
        <w:rPr>
          <w:lang w:val="en-ID"/>
        </w:rPr>
        <w:t>years.¹</w:t>
      </w:r>
      <w:proofErr w:type="gramEnd"/>
      <w:r w:rsidRPr="003E42B4">
        <w:rPr>
          <w:lang w:val="en-ID"/>
        </w:rPr>
        <w:t xml:space="preserve">¹˒¹² </w:t>
      </w:r>
      <w:proofErr w:type="gramStart"/>
      <w:r w:rsidRPr="003E42B4">
        <w:rPr>
          <w:lang w:val="en-ID"/>
        </w:rPr>
        <w:t>In</w:t>
      </w:r>
      <w:proofErr w:type="gramEnd"/>
      <w:r w:rsidRPr="003E42B4">
        <w:rPr>
          <w:lang w:val="en-ID"/>
        </w:rPr>
        <w:t xml:space="preserve"> this context, the continued susceptibility observed in the study area may indicate that the selection pressure has not yet reached a critical level sufficient to induce phenotypic resistance.</w:t>
      </w:r>
    </w:p>
    <w:p w14:paraId="07E62A70" w14:textId="77777777" w:rsidR="003E42B4" w:rsidRPr="003E42B4" w:rsidRDefault="003E42B4" w:rsidP="00BE321E">
      <w:pPr>
        <w:spacing w:before="60" w:after="200"/>
        <w:jc w:val="both"/>
        <w:outlineLvl w:val="0"/>
        <w:rPr>
          <w:lang w:val="en-ID"/>
        </w:rPr>
      </w:pPr>
      <w:r w:rsidRPr="003E42B4">
        <w:rPr>
          <w:lang w:val="en-ID"/>
        </w:rPr>
        <w:t xml:space="preserve">In addition, the observed differences in enzyme activity among villages may be influenced by local environmental and operational factors. Variations in insecticide application practices, frequency of fogging, and community-level exposure could contribute to heterogeneous selection pressure across locations. Furthermore, ecological conditions and genetic variability within mosquito populations may also play a role in shaping enzyme activity </w:t>
      </w:r>
      <w:proofErr w:type="gramStart"/>
      <w:r w:rsidRPr="003E42B4">
        <w:rPr>
          <w:lang w:val="en-ID"/>
        </w:rPr>
        <w:t>profiles.¹</w:t>
      </w:r>
      <w:proofErr w:type="gramEnd"/>
      <w:r w:rsidRPr="003E42B4">
        <w:rPr>
          <w:lang w:val="en-ID"/>
        </w:rPr>
        <w:t xml:space="preserve">³˒¹⁴ </w:t>
      </w:r>
      <w:proofErr w:type="gramStart"/>
      <w:r w:rsidRPr="003E42B4">
        <w:rPr>
          <w:lang w:val="en-ID"/>
        </w:rPr>
        <w:t>The</w:t>
      </w:r>
      <w:proofErr w:type="gramEnd"/>
      <w:r w:rsidRPr="003E42B4">
        <w:rPr>
          <w:lang w:val="en-ID"/>
        </w:rPr>
        <w:t xml:space="preserve"> movement of mosquitoes between adjacent areas may further facilitate the spread of resistance-associated traits, potentially leading to future resistance development if not properly </w:t>
      </w:r>
      <w:proofErr w:type="gramStart"/>
      <w:r w:rsidRPr="003E42B4">
        <w:rPr>
          <w:lang w:val="en-ID"/>
        </w:rPr>
        <w:t>managed.¹</w:t>
      </w:r>
      <w:proofErr w:type="gramEnd"/>
      <w:r w:rsidRPr="003E42B4">
        <w:rPr>
          <w:lang w:val="en-ID"/>
        </w:rPr>
        <w:t>⁵</w:t>
      </w:r>
    </w:p>
    <w:p w14:paraId="23F6AFEE" w14:textId="77777777" w:rsidR="003E42B4" w:rsidRPr="003E42B4" w:rsidRDefault="003E42B4" w:rsidP="00BE321E">
      <w:pPr>
        <w:spacing w:before="60" w:after="200"/>
        <w:jc w:val="both"/>
        <w:outlineLvl w:val="0"/>
        <w:rPr>
          <w:lang w:val="en-ID"/>
        </w:rPr>
      </w:pPr>
      <w:r w:rsidRPr="003E42B4">
        <w:rPr>
          <w:lang w:val="en-ID"/>
        </w:rPr>
        <w:t>From a public health perspective, the findings of this study provide important implications for dengue control programs. The current effectiveness of pyrethroid insecticides supports their continued use in vector control interventions. However, the presence of variation in enzyme activity highlights the need for ongoing surveillance. Early detection of biochemical changes is crucial, as it allows for timely implementation of resistance management strategies, such as rotation of insecticide classes or integration with non-chemical control methods.</w:t>
      </w:r>
    </w:p>
    <w:p w14:paraId="49C7FB80" w14:textId="77777777" w:rsidR="003E42B4" w:rsidRPr="003E42B4" w:rsidRDefault="003E42B4" w:rsidP="00BE321E">
      <w:pPr>
        <w:spacing w:before="60" w:after="200"/>
        <w:jc w:val="both"/>
        <w:outlineLvl w:val="0"/>
        <w:rPr>
          <w:lang w:val="en-ID"/>
        </w:rPr>
      </w:pPr>
      <w:r w:rsidRPr="003E42B4">
        <w:rPr>
          <w:lang w:val="en-ID"/>
        </w:rPr>
        <w:t>It is also important to consider that failure to detect early resistance may compromise vector control effectiveness and increase the risk of dengue transmission. In endemic settings, reduced efficacy of insecticides may lead to higher mosquito survival rates, ultimately contributing to sustained or increased disease incidence.</w:t>
      </w:r>
    </w:p>
    <w:p w14:paraId="180846A1" w14:textId="77777777" w:rsidR="003E42B4" w:rsidRPr="003E42B4" w:rsidRDefault="003E42B4" w:rsidP="00BE321E">
      <w:pPr>
        <w:spacing w:before="60" w:after="200"/>
        <w:jc w:val="both"/>
        <w:outlineLvl w:val="0"/>
        <w:rPr>
          <w:lang w:val="en-ID"/>
        </w:rPr>
      </w:pPr>
      <w:r w:rsidRPr="003E42B4">
        <w:rPr>
          <w:lang w:val="en-ID"/>
        </w:rPr>
        <w:t>This study has several limitations. The assessment of susceptibility was based solely on biochemical analysis without confirmation through standard WHO bioassays. While biochemical methods provide valuable insights into underlying resistance mechanisms, they may not fully reflect phenotypic resistance. Therefore, future studies incorporating both biochemical and bioassay approaches are recommended to obtain a more comprehensive understanding of insecticide resistance status.</w:t>
      </w:r>
    </w:p>
    <w:p w14:paraId="618B5C0F" w14:textId="77777777" w:rsidR="00DE70DF" w:rsidRPr="0003746C" w:rsidRDefault="00DE70DF" w:rsidP="00712CA2">
      <w:pPr>
        <w:spacing w:before="60" w:after="200"/>
        <w:outlineLvl w:val="0"/>
        <w:rPr>
          <w:b/>
          <w:bCs/>
          <w:color w:val="000000"/>
        </w:rPr>
        <w:sectPr w:rsidR="00DE70DF" w:rsidRPr="0003746C" w:rsidSect="006F05A4">
          <w:pgSz w:w="11906" w:h="16838" w:code="9"/>
          <w:pgMar w:top="1418" w:right="1418" w:bottom="1418" w:left="1418" w:header="709" w:footer="709" w:gutter="0"/>
          <w:cols w:space="708"/>
          <w:docGrid w:linePitch="360"/>
        </w:sectPr>
      </w:pPr>
    </w:p>
    <w:p w14:paraId="093A86A5" w14:textId="60E458ED" w:rsidR="00BE321E" w:rsidRPr="00BE321E" w:rsidRDefault="00BE321E" w:rsidP="00BE321E">
      <w:pPr>
        <w:pStyle w:val="Heading1"/>
        <w:widowControl w:val="0"/>
        <w:autoSpaceDE w:val="0"/>
        <w:autoSpaceDN w:val="0"/>
        <w:spacing w:before="79" w:after="0"/>
        <w:jc w:val="both"/>
        <w:rPr>
          <w:rFonts w:ascii="Times New Roman" w:eastAsia="Cambria" w:hAnsi="Times New Roman" w:cs="Times New Roman"/>
          <w:b/>
          <w:bCs/>
          <w:color w:val="auto"/>
          <w:sz w:val="24"/>
          <w:szCs w:val="24"/>
          <w:lang w:val="en-ID"/>
        </w:rPr>
      </w:pPr>
      <w:r w:rsidRPr="00BE321E">
        <w:rPr>
          <w:rFonts w:ascii="Times New Roman" w:eastAsia="Cambria" w:hAnsi="Times New Roman" w:cs="Times New Roman"/>
          <w:b/>
          <w:bCs/>
          <w:color w:val="auto"/>
          <w:sz w:val="24"/>
          <w:szCs w:val="24"/>
          <w:lang w:val="en-ID"/>
        </w:rPr>
        <w:lastRenderedPageBreak/>
        <w:t>CONCLUSION</w:t>
      </w:r>
    </w:p>
    <w:p w14:paraId="15C6ED39" w14:textId="40EAC2A8" w:rsidR="00BE321E" w:rsidRPr="00BE321E" w:rsidRDefault="00BE321E" w:rsidP="00BE321E">
      <w:pPr>
        <w:pStyle w:val="Heading1"/>
        <w:widowControl w:val="0"/>
        <w:autoSpaceDE w:val="0"/>
        <w:autoSpaceDN w:val="0"/>
        <w:spacing w:before="79" w:after="0"/>
        <w:jc w:val="both"/>
        <w:rPr>
          <w:rFonts w:ascii="Times New Roman" w:eastAsia="Cambria" w:hAnsi="Times New Roman" w:cs="Times New Roman"/>
          <w:color w:val="auto"/>
          <w:sz w:val="24"/>
          <w:szCs w:val="24"/>
          <w:lang w:val="en-ID"/>
        </w:rPr>
      </w:pPr>
      <w:r w:rsidRPr="00BE321E">
        <w:rPr>
          <w:rFonts w:ascii="Times New Roman" w:eastAsia="Cambria" w:hAnsi="Times New Roman" w:cs="Times New Roman"/>
          <w:color w:val="auto"/>
          <w:sz w:val="24"/>
          <w:szCs w:val="24"/>
          <w:lang w:val="en-ID"/>
        </w:rPr>
        <w:t xml:space="preserve">The findings of this study indicate that Aedes spp. mosquito populations in </w:t>
      </w:r>
      <w:proofErr w:type="spellStart"/>
      <w:r w:rsidRPr="00BE321E">
        <w:rPr>
          <w:rFonts w:ascii="Times New Roman" w:eastAsia="Cambria" w:hAnsi="Times New Roman" w:cs="Times New Roman"/>
          <w:color w:val="auto"/>
          <w:sz w:val="24"/>
          <w:szCs w:val="24"/>
          <w:lang w:val="en-ID"/>
        </w:rPr>
        <w:t>Poasia</w:t>
      </w:r>
      <w:proofErr w:type="spellEnd"/>
      <w:r w:rsidRPr="00BE321E">
        <w:rPr>
          <w:rFonts w:ascii="Times New Roman" w:eastAsia="Cambria" w:hAnsi="Times New Roman" w:cs="Times New Roman"/>
          <w:color w:val="auto"/>
          <w:sz w:val="24"/>
          <w:szCs w:val="24"/>
          <w:lang w:val="en-ID"/>
        </w:rPr>
        <w:t xml:space="preserve"> and </w:t>
      </w:r>
      <w:proofErr w:type="spellStart"/>
      <w:r w:rsidRPr="00BE321E">
        <w:rPr>
          <w:rFonts w:ascii="Times New Roman" w:eastAsia="Cambria" w:hAnsi="Times New Roman" w:cs="Times New Roman"/>
          <w:color w:val="auto"/>
          <w:sz w:val="24"/>
          <w:szCs w:val="24"/>
          <w:lang w:val="en-ID"/>
        </w:rPr>
        <w:t>Baruga</w:t>
      </w:r>
      <w:proofErr w:type="spellEnd"/>
      <w:r w:rsidRPr="00BE321E">
        <w:rPr>
          <w:rFonts w:ascii="Times New Roman" w:eastAsia="Cambria" w:hAnsi="Times New Roman" w:cs="Times New Roman"/>
          <w:color w:val="auto"/>
          <w:sz w:val="24"/>
          <w:szCs w:val="24"/>
          <w:lang w:val="en-ID"/>
        </w:rPr>
        <w:t xml:space="preserve"> Subdistricts remain susceptible to pyrethroid insecticides, suggesting that current insecticide-based vector control strategies are still effective in these areas.</w:t>
      </w:r>
    </w:p>
    <w:p w14:paraId="0B875038" w14:textId="77777777" w:rsidR="00BE321E" w:rsidRPr="00BE321E" w:rsidRDefault="00BE321E" w:rsidP="00BE321E">
      <w:pPr>
        <w:pStyle w:val="Heading1"/>
        <w:widowControl w:val="0"/>
        <w:autoSpaceDE w:val="0"/>
        <w:autoSpaceDN w:val="0"/>
        <w:spacing w:before="79" w:after="0"/>
        <w:jc w:val="both"/>
        <w:rPr>
          <w:rFonts w:ascii="Times New Roman" w:eastAsia="Cambria" w:hAnsi="Times New Roman" w:cs="Times New Roman"/>
          <w:color w:val="auto"/>
          <w:sz w:val="24"/>
          <w:szCs w:val="24"/>
          <w:lang w:val="en-ID"/>
        </w:rPr>
      </w:pPr>
      <w:r w:rsidRPr="00BE321E">
        <w:rPr>
          <w:rFonts w:ascii="Times New Roman" w:eastAsia="Cambria" w:hAnsi="Times New Roman" w:cs="Times New Roman"/>
          <w:color w:val="auto"/>
          <w:sz w:val="24"/>
          <w:szCs w:val="24"/>
          <w:lang w:val="en-ID"/>
        </w:rPr>
        <w:t>However, the observed variation in non-specific esterase enzyme activity among locations may represent early biochemical changes that could precede the development of insecticide resistance. This highlights the importance of continuous and systematic surveillance to detect emerging resistance at an early stage.</w:t>
      </w:r>
    </w:p>
    <w:p w14:paraId="6D8C8792" w14:textId="4339E892" w:rsidR="00BE321E" w:rsidRDefault="00BE321E" w:rsidP="00BE321E">
      <w:pPr>
        <w:pStyle w:val="Heading1"/>
        <w:widowControl w:val="0"/>
        <w:autoSpaceDE w:val="0"/>
        <w:autoSpaceDN w:val="0"/>
        <w:spacing w:before="79" w:after="0"/>
        <w:jc w:val="both"/>
        <w:rPr>
          <w:rFonts w:ascii="Times New Roman" w:eastAsia="Cambria" w:hAnsi="Times New Roman" w:cs="Times New Roman"/>
          <w:color w:val="auto"/>
          <w:sz w:val="24"/>
          <w:szCs w:val="24"/>
          <w:lang w:val="en-ID"/>
        </w:rPr>
      </w:pPr>
      <w:r w:rsidRPr="00BE321E">
        <w:rPr>
          <w:rFonts w:ascii="Times New Roman" w:eastAsia="Cambria" w:hAnsi="Times New Roman" w:cs="Times New Roman"/>
          <w:color w:val="auto"/>
          <w:sz w:val="24"/>
          <w:szCs w:val="24"/>
          <w:lang w:val="en-ID"/>
        </w:rPr>
        <w:t>Regular monitoring, combined with appropriate insecticide management strategies, is essential to maintain the effectiveness of dengue vector control programs and to reduce the risk of future resistance development.</w:t>
      </w:r>
    </w:p>
    <w:p w14:paraId="3E864AA7" w14:textId="77777777" w:rsidR="00BE321E" w:rsidRDefault="00BE321E" w:rsidP="00BE321E">
      <w:pPr>
        <w:rPr>
          <w:lang w:val="en-ID"/>
        </w:rPr>
      </w:pPr>
    </w:p>
    <w:p w14:paraId="1606812C" w14:textId="77777777" w:rsidR="00BE321E" w:rsidRPr="00AF78BE" w:rsidRDefault="00BE321E" w:rsidP="00BE321E">
      <w:pPr>
        <w:jc w:val="both"/>
        <w:rPr>
          <w:rFonts w:eastAsiaTheme="minorHAnsi"/>
          <w:b/>
          <w:bCs/>
          <w:kern w:val="2"/>
          <w:lang w:val="en-ID"/>
        </w:rPr>
      </w:pPr>
      <w:r w:rsidRPr="00AF78BE">
        <w:rPr>
          <w:rFonts w:eastAsiaTheme="minorHAnsi"/>
          <w:b/>
          <w:bCs/>
          <w:kern w:val="2"/>
          <w:lang w:val="en-ID"/>
        </w:rPr>
        <w:t>Conflict of Interest</w:t>
      </w:r>
    </w:p>
    <w:p w14:paraId="29AB99BA" w14:textId="75599470" w:rsidR="00BE321E" w:rsidRDefault="00313745" w:rsidP="00BE321E">
      <w:pPr>
        <w:jc w:val="both"/>
        <w:rPr>
          <w:rFonts w:eastAsiaTheme="minorHAnsi"/>
          <w:kern w:val="2"/>
        </w:rPr>
      </w:pPr>
      <w:r w:rsidRPr="00313745">
        <w:rPr>
          <w:rFonts w:eastAsiaTheme="minorHAnsi"/>
          <w:kern w:val="2"/>
        </w:rPr>
        <w:t>The authors declare that there is no conflict of interest regarding the publication of this study.</w:t>
      </w:r>
    </w:p>
    <w:p w14:paraId="7BE86F3F" w14:textId="77777777" w:rsidR="00BE321E" w:rsidRDefault="00BE321E" w:rsidP="00BE321E">
      <w:pPr>
        <w:jc w:val="both"/>
        <w:rPr>
          <w:rFonts w:eastAsiaTheme="minorHAnsi"/>
          <w:kern w:val="2"/>
          <w:lang w:val="en-ID"/>
        </w:rPr>
      </w:pPr>
    </w:p>
    <w:p w14:paraId="1F00B974" w14:textId="77777777" w:rsidR="00BE321E" w:rsidRPr="00325CC3" w:rsidRDefault="00BE321E" w:rsidP="00BE321E">
      <w:pPr>
        <w:jc w:val="both"/>
        <w:rPr>
          <w:rFonts w:eastAsiaTheme="minorHAnsi"/>
          <w:b/>
          <w:bCs/>
          <w:kern w:val="2"/>
          <w:lang w:val="en-ID"/>
        </w:rPr>
      </w:pPr>
      <w:r w:rsidRPr="00325CC3">
        <w:rPr>
          <w:rFonts w:eastAsiaTheme="minorHAnsi"/>
          <w:b/>
          <w:bCs/>
          <w:kern w:val="2"/>
          <w:lang w:val="en-ID"/>
        </w:rPr>
        <w:t>Funding</w:t>
      </w:r>
    </w:p>
    <w:p w14:paraId="79D74A77" w14:textId="77777777" w:rsidR="00BE321E" w:rsidRDefault="00BE321E" w:rsidP="00BE321E">
      <w:pPr>
        <w:jc w:val="both"/>
        <w:rPr>
          <w:rFonts w:eastAsiaTheme="minorHAnsi"/>
          <w:kern w:val="2"/>
          <w:lang w:val="en-ID"/>
        </w:rPr>
      </w:pPr>
      <w:r w:rsidRPr="00325CC3">
        <w:rPr>
          <w:rFonts w:eastAsiaTheme="minorHAnsi"/>
          <w:kern w:val="2"/>
          <w:lang w:val="en-ID"/>
        </w:rPr>
        <w:t>This research received no external funding.</w:t>
      </w:r>
    </w:p>
    <w:p w14:paraId="5350A154" w14:textId="77777777" w:rsidR="00BE321E" w:rsidRDefault="00BE321E" w:rsidP="00BE321E">
      <w:pPr>
        <w:jc w:val="both"/>
        <w:rPr>
          <w:rFonts w:eastAsiaTheme="minorHAnsi"/>
          <w:kern w:val="2"/>
          <w:lang w:val="en-ID"/>
        </w:rPr>
      </w:pPr>
    </w:p>
    <w:p w14:paraId="355EEF13" w14:textId="77777777" w:rsidR="00BE321E" w:rsidRPr="00BE321E" w:rsidRDefault="00BE321E" w:rsidP="00BE321E">
      <w:pPr>
        <w:rPr>
          <w:lang w:val="en-ID"/>
        </w:rPr>
      </w:pPr>
    </w:p>
    <w:p w14:paraId="6E2215AB" w14:textId="632C2495" w:rsidR="0026505D" w:rsidRPr="0003746C" w:rsidRDefault="0026505D" w:rsidP="00712CA2">
      <w:pPr>
        <w:pStyle w:val="Heading1"/>
        <w:widowControl w:val="0"/>
        <w:autoSpaceDE w:val="0"/>
        <w:autoSpaceDN w:val="0"/>
        <w:spacing w:before="79" w:after="0"/>
        <w:jc w:val="both"/>
        <w:rPr>
          <w:rFonts w:ascii="Times New Roman" w:hAnsi="Times New Roman" w:cs="Times New Roman"/>
          <w:b/>
          <w:bCs/>
          <w:color w:val="auto"/>
          <w:sz w:val="24"/>
          <w:szCs w:val="24"/>
          <w:lang w:val="en-ID"/>
        </w:rPr>
      </w:pPr>
      <w:r w:rsidRPr="0003746C">
        <w:rPr>
          <w:rFonts w:ascii="Times New Roman" w:hAnsi="Times New Roman" w:cs="Times New Roman"/>
          <w:b/>
          <w:bCs/>
          <w:color w:val="auto"/>
          <w:sz w:val="24"/>
          <w:szCs w:val="24"/>
          <w:lang w:val="en-ID"/>
        </w:rPr>
        <w:lastRenderedPageBreak/>
        <w:t>REFERENCES</w:t>
      </w:r>
    </w:p>
    <w:p w14:paraId="7D58089B" w14:textId="7A7824A0"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World Health Organization. Dengue – global situation. 2024. Available from: </w:t>
      </w:r>
      <w:hyperlink r:id="rId9" w:tgtFrame="_new" w:history="1">
        <w:r w:rsidRPr="0003746C">
          <w:rPr>
            <w:rStyle w:val="Hyperlink"/>
            <w:rFonts w:ascii="Times New Roman" w:hAnsi="Times New Roman" w:cs="Times New Roman"/>
            <w:color w:val="auto"/>
            <w:sz w:val="24"/>
            <w:szCs w:val="24"/>
            <w:u w:val="none"/>
            <w:lang w:val="en-ID"/>
          </w:rPr>
          <w:t>https://www.who.int/emergencies/disease-outbreak-news/item/2023-DON518</w:t>
        </w:r>
      </w:hyperlink>
      <w:r w:rsidRPr="0003746C">
        <w:rPr>
          <w:rFonts w:ascii="Times New Roman" w:hAnsi="Times New Roman" w:cs="Times New Roman"/>
          <w:color w:val="auto"/>
          <w:sz w:val="24"/>
          <w:szCs w:val="24"/>
          <w:lang w:val="en-ID"/>
        </w:rPr>
        <w:t xml:space="preserve"> </w:t>
      </w:r>
    </w:p>
    <w:p w14:paraId="354F20B7" w14:textId="77777777"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Kementerian Kesehatan Republik Indonesia. </w:t>
      </w:r>
      <w:proofErr w:type="spellStart"/>
      <w:r w:rsidRPr="0003746C">
        <w:rPr>
          <w:rFonts w:ascii="Times New Roman" w:hAnsi="Times New Roman" w:cs="Times New Roman"/>
          <w:color w:val="auto"/>
          <w:sz w:val="24"/>
          <w:szCs w:val="24"/>
          <w:lang w:val="en-ID"/>
        </w:rPr>
        <w:t>Laporan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tahunan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demam</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berdarah</w:t>
      </w:r>
      <w:proofErr w:type="spellEnd"/>
      <w:r w:rsidRPr="0003746C">
        <w:rPr>
          <w:rFonts w:ascii="Times New Roman" w:hAnsi="Times New Roman" w:cs="Times New Roman"/>
          <w:color w:val="auto"/>
          <w:sz w:val="24"/>
          <w:szCs w:val="24"/>
          <w:lang w:val="en-ID"/>
        </w:rPr>
        <w:t xml:space="preserve"> dengue. Jakarta: Kementerian Kesehatan RI; 2022. </w:t>
      </w:r>
    </w:p>
    <w:p w14:paraId="37A6D071" w14:textId="77777777"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Dinas Kesehatan Kota Kendari. </w:t>
      </w:r>
      <w:proofErr w:type="spellStart"/>
      <w:r w:rsidRPr="0003746C">
        <w:rPr>
          <w:rFonts w:ascii="Times New Roman" w:hAnsi="Times New Roman" w:cs="Times New Roman"/>
          <w:color w:val="auto"/>
          <w:sz w:val="24"/>
          <w:szCs w:val="24"/>
          <w:lang w:val="en-ID"/>
        </w:rPr>
        <w:t>Laporan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kasus</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demam</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berdarah</w:t>
      </w:r>
      <w:proofErr w:type="spellEnd"/>
      <w:r w:rsidRPr="0003746C">
        <w:rPr>
          <w:rFonts w:ascii="Times New Roman" w:hAnsi="Times New Roman" w:cs="Times New Roman"/>
          <w:color w:val="auto"/>
          <w:sz w:val="24"/>
          <w:szCs w:val="24"/>
          <w:lang w:val="en-ID"/>
        </w:rPr>
        <w:t xml:space="preserve"> dengue dan data </w:t>
      </w:r>
      <w:proofErr w:type="spellStart"/>
      <w:r w:rsidRPr="0003746C">
        <w:rPr>
          <w:rFonts w:ascii="Times New Roman" w:hAnsi="Times New Roman" w:cs="Times New Roman"/>
          <w:color w:val="auto"/>
          <w:sz w:val="24"/>
          <w:szCs w:val="24"/>
          <w:lang w:val="en-ID"/>
        </w:rPr>
        <w:t>penggunaan</w:t>
      </w:r>
      <w:proofErr w:type="spellEnd"/>
      <w:r w:rsidRPr="0003746C">
        <w:rPr>
          <w:rFonts w:ascii="Times New Roman" w:hAnsi="Times New Roman" w:cs="Times New Roman"/>
          <w:color w:val="auto"/>
          <w:sz w:val="24"/>
          <w:szCs w:val="24"/>
          <w:lang w:val="en-ID"/>
        </w:rPr>
        <w:t xml:space="preserve"> fogging </w:t>
      </w:r>
      <w:proofErr w:type="spellStart"/>
      <w:r w:rsidRPr="0003746C">
        <w:rPr>
          <w:rFonts w:ascii="Times New Roman" w:hAnsi="Times New Roman" w:cs="Times New Roman"/>
          <w:color w:val="auto"/>
          <w:sz w:val="24"/>
          <w:szCs w:val="24"/>
          <w:lang w:val="en-ID"/>
        </w:rPr>
        <w:t>tahun</w:t>
      </w:r>
      <w:proofErr w:type="spellEnd"/>
      <w:r w:rsidRPr="0003746C">
        <w:rPr>
          <w:rFonts w:ascii="Times New Roman" w:hAnsi="Times New Roman" w:cs="Times New Roman"/>
          <w:color w:val="auto"/>
          <w:sz w:val="24"/>
          <w:szCs w:val="24"/>
          <w:lang w:val="en-ID"/>
        </w:rPr>
        <w:t xml:space="preserve"> 2019–2024. Kendari: Dinas Kesehatan Kota Kendari; 2024. </w:t>
      </w:r>
    </w:p>
    <w:p w14:paraId="15974F3A" w14:textId="52E4AAB7"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Mubarak, </w:t>
      </w:r>
      <w:proofErr w:type="spellStart"/>
      <w:r w:rsidRPr="0003746C">
        <w:rPr>
          <w:rFonts w:ascii="Times New Roman" w:hAnsi="Times New Roman" w:cs="Times New Roman"/>
          <w:color w:val="auto"/>
          <w:sz w:val="24"/>
          <w:szCs w:val="24"/>
          <w:lang w:val="en-ID"/>
        </w:rPr>
        <w:t>Satoto</w:t>
      </w:r>
      <w:proofErr w:type="spellEnd"/>
      <w:r w:rsidRPr="0003746C">
        <w:rPr>
          <w:rFonts w:ascii="Times New Roman" w:hAnsi="Times New Roman" w:cs="Times New Roman"/>
          <w:color w:val="auto"/>
          <w:sz w:val="24"/>
          <w:szCs w:val="24"/>
          <w:lang w:val="en-ID"/>
        </w:rPr>
        <w:t xml:space="preserve"> TBT, </w:t>
      </w:r>
      <w:proofErr w:type="spellStart"/>
      <w:r w:rsidRPr="0003746C">
        <w:rPr>
          <w:rFonts w:ascii="Times New Roman" w:hAnsi="Times New Roman" w:cs="Times New Roman"/>
          <w:color w:val="auto"/>
          <w:sz w:val="24"/>
          <w:szCs w:val="24"/>
          <w:lang w:val="en-ID"/>
        </w:rPr>
        <w:t>Umniyati</w:t>
      </w:r>
      <w:proofErr w:type="spellEnd"/>
      <w:r w:rsidRPr="0003746C">
        <w:rPr>
          <w:rFonts w:ascii="Times New Roman" w:hAnsi="Times New Roman" w:cs="Times New Roman"/>
          <w:color w:val="auto"/>
          <w:sz w:val="24"/>
          <w:szCs w:val="24"/>
          <w:lang w:val="en-ID"/>
        </w:rPr>
        <w:t xml:space="preserve"> SR. </w:t>
      </w:r>
      <w:proofErr w:type="spellStart"/>
      <w:r w:rsidRPr="0003746C">
        <w:rPr>
          <w:rFonts w:ascii="Times New Roman" w:hAnsi="Times New Roman" w:cs="Times New Roman"/>
          <w:color w:val="auto"/>
          <w:sz w:val="24"/>
          <w:szCs w:val="24"/>
          <w:lang w:val="en-ID"/>
        </w:rPr>
        <w:t>Analisis</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penggunaan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insektisida</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malation</w:t>
      </w:r>
      <w:proofErr w:type="spellEnd"/>
      <w:r w:rsidRPr="0003746C">
        <w:rPr>
          <w:rFonts w:ascii="Times New Roman" w:hAnsi="Times New Roman" w:cs="Times New Roman"/>
          <w:color w:val="auto"/>
          <w:sz w:val="24"/>
          <w:szCs w:val="24"/>
          <w:lang w:val="en-ID"/>
        </w:rPr>
        <w:t xml:space="preserve"> dan </w:t>
      </w:r>
      <w:proofErr w:type="spellStart"/>
      <w:r w:rsidRPr="0003746C">
        <w:rPr>
          <w:rFonts w:ascii="Times New Roman" w:hAnsi="Times New Roman" w:cs="Times New Roman"/>
          <w:color w:val="auto"/>
          <w:sz w:val="24"/>
          <w:szCs w:val="24"/>
          <w:lang w:val="en-ID"/>
        </w:rPr>
        <w:t>temefos</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terhadap</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vektor</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demam</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berdarah</w:t>
      </w:r>
      <w:proofErr w:type="spellEnd"/>
      <w:r w:rsidRPr="0003746C">
        <w:rPr>
          <w:rFonts w:ascii="Times New Roman" w:hAnsi="Times New Roman" w:cs="Times New Roman"/>
          <w:color w:val="auto"/>
          <w:sz w:val="24"/>
          <w:szCs w:val="24"/>
          <w:lang w:val="en-ID"/>
        </w:rPr>
        <w:t xml:space="preserve"> dengue Aedes aegypti di Kota Kendari Sulawesi Tenggara. </w:t>
      </w:r>
      <w:proofErr w:type="spellStart"/>
      <w:r w:rsidRPr="0003746C">
        <w:rPr>
          <w:rFonts w:ascii="Times New Roman" w:hAnsi="Times New Roman" w:cs="Times New Roman"/>
          <w:color w:val="auto"/>
          <w:sz w:val="24"/>
          <w:szCs w:val="24"/>
          <w:lang w:val="en-ID"/>
        </w:rPr>
        <w:t>Medula</w:t>
      </w:r>
      <w:proofErr w:type="spellEnd"/>
      <w:r w:rsidRPr="0003746C">
        <w:rPr>
          <w:rFonts w:ascii="Times New Roman" w:hAnsi="Times New Roman" w:cs="Times New Roman"/>
          <w:color w:val="auto"/>
          <w:sz w:val="24"/>
          <w:szCs w:val="24"/>
          <w:lang w:val="en-ID"/>
        </w:rPr>
        <w:t xml:space="preserve">. 2015;2(2):134–142. </w:t>
      </w:r>
      <w:r w:rsidR="00C43FEE" w:rsidRPr="0003746C">
        <w:rPr>
          <w:rFonts w:ascii="Times New Roman" w:hAnsi="Times New Roman" w:cs="Times New Roman"/>
          <w:color w:val="auto"/>
          <w:sz w:val="24"/>
          <w:szCs w:val="24"/>
        </w:rPr>
        <w:t>DOI: </w:t>
      </w:r>
      <w:hyperlink r:id="rId10" w:tgtFrame="_blank" w:history="1">
        <w:r w:rsidR="00C43FEE" w:rsidRPr="0003746C">
          <w:rPr>
            <w:rStyle w:val="Hyperlink"/>
            <w:rFonts w:ascii="Times New Roman" w:hAnsi="Times New Roman" w:cs="Times New Roman"/>
            <w:color w:val="auto"/>
            <w:sz w:val="24"/>
            <w:szCs w:val="24"/>
            <w:u w:val="none"/>
          </w:rPr>
          <w:t>10.33772/</w:t>
        </w:r>
        <w:proofErr w:type="gramStart"/>
        <w:r w:rsidR="00C43FEE" w:rsidRPr="0003746C">
          <w:rPr>
            <w:rStyle w:val="Hyperlink"/>
            <w:rFonts w:ascii="Times New Roman" w:hAnsi="Times New Roman" w:cs="Times New Roman"/>
            <w:color w:val="auto"/>
            <w:sz w:val="24"/>
            <w:szCs w:val="24"/>
            <w:u w:val="none"/>
          </w:rPr>
          <w:t>medula.v</w:t>
        </w:r>
        <w:proofErr w:type="gramEnd"/>
        <w:r w:rsidR="00C43FEE" w:rsidRPr="0003746C">
          <w:rPr>
            <w:rStyle w:val="Hyperlink"/>
            <w:rFonts w:ascii="Times New Roman" w:hAnsi="Times New Roman" w:cs="Times New Roman"/>
            <w:color w:val="auto"/>
            <w:sz w:val="24"/>
            <w:szCs w:val="24"/>
            <w:u w:val="none"/>
          </w:rPr>
          <w:t>2i2.2542</w:t>
        </w:r>
      </w:hyperlink>
    </w:p>
    <w:p w14:paraId="68C7252E" w14:textId="33E88B19" w:rsidR="0026505D" w:rsidRPr="0003746C" w:rsidRDefault="0026505D" w:rsidP="00712CA2">
      <w:pPr>
        <w:pStyle w:val="Heading2"/>
        <w:numPr>
          <w:ilvl w:val="0"/>
          <w:numId w:val="1"/>
        </w:numPr>
        <w:shd w:val="clear" w:color="auto" w:fill="FFFFFF"/>
        <w:tabs>
          <w:tab w:val="clear" w:pos="720"/>
          <w:tab w:val="num" w:pos="-284"/>
        </w:tabs>
        <w:spacing w:before="0" w:after="300"/>
        <w:ind w:left="142" w:hanging="284"/>
        <w:rPr>
          <w:rFonts w:ascii="Times New Roman" w:hAnsi="Times New Roman" w:cs="Times New Roman"/>
          <w:sz w:val="24"/>
          <w:szCs w:val="24"/>
          <w:lang w:val="en-ID"/>
        </w:rPr>
      </w:pPr>
      <w:r w:rsidRPr="0003746C">
        <w:rPr>
          <w:rFonts w:ascii="Times New Roman" w:hAnsi="Times New Roman" w:cs="Times New Roman"/>
          <w:color w:val="auto"/>
          <w:sz w:val="24"/>
          <w:szCs w:val="24"/>
          <w:lang w:val="en-ID"/>
        </w:rPr>
        <w:t xml:space="preserve">Anindita R, </w:t>
      </w:r>
      <w:proofErr w:type="spellStart"/>
      <w:r w:rsidRPr="0003746C">
        <w:rPr>
          <w:rFonts w:ascii="Times New Roman" w:hAnsi="Times New Roman" w:cs="Times New Roman"/>
          <w:color w:val="auto"/>
          <w:sz w:val="24"/>
          <w:szCs w:val="24"/>
          <w:lang w:val="en-ID"/>
        </w:rPr>
        <w:t>Kesetyaningsih</w:t>
      </w:r>
      <w:proofErr w:type="spellEnd"/>
      <w:r w:rsidRPr="0003746C">
        <w:rPr>
          <w:rFonts w:ascii="Times New Roman" w:hAnsi="Times New Roman" w:cs="Times New Roman"/>
          <w:color w:val="auto"/>
          <w:sz w:val="24"/>
          <w:szCs w:val="24"/>
          <w:lang w:val="en-ID"/>
        </w:rPr>
        <w:t xml:space="preserve"> TW. </w:t>
      </w:r>
      <w:proofErr w:type="spellStart"/>
      <w:r w:rsidRPr="0003746C">
        <w:rPr>
          <w:rFonts w:ascii="Times New Roman" w:hAnsi="Times New Roman" w:cs="Times New Roman"/>
          <w:color w:val="auto"/>
          <w:sz w:val="24"/>
          <w:szCs w:val="24"/>
          <w:lang w:val="en-ID"/>
        </w:rPr>
        <w:t>Deteksi</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resistensi</w:t>
      </w:r>
      <w:proofErr w:type="spellEnd"/>
      <w:r w:rsidRPr="0003746C">
        <w:rPr>
          <w:rFonts w:ascii="Times New Roman" w:hAnsi="Times New Roman" w:cs="Times New Roman"/>
          <w:color w:val="auto"/>
          <w:sz w:val="24"/>
          <w:szCs w:val="24"/>
          <w:lang w:val="en-ID"/>
        </w:rPr>
        <w:t xml:space="preserve"> larva Aedes aegypti </w:t>
      </w:r>
      <w:proofErr w:type="spellStart"/>
      <w:r w:rsidRPr="0003746C">
        <w:rPr>
          <w:rFonts w:ascii="Times New Roman" w:hAnsi="Times New Roman" w:cs="Times New Roman"/>
          <w:color w:val="auto"/>
          <w:sz w:val="24"/>
          <w:szCs w:val="24"/>
          <w:lang w:val="en-ID"/>
        </w:rPr>
        <w:t>dengan</w:t>
      </w:r>
      <w:proofErr w:type="spellEnd"/>
      <w:r w:rsidRPr="0003746C">
        <w:rPr>
          <w:rFonts w:ascii="Times New Roman" w:hAnsi="Times New Roman" w:cs="Times New Roman"/>
          <w:color w:val="auto"/>
          <w:sz w:val="24"/>
          <w:szCs w:val="24"/>
          <w:lang w:val="en-ID"/>
        </w:rPr>
        <w:t xml:space="preserve"> uji </w:t>
      </w:r>
      <w:proofErr w:type="spellStart"/>
      <w:r w:rsidRPr="0003746C">
        <w:rPr>
          <w:rFonts w:ascii="Times New Roman" w:hAnsi="Times New Roman" w:cs="Times New Roman"/>
          <w:color w:val="auto"/>
          <w:sz w:val="24"/>
          <w:szCs w:val="24"/>
          <w:lang w:val="en-ID"/>
        </w:rPr>
        <w:t>biokimia</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berdasarkan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aktivitas</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enzim</w:t>
      </w:r>
      <w:proofErr w:type="spellEnd"/>
      <w:r w:rsidRPr="0003746C">
        <w:rPr>
          <w:rFonts w:ascii="Times New Roman" w:hAnsi="Times New Roman" w:cs="Times New Roman"/>
          <w:color w:val="auto"/>
          <w:sz w:val="24"/>
          <w:szCs w:val="24"/>
          <w:lang w:val="en-ID"/>
        </w:rPr>
        <w:t xml:space="preserve"> esterase di </w:t>
      </w:r>
      <w:proofErr w:type="spellStart"/>
      <w:r w:rsidRPr="0003746C">
        <w:rPr>
          <w:rFonts w:ascii="Times New Roman" w:hAnsi="Times New Roman" w:cs="Times New Roman"/>
          <w:color w:val="auto"/>
          <w:sz w:val="24"/>
          <w:szCs w:val="24"/>
          <w:lang w:val="en-ID"/>
        </w:rPr>
        <w:t>Kabupaten</w:t>
      </w:r>
      <w:proofErr w:type="spellEnd"/>
      <w:r w:rsidRPr="0003746C">
        <w:rPr>
          <w:rFonts w:ascii="Times New Roman" w:hAnsi="Times New Roman" w:cs="Times New Roman"/>
          <w:color w:val="auto"/>
          <w:sz w:val="24"/>
          <w:szCs w:val="24"/>
          <w:lang w:val="en-ID"/>
        </w:rPr>
        <w:t xml:space="preserve"> Bantul DIY. Mutiara Medika. 2007;7(2):88–94. </w:t>
      </w:r>
      <w:r w:rsidR="00C43FEE" w:rsidRPr="0003746C">
        <w:rPr>
          <w:rFonts w:ascii="Times New Roman" w:hAnsi="Times New Roman" w:cs="Times New Roman"/>
          <w:color w:val="auto"/>
          <w:sz w:val="24"/>
          <w:szCs w:val="24"/>
        </w:rPr>
        <w:t>DOI: </w:t>
      </w:r>
      <w:hyperlink r:id="rId11" w:history="1">
        <w:r w:rsidR="00C43FEE" w:rsidRPr="0003746C">
          <w:rPr>
            <w:rStyle w:val="Hyperlink"/>
            <w:rFonts w:ascii="Times New Roman" w:hAnsi="Times New Roman" w:cs="Times New Roman"/>
            <w:color w:val="auto"/>
            <w:sz w:val="24"/>
            <w:szCs w:val="24"/>
            <w:u w:val="none"/>
          </w:rPr>
          <w:t>https://doi.org/10.18196/mmjkk.v7i2%20(s).1661</w:t>
        </w:r>
      </w:hyperlink>
    </w:p>
    <w:p w14:paraId="3AEA4FFF" w14:textId="5048A13D"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Soderlund DM. Neurotoxicology of pyrethroid insecticides. Cornell </w:t>
      </w:r>
      <w:proofErr w:type="spellStart"/>
      <w:r w:rsidRPr="0003746C">
        <w:rPr>
          <w:rFonts w:ascii="Times New Roman" w:hAnsi="Times New Roman" w:cs="Times New Roman"/>
          <w:color w:val="auto"/>
          <w:sz w:val="24"/>
          <w:szCs w:val="24"/>
          <w:lang w:val="en-ID"/>
        </w:rPr>
        <w:t>Univ</w:t>
      </w:r>
      <w:proofErr w:type="spellEnd"/>
      <w:r w:rsidRPr="0003746C">
        <w:rPr>
          <w:rFonts w:ascii="Times New Roman" w:hAnsi="Times New Roman" w:cs="Times New Roman"/>
          <w:color w:val="auto"/>
          <w:sz w:val="24"/>
          <w:szCs w:val="24"/>
          <w:lang w:val="en-ID"/>
        </w:rPr>
        <w:t xml:space="preserve"> Dept </w:t>
      </w:r>
      <w:proofErr w:type="spellStart"/>
      <w:r w:rsidRPr="0003746C">
        <w:rPr>
          <w:rFonts w:ascii="Times New Roman" w:hAnsi="Times New Roman" w:cs="Times New Roman"/>
          <w:color w:val="auto"/>
          <w:sz w:val="24"/>
          <w:szCs w:val="24"/>
          <w:lang w:val="en-ID"/>
        </w:rPr>
        <w:t>Entomol</w:t>
      </w:r>
      <w:proofErr w:type="spellEnd"/>
      <w:r w:rsidRPr="0003746C">
        <w:rPr>
          <w:rFonts w:ascii="Times New Roman" w:hAnsi="Times New Roman" w:cs="Times New Roman"/>
          <w:color w:val="auto"/>
          <w:sz w:val="24"/>
          <w:szCs w:val="24"/>
          <w:lang w:val="en-ID"/>
        </w:rPr>
        <w:t>. 2020;4(3):113–165.</w:t>
      </w:r>
      <w:r w:rsidR="00C43FEE" w:rsidRPr="0003746C">
        <w:rPr>
          <w:rFonts w:ascii="Times New Roman" w:hAnsi="Times New Roman" w:cs="Times New Roman"/>
          <w:color w:val="auto"/>
          <w:sz w:val="24"/>
          <w:szCs w:val="24"/>
          <w:lang w:val="en-ID"/>
        </w:rPr>
        <w:t xml:space="preserve"> DOI:</w:t>
      </w:r>
      <w:r w:rsidRPr="0003746C">
        <w:rPr>
          <w:rFonts w:ascii="Times New Roman" w:hAnsi="Times New Roman" w:cs="Times New Roman"/>
          <w:color w:val="auto"/>
          <w:sz w:val="24"/>
          <w:szCs w:val="24"/>
          <w:lang w:val="en-ID"/>
        </w:rPr>
        <w:t xml:space="preserve"> </w:t>
      </w:r>
      <w:hyperlink r:id="rId12" w:tgtFrame="_blank" w:tooltip="Persistent link using digital object identifier" w:history="1">
        <w:r w:rsidR="00C43FEE" w:rsidRPr="0003746C">
          <w:rPr>
            <w:rStyle w:val="Hyperlink"/>
            <w:rFonts w:ascii="Times New Roman" w:hAnsi="Times New Roman" w:cs="Times New Roman"/>
            <w:color w:val="auto"/>
            <w:sz w:val="24"/>
            <w:szCs w:val="24"/>
            <w:u w:val="none"/>
          </w:rPr>
          <w:t>https://doi.org/10.1016/bs.ant.2019.11.002</w:t>
        </w:r>
      </w:hyperlink>
    </w:p>
    <w:p w14:paraId="4A0BADE5" w14:textId="4AA620BF"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Field LM, Davies TGE, O’Reilly AO, Williamson MS, Wallace BA. Voltage-gated sodium channels as targets for pyrethroid insecticides. </w:t>
      </w:r>
      <w:proofErr w:type="spellStart"/>
      <w:r w:rsidRPr="0003746C">
        <w:rPr>
          <w:rFonts w:ascii="Times New Roman" w:hAnsi="Times New Roman" w:cs="Times New Roman"/>
          <w:color w:val="auto"/>
          <w:sz w:val="24"/>
          <w:szCs w:val="24"/>
          <w:lang w:val="en-ID"/>
        </w:rPr>
        <w:t>Eur</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Biophys</w:t>
      </w:r>
      <w:proofErr w:type="spellEnd"/>
      <w:r w:rsidRPr="0003746C">
        <w:rPr>
          <w:rFonts w:ascii="Times New Roman" w:hAnsi="Times New Roman" w:cs="Times New Roman"/>
          <w:color w:val="auto"/>
          <w:sz w:val="24"/>
          <w:szCs w:val="24"/>
          <w:lang w:val="en-ID"/>
        </w:rPr>
        <w:t xml:space="preserve"> J. 2017;46(7):675–679. </w:t>
      </w:r>
      <w:r w:rsidR="00167B98" w:rsidRPr="0003746C">
        <w:rPr>
          <w:rFonts w:ascii="Times New Roman" w:hAnsi="Times New Roman" w:cs="Times New Roman"/>
          <w:color w:val="auto"/>
          <w:sz w:val="24"/>
          <w:szCs w:val="24"/>
          <w:lang w:val="en-ID"/>
        </w:rPr>
        <w:t>DOI: https://doi.org/10.1007/s00249-016-1195-1</w:t>
      </w:r>
    </w:p>
    <w:p w14:paraId="3D1B163D" w14:textId="72196BD1"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Black WC, Snell TK, Saavedra-Rodriguez K, Kading RC, Campbell CL. From global to local: New insights into features of pyrethroid detoxification in vector mosquitoes. Insects. 2021;12(4):1–20.</w:t>
      </w:r>
      <w:r w:rsidR="005A0ACA" w:rsidRPr="0003746C">
        <w:rPr>
          <w:rFonts w:ascii="Times New Roman" w:hAnsi="Times New Roman" w:cs="Times New Roman"/>
          <w:color w:val="auto"/>
          <w:sz w:val="24"/>
          <w:szCs w:val="24"/>
          <w:lang w:val="en-ID"/>
        </w:rPr>
        <w:t xml:space="preserve"> DOI: </w:t>
      </w:r>
      <w:hyperlink r:id="rId13" w:history="1">
        <w:r w:rsidR="005A0ACA" w:rsidRPr="0003746C">
          <w:rPr>
            <w:rStyle w:val="Hyperlink"/>
            <w:rFonts w:ascii="Times New Roman" w:hAnsi="Times New Roman" w:cs="Times New Roman"/>
            <w:color w:val="auto"/>
            <w:sz w:val="24"/>
            <w:szCs w:val="24"/>
            <w:u w:val="none"/>
          </w:rPr>
          <w:t>https://doi.org/10.3390/insects12040276</w:t>
        </w:r>
      </w:hyperlink>
      <w:r w:rsidRPr="0003746C">
        <w:rPr>
          <w:rFonts w:ascii="Times New Roman" w:hAnsi="Times New Roman" w:cs="Times New Roman"/>
          <w:color w:val="auto"/>
          <w:sz w:val="24"/>
          <w:szCs w:val="24"/>
          <w:lang w:val="en-ID"/>
        </w:rPr>
        <w:t xml:space="preserve"> </w:t>
      </w:r>
    </w:p>
    <w:p w14:paraId="5330F927" w14:textId="7E6914FD"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Zong W, Su W, Xie Q, Gu Q, Deng X, Ren Y, et al. Expression, characterization, and immobilization of a novel SGNH esterase Est882 and its potential for pyrethroid degradation. Front </w:t>
      </w:r>
      <w:proofErr w:type="spellStart"/>
      <w:r w:rsidRPr="0003746C">
        <w:rPr>
          <w:rFonts w:ascii="Times New Roman" w:hAnsi="Times New Roman" w:cs="Times New Roman"/>
          <w:color w:val="auto"/>
          <w:sz w:val="24"/>
          <w:szCs w:val="24"/>
          <w:lang w:val="en-ID"/>
        </w:rPr>
        <w:t>Microbiol</w:t>
      </w:r>
      <w:proofErr w:type="spellEnd"/>
      <w:r w:rsidRPr="0003746C">
        <w:rPr>
          <w:rFonts w:ascii="Times New Roman" w:hAnsi="Times New Roman" w:cs="Times New Roman"/>
          <w:color w:val="auto"/>
          <w:sz w:val="24"/>
          <w:szCs w:val="24"/>
          <w:lang w:val="en-ID"/>
        </w:rPr>
        <w:t xml:space="preserve">. </w:t>
      </w:r>
      <w:proofErr w:type="gramStart"/>
      <w:r w:rsidRPr="0003746C">
        <w:rPr>
          <w:rFonts w:ascii="Times New Roman" w:hAnsi="Times New Roman" w:cs="Times New Roman"/>
          <w:color w:val="auto"/>
          <w:sz w:val="24"/>
          <w:szCs w:val="24"/>
          <w:lang w:val="en-ID"/>
        </w:rPr>
        <w:t>2022;13:1069754</w:t>
      </w:r>
      <w:proofErr w:type="gramEnd"/>
      <w:r w:rsidRPr="0003746C">
        <w:rPr>
          <w:rFonts w:ascii="Times New Roman" w:hAnsi="Times New Roman" w:cs="Times New Roman"/>
          <w:color w:val="auto"/>
          <w:sz w:val="24"/>
          <w:szCs w:val="24"/>
          <w:lang w:val="en-ID"/>
        </w:rPr>
        <w:t>.</w:t>
      </w:r>
      <w:r w:rsidR="005A0ACA" w:rsidRPr="0003746C">
        <w:rPr>
          <w:rFonts w:ascii="Times New Roman" w:hAnsi="Times New Roman" w:cs="Times New Roman"/>
          <w:color w:val="auto"/>
          <w:sz w:val="24"/>
          <w:szCs w:val="24"/>
          <w:lang w:val="en-ID"/>
        </w:rPr>
        <w:t xml:space="preserve"> DOI: </w:t>
      </w:r>
      <w:hyperlink r:id="rId14" w:history="1">
        <w:r w:rsidR="005A0ACA" w:rsidRPr="0003746C">
          <w:rPr>
            <w:rStyle w:val="Hyperlink"/>
            <w:rFonts w:ascii="Times New Roman" w:hAnsi="Times New Roman" w:cs="Times New Roman"/>
            <w:color w:val="auto"/>
            <w:sz w:val="24"/>
            <w:szCs w:val="24"/>
            <w:u w:val="none"/>
          </w:rPr>
          <w:t>https://doi.org/10.3389/fmicb.2022.1069754</w:t>
        </w:r>
      </w:hyperlink>
    </w:p>
    <w:p w14:paraId="18D32297" w14:textId="77777777"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Putra ER, Ahmad I, </w:t>
      </w:r>
      <w:proofErr w:type="spellStart"/>
      <w:r w:rsidRPr="0003746C">
        <w:rPr>
          <w:rFonts w:ascii="Times New Roman" w:hAnsi="Times New Roman" w:cs="Times New Roman"/>
          <w:color w:val="auto"/>
          <w:sz w:val="24"/>
          <w:szCs w:val="24"/>
          <w:lang w:val="en-ID"/>
        </w:rPr>
        <w:t>Prasetyo</w:t>
      </w:r>
      <w:proofErr w:type="spellEnd"/>
      <w:r w:rsidRPr="0003746C">
        <w:rPr>
          <w:rFonts w:ascii="Times New Roman" w:hAnsi="Times New Roman" w:cs="Times New Roman"/>
          <w:color w:val="auto"/>
          <w:sz w:val="24"/>
          <w:szCs w:val="24"/>
          <w:lang w:val="en-ID"/>
        </w:rPr>
        <w:t xml:space="preserve"> DB, Susanti S, Rahayu R, </w:t>
      </w:r>
      <w:proofErr w:type="spellStart"/>
      <w:r w:rsidRPr="0003746C">
        <w:rPr>
          <w:rFonts w:ascii="Times New Roman" w:hAnsi="Times New Roman" w:cs="Times New Roman"/>
          <w:color w:val="auto"/>
          <w:sz w:val="24"/>
          <w:szCs w:val="24"/>
          <w:lang w:val="en-ID"/>
        </w:rPr>
        <w:t>Hariani</w:t>
      </w:r>
      <w:proofErr w:type="spellEnd"/>
      <w:r w:rsidRPr="0003746C">
        <w:rPr>
          <w:rFonts w:ascii="Times New Roman" w:hAnsi="Times New Roman" w:cs="Times New Roman"/>
          <w:color w:val="auto"/>
          <w:sz w:val="24"/>
          <w:szCs w:val="24"/>
          <w:lang w:val="en-ID"/>
        </w:rPr>
        <w:t xml:space="preserve"> N. Detection of insecticide resistance in the larvae of some Aedes aegypti (Diptera: Culicidae) strains from Java, Indonesia to </w:t>
      </w:r>
      <w:proofErr w:type="spellStart"/>
      <w:r w:rsidRPr="0003746C">
        <w:rPr>
          <w:rFonts w:ascii="Times New Roman" w:hAnsi="Times New Roman" w:cs="Times New Roman"/>
          <w:color w:val="auto"/>
          <w:sz w:val="24"/>
          <w:szCs w:val="24"/>
          <w:lang w:val="en-ID"/>
        </w:rPr>
        <w:t>temephos</w:t>
      </w:r>
      <w:proofErr w:type="spellEnd"/>
      <w:r w:rsidRPr="0003746C">
        <w:rPr>
          <w:rFonts w:ascii="Times New Roman" w:hAnsi="Times New Roman" w:cs="Times New Roman"/>
          <w:color w:val="auto"/>
          <w:sz w:val="24"/>
          <w:szCs w:val="24"/>
          <w:lang w:val="en-ID"/>
        </w:rPr>
        <w:t xml:space="preserve">, malathion, and permethrin. Int J Mosq Res. 2016;3(3):23–28. </w:t>
      </w:r>
    </w:p>
    <w:p w14:paraId="76E2B107" w14:textId="05381B6F" w:rsidR="0026505D" w:rsidRPr="0003746C" w:rsidRDefault="0026505D" w:rsidP="00712CA2">
      <w:pPr>
        <w:pStyle w:val="Heading2"/>
        <w:numPr>
          <w:ilvl w:val="0"/>
          <w:numId w:val="1"/>
        </w:numPr>
        <w:shd w:val="clear" w:color="auto" w:fill="FFFFFF"/>
        <w:tabs>
          <w:tab w:val="clear" w:pos="720"/>
        </w:tabs>
        <w:ind w:left="142" w:hanging="284"/>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Irawati NB, Nur, Putri NE. </w:t>
      </w:r>
      <w:proofErr w:type="spellStart"/>
      <w:r w:rsidRPr="0003746C">
        <w:rPr>
          <w:rFonts w:ascii="Times New Roman" w:hAnsi="Times New Roman" w:cs="Times New Roman"/>
          <w:color w:val="auto"/>
          <w:sz w:val="24"/>
          <w:szCs w:val="24"/>
          <w:lang w:val="en-ID"/>
        </w:rPr>
        <w:t>Resistensi</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nyamuk</w:t>
      </w:r>
      <w:proofErr w:type="spellEnd"/>
      <w:r w:rsidRPr="0003746C">
        <w:rPr>
          <w:rFonts w:ascii="Times New Roman" w:hAnsi="Times New Roman" w:cs="Times New Roman"/>
          <w:color w:val="auto"/>
          <w:sz w:val="24"/>
          <w:szCs w:val="24"/>
          <w:lang w:val="en-ID"/>
        </w:rPr>
        <w:t xml:space="preserve"> Aedes aegypti </w:t>
      </w:r>
      <w:proofErr w:type="spellStart"/>
      <w:r w:rsidRPr="0003746C">
        <w:rPr>
          <w:rFonts w:ascii="Times New Roman" w:hAnsi="Times New Roman" w:cs="Times New Roman"/>
          <w:color w:val="auto"/>
          <w:sz w:val="24"/>
          <w:szCs w:val="24"/>
          <w:lang w:val="en-ID"/>
        </w:rPr>
        <w:t>terhadap</w:t>
      </w:r>
      <w:proofErr w:type="spellEnd"/>
      <w:r w:rsidRPr="0003746C">
        <w:rPr>
          <w:rFonts w:ascii="Times New Roman" w:hAnsi="Times New Roman" w:cs="Times New Roman"/>
          <w:color w:val="auto"/>
          <w:sz w:val="24"/>
          <w:szCs w:val="24"/>
          <w:lang w:val="en-ID"/>
        </w:rPr>
        <w:t xml:space="preserve"> cypermethrin di </w:t>
      </w:r>
      <w:proofErr w:type="spellStart"/>
      <w:r w:rsidRPr="0003746C">
        <w:rPr>
          <w:rFonts w:ascii="Times New Roman" w:hAnsi="Times New Roman" w:cs="Times New Roman"/>
          <w:color w:val="auto"/>
          <w:sz w:val="24"/>
          <w:szCs w:val="24"/>
          <w:lang w:val="en-ID"/>
        </w:rPr>
        <w:t>Kabupaten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Klaten</w:t>
      </w:r>
      <w:proofErr w:type="spellEnd"/>
      <w:r w:rsidRPr="0003746C">
        <w:rPr>
          <w:rFonts w:ascii="Times New Roman" w:hAnsi="Times New Roman" w:cs="Times New Roman"/>
          <w:color w:val="auto"/>
          <w:sz w:val="24"/>
          <w:szCs w:val="24"/>
          <w:lang w:val="en-ID"/>
        </w:rPr>
        <w:t xml:space="preserve">, Jawa Tengah. J </w:t>
      </w:r>
      <w:proofErr w:type="spellStart"/>
      <w:r w:rsidRPr="0003746C">
        <w:rPr>
          <w:rFonts w:ascii="Times New Roman" w:hAnsi="Times New Roman" w:cs="Times New Roman"/>
          <w:color w:val="auto"/>
          <w:sz w:val="24"/>
          <w:szCs w:val="24"/>
          <w:lang w:val="en-ID"/>
        </w:rPr>
        <w:t>Kesehat</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Lingkung</w:t>
      </w:r>
      <w:proofErr w:type="spellEnd"/>
      <w:r w:rsidRPr="0003746C">
        <w:rPr>
          <w:rFonts w:ascii="Times New Roman" w:hAnsi="Times New Roman" w:cs="Times New Roman"/>
          <w:color w:val="auto"/>
          <w:sz w:val="24"/>
          <w:szCs w:val="24"/>
          <w:lang w:val="en-ID"/>
        </w:rPr>
        <w:t xml:space="preserve"> Ruwa Jurai. 2021;15(1):1–7. </w:t>
      </w:r>
      <w:r w:rsidR="005A0ACA" w:rsidRPr="0003746C">
        <w:rPr>
          <w:rFonts w:ascii="Times New Roman" w:hAnsi="Times New Roman" w:cs="Times New Roman"/>
          <w:color w:val="auto"/>
          <w:sz w:val="24"/>
          <w:szCs w:val="24"/>
        </w:rPr>
        <w:t>DOI: </w:t>
      </w:r>
      <w:hyperlink r:id="rId15" w:history="1">
        <w:r w:rsidR="005A0ACA" w:rsidRPr="0003746C">
          <w:rPr>
            <w:rStyle w:val="Hyperlink"/>
            <w:rFonts w:ascii="Times New Roman" w:hAnsi="Times New Roman" w:cs="Times New Roman"/>
            <w:color w:val="auto"/>
            <w:sz w:val="24"/>
            <w:szCs w:val="24"/>
            <w:u w:val="none"/>
          </w:rPr>
          <w:t>https://doi.org/10.26630/rj.v15i1.2608</w:t>
        </w:r>
      </w:hyperlink>
    </w:p>
    <w:p w14:paraId="71AE3FE4" w14:textId="77777777"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Sayono, </w:t>
      </w:r>
      <w:proofErr w:type="spellStart"/>
      <w:r w:rsidRPr="0003746C">
        <w:rPr>
          <w:rFonts w:ascii="Times New Roman" w:hAnsi="Times New Roman" w:cs="Times New Roman"/>
          <w:color w:val="auto"/>
          <w:sz w:val="24"/>
          <w:szCs w:val="24"/>
          <w:lang w:val="en-ID"/>
        </w:rPr>
        <w:t>Syafruddin</w:t>
      </w:r>
      <w:proofErr w:type="spellEnd"/>
      <w:r w:rsidRPr="0003746C">
        <w:rPr>
          <w:rFonts w:ascii="Times New Roman" w:hAnsi="Times New Roman" w:cs="Times New Roman"/>
          <w:color w:val="auto"/>
          <w:sz w:val="24"/>
          <w:szCs w:val="24"/>
          <w:lang w:val="en-ID"/>
        </w:rPr>
        <w:t xml:space="preserve"> D, </w:t>
      </w:r>
      <w:proofErr w:type="spellStart"/>
      <w:r w:rsidRPr="0003746C">
        <w:rPr>
          <w:rFonts w:ascii="Times New Roman" w:hAnsi="Times New Roman" w:cs="Times New Roman"/>
          <w:color w:val="auto"/>
          <w:sz w:val="24"/>
          <w:szCs w:val="24"/>
          <w:lang w:val="en-ID"/>
        </w:rPr>
        <w:t>Sumanto</w:t>
      </w:r>
      <w:proofErr w:type="spellEnd"/>
      <w:r w:rsidRPr="0003746C">
        <w:rPr>
          <w:rFonts w:ascii="Times New Roman" w:hAnsi="Times New Roman" w:cs="Times New Roman"/>
          <w:color w:val="auto"/>
          <w:sz w:val="24"/>
          <w:szCs w:val="24"/>
          <w:lang w:val="en-ID"/>
        </w:rPr>
        <w:t xml:space="preserve"> D. </w:t>
      </w:r>
      <w:proofErr w:type="spellStart"/>
      <w:r w:rsidRPr="0003746C">
        <w:rPr>
          <w:rFonts w:ascii="Times New Roman" w:hAnsi="Times New Roman" w:cs="Times New Roman"/>
          <w:color w:val="auto"/>
          <w:sz w:val="24"/>
          <w:szCs w:val="24"/>
          <w:lang w:val="en-ID"/>
        </w:rPr>
        <w:t>Distribusi</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resistensi</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nyamuk</w:t>
      </w:r>
      <w:proofErr w:type="spellEnd"/>
      <w:r w:rsidRPr="0003746C">
        <w:rPr>
          <w:rFonts w:ascii="Times New Roman" w:hAnsi="Times New Roman" w:cs="Times New Roman"/>
          <w:color w:val="auto"/>
          <w:sz w:val="24"/>
          <w:szCs w:val="24"/>
          <w:lang w:val="en-ID"/>
        </w:rPr>
        <w:t xml:space="preserve"> Aedes aegypti </w:t>
      </w:r>
      <w:proofErr w:type="spellStart"/>
      <w:r w:rsidRPr="0003746C">
        <w:rPr>
          <w:rFonts w:ascii="Times New Roman" w:hAnsi="Times New Roman" w:cs="Times New Roman"/>
          <w:color w:val="auto"/>
          <w:sz w:val="24"/>
          <w:szCs w:val="24"/>
          <w:lang w:val="en-ID"/>
        </w:rPr>
        <w:t>terhadap</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insektisida</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sipermetrin</w:t>
      </w:r>
      <w:proofErr w:type="spellEnd"/>
      <w:r w:rsidRPr="0003746C">
        <w:rPr>
          <w:rFonts w:ascii="Times New Roman" w:hAnsi="Times New Roman" w:cs="Times New Roman"/>
          <w:color w:val="auto"/>
          <w:sz w:val="24"/>
          <w:szCs w:val="24"/>
          <w:lang w:val="en-ID"/>
        </w:rPr>
        <w:t xml:space="preserve"> di Semarang. Available from: </w:t>
      </w:r>
      <w:hyperlink r:id="rId16" w:tgtFrame="_new" w:history="1">
        <w:r w:rsidRPr="0003746C">
          <w:rPr>
            <w:rStyle w:val="Hyperlink"/>
            <w:rFonts w:ascii="Times New Roman" w:hAnsi="Times New Roman" w:cs="Times New Roman"/>
            <w:color w:val="auto"/>
            <w:sz w:val="24"/>
            <w:szCs w:val="24"/>
            <w:lang w:val="en-ID"/>
          </w:rPr>
          <w:t>http://jurnal.uimus.ac.id</w:t>
        </w:r>
      </w:hyperlink>
      <w:r w:rsidRPr="0003746C">
        <w:rPr>
          <w:rFonts w:ascii="Times New Roman" w:hAnsi="Times New Roman" w:cs="Times New Roman"/>
          <w:color w:val="auto"/>
          <w:sz w:val="24"/>
          <w:szCs w:val="24"/>
          <w:lang w:val="en-ID"/>
        </w:rPr>
        <w:t xml:space="preserve"> </w:t>
      </w:r>
    </w:p>
    <w:p w14:paraId="44D612D3" w14:textId="417EAF8B"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proofErr w:type="spellStart"/>
      <w:r w:rsidRPr="0003746C">
        <w:rPr>
          <w:rFonts w:ascii="Times New Roman" w:hAnsi="Times New Roman" w:cs="Times New Roman"/>
          <w:color w:val="auto"/>
          <w:sz w:val="24"/>
          <w:szCs w:val="24"/>
          <w:lang w:val="en-ID"/>
        </w:rPr>
        <w:t>Handayani</w:t>
      </w:r>
      <w:proofErr w:type="spellEnd"/>
      <w:r w:rsidRPr="0003746C">
        <w:rPr>
          <w:rFonts w:ascii="Times New Roman" w:hAnsi="Times New Roman" w:cs="Times New Roman"/>
          <w:color w:val="auto"/>
          <w:sz w:val="24"/>
          <w:szCs w:val="24"/>
          <w:lang w:val="en-ID"/>
        </w:rPr>
        <w:t xml:space="preserve"> D, </w:t>
      </w:r>
      <w:proofErr w:type="spellStart"/>
      <w:r w:rsidRPr="0003746C">
        <w:rPr>
          <w:rFonts w:ascii="Times New Roman" w:hAnsi="Times New Roman" w:cs="Times New Roman"/>
          <w:color w:val="auto"/>
          <w:sz w:val="24"/>
          <w:szCs w:val="24"/>
          <w:lang w:val="en-ID"/>
        </w:rPr>
        <w:t>Zuhirman</w:t>
      </w:r>
      <w:proofErr w:type="spellEnd"/>
      <w:r w:rsidRPr="0003746C">
        <w:rPr>
          <w:rFonts w:ascii="Times New Roman" w:hAnsi="Times New Roman" w:cs="Times New Roman"/>
          <w:color w:val="auto"/>
          <w:sz w:val="24"/>
          <w:szCs w:val="24"/>
          <w:lang w:val="en-ID"/>
        </w:rPr>
        <w:t xml:space="preserve">, Putra RM. Uji </w:t>
      </w:r>
      <w:proofErr w:type="spellStart"/>
      <w:r w:rsidRPr="0003746C">
        <w:rPr>
          <w:rFonts w:ascii="Times New Roman" w:hAnsi="Times New Roman" w:cs="Times New Roman"/>
          <w:color w:val="auto"/>
          <w:sz w:val="24"/>
          <w:szCs w:val="24"/>
          <w:lang w:val="en-ID"/>
        </w:rPr>
        <w:t>resistensi</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nyamuk</w:t>
      </w:r>
      <w:proofErr w:type="spellEnd"/>
      <w:r w:rsidRPr="0003746C">
        <w:rPr>
          <w:rFonts w:ascii="Times New Roman" w:hAnsi="Times New Roman" w:cs="Times New Roman"/>
          <w:color w:val="auto"/>
          <w:sz w:val="24"/>
          <w:szCs w:val="24"/>
          <w:lang w:val="en-ID"/>
        </w:rPr>
        <w:t xml:space="preserve"> Aedes aegypti </w:t>
      </w:r>
      <w:proofErr w:type="spellStart"/>
      <w:r w:rsidRPr="0003746C">
        <w:rPr>
          <w:rFonts w:ascii="Times New Roman" w:hAnsi="Times New Roman" w:cs="Times New Roman"/>
          <w:color w:val="auto"/>
          <w:sz w:val="24"/>
          <w:szCs w:val="24"/>
          <w:lang w:val="en-ID"/>
        </w:rPr>
        <w:t>terhadap</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sipermetrin</w:t>
      </w:r>
      <w:proofErr w:type="spellEnd"/>
      <w:r w:rsidRPr="0003746C">
        <w:rPr>
          <w:rFonts w:ascii="Times New Roman" w:hAnsi="Times New Roman" w:cs="Times New Roman"/>
          <w:color w:val="auto"/>
          <w:sz w:val="24"/>
          <w:szCs w:val="24"/>
          <w:lang w:val="en-ID"/>
        </w:rPr>
        <w:t xml:space="preserve"> 0,05% di Pelabuhan Sungai Duku dan Bandara Sultan Syarif Kasim II </w:t>
      </w:r>
      <w:proofErr w:type="spellStart"/>
      <w:r w:rsidRPr="0003746C">
        <w:rPr>
          <w:rFonts w:ascii="Times New Roman" w:hAnsi="Times New Roman" w:cs="Times New Roman"/>
          <w:color w:val="auto"/>
          <w:sz w:val="24"/>
          <w:szCs w:val="24"/>
          <w:lang w:val="en-ID"/>
        </w:rPr>
        <w:t>Pekanbaru</w:t>
      </w:r>
      <w:proofErr w:type="spellEnd"/>
      <w:r w:rsidRPr="0003746C">
        <w:rPr>
          <w:rFonts w:ascii="Times New Roman" w:hAnsi="Times New Roman" w:cs="Times New Roman"/>
          <w:color w:val="auto"/>
          <w:sz w:val="24"/>
          <w:szCs w:val="24"/>
          <w:lang w:val="en-ID"/>
        </w:rPr>
        <w:t xml:space="preserve">. J </w:t>
      </w:r>
      <w:proofErr w:type="spellStart"/>
      <w:r w:rsidRPr="0003746C">
        <w:rPr>
          <w:rFonts w:ascii="Times New Roman" w:hAnsi="Times New Roman" w:cs="Times New Roman"/>
          <w:color w:val="auto"/>
          <w:sz w:val="24"/>
          <w:szCs w:val="24"/>
          <w:lang w:val="en-ID"/>
        </w:rPr>
        <w:t>Kesehat</w:t>
      </w:r>
      <w:proofErr w:type="spellEnd"/>
      <w:r w:rsidRPr="0003746C">
        <w:rPr>
          <w:rFonts w:ascii="Times New Roman" w:hAnsi="Times New Roman" w:cs="Times New Roman"/>
          <w:color w:val="auto"/>
          <w:sz w:val="24"/>
          <w:szCs w:val="24"/>
          <w:lang w:val="en-ID"/>
        </w:rPr>
        <w:t xml:space="preserve"> Sehati. 2021;1(1):16–21.</w:t>
      </w:r>
      <w:r w:rsidR="00D559F0" w:rsidRPr="0003746C">
        <w:rPr>
          <w:rFonts w:ascii="Times New Roman" w:hAnsi="Times New Roman" w:cs="Times New Roman"/>
          <w:color w:val="auto"/>
          <w:sz w:val="24"/>
          <w:szCs w:val="24"/>
          <w:lang w:val="en-ID"/>
        </w:rPr>
        <w:t xml:space="preserve"> </w:t>
      </w:r>
      <w:r w:rsidR="005A0ACA" w:rsidRPr="0003746C">
        <w:rPr>
          <w:rFonts w:ascii="Times New Roman" w:hAnsi="Times New Roman" w:cs="Times New Roman"/>
          <w:color w:val="auto"/>
          <w:sz w:val="24"/>
          <w:szCs w:val="24"/>
        </w:rPr>
        <w:t>DOI: </w:t>
      </w:r>
      <w:hyperlink r:id="rId17" w:history="1">
        <w:r w:rsidR="005A0ACA" w:rsidRPr="0003746C">
          <w:rPr>
            <w:rStyle w:val="Hyperlink"/>
            <w:rFonts w:ascii="Times New Roman" w:hAnsi="Times New Roman" w:cs="Times New Roman"/>
            <w:color w:val="auto"/>
            <w:sz w:val="24"/>
            <w:szCs w:val="24"/>
            <w:u w:val="none"/>
          </w:rPr>
          <w:t>https://doi.org/10.52364/sehati.v1i1.3</w:t>
        </w:r>
      </w:hyperlink>
    </w:p>
    <w:p w14:paraId="639D1260" w14:textId="77777777"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proofErr w:type="spellStart"/>
      <w:r w:rsidRPr="0003746C">
        <w:rPr>
          <w:rFonts w:ascii="Times New Roman" w:hAnsi="Times New Roman" w:cs="Times New Roman"/>
          <w:color w:val="auto"/>
          <w:sz w:val="24"/>
          <w:szCs w:val="24"/>
          <w:lang w:val="en-ID"/>
        </w:rPr>
        <w:t>Windyaraini</w:t>
      </w:r>
      <w:proofErr w:type="spellEnd"/>
      <w:r w:rsidRPr="0003746C">
        <w:rPr>
          <w:rFonts w:ascii="Times New Roman" w:hAnsi="Times New Roman" w:cs="Times New Roman"/>
          <w:color w:val="auto"/>
          <w:sz w:val="24"/>
          <w:szCs w:val="24"/>
          <w:lang w:val="en-ID"/>
        </w:rPr>
        <w:t xml:space="preserve"> D, Hening. Status </w:t>
      </w:r>
      <w:proofErr w:type="spellStart"/>
      <w:r w:rsidRPr="0003746C">
        <w:rPr>
          <w:rFonts w:ascii="Times New Roman" w:hAnsi="Times New Roman" w:cs="Times New Roman"/>
          <w:color w:val="auto"/>
          <w:sz w:val="24"/>
          <w:szCs w:val="24"/>
          <w:lang w:val="en-ID"/>
        </w:rPr>
        <w:t>resistensi</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terhadap</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insektisida</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organofosfat</w:t>
      </w:r>
      <w:proofErr w:type="spellEnd"/>
      <w:r w:rsidRPr="0003746C">
        <w:rPr>
          <w:rFonts w:ascii="Times New Roman" w:hAnsi="Times New Roman" w:cs="Times New Roman"/>
          <w:color w:val="auto"/>
          <w:sz w:val="24"/>
          <w:szCs w:val="24"/>
          <w:lang w:val="en-ID"/>
        </w:rPr>
        <w:t xml:space="preserve"> dan </w:t>
      </w:r>
      <w:proofErr w:type="spellStart"/>
      <w:r w:rsidRPr="0003746C">
        <w:rPr>
          <w:rFonts w:ascii="Times New Roman" w:hAnsi="Times New Roman" w:cs="Times New Roman"/>
          <w:color w:val="auto"/>
          <w:sz w:val="24"/>
          <w:szCs w:val="24"/>
          <w:lang w:val="en-ID"/>
        </w:rPr>
        <w:t>profil</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isoenzim</w:t>
      </w:r>
      <w:proofErr w:type="spellEnd"/>
      <w:r w:rsidRPr="0003746C">
        <w:rPr>
          <w:rFonts w:ascii="Times New Roman" w:hAnsi="Times New Roman" w:cs="Times New Roman"/>
          <w:color w:val="auto"/>
          <w:sz w:val="24"/>
          <w:szCs w:val="24"/>
          <w:lang w:val="en-ID"/>
        </w:rPr>
        <w:t xml:space="preserve"> esterase non-</w:t>
      </w:r>
      <w:proofErr w:type="spellStart"/>
      <w:r w:rsidRPr="0003746C">
        <w:rPr>
          <w:rFonts w:ascii="Times New Roman" w:hAnsi="Times New Roman" w:cs="Times New Roman"/>
          <w:color w:val="auto"/>
          <w:sz w:val="24"/>
          <w:szCs w:val="24"/>
          <w:lang w:val="en-ID"/>
        </w:rPr>
        <w:t>spesifik</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nyamuk</w:t>
      </w:r>
      <w:proofErr w:type="spellEnd"/>
      <w:r w:rsidRPr="0003746C">
        <w:rPr>
          <w:rFonts w:ascii="Times New Roman" w:hAnsi="Times New Roman" w:cs="Times New Roman"/>
          <w:color w:val="auto"/>
          <w:sz w:val="24"/>
          <w:szCs w:val="24"/>
          <w:lang w:val="en-ID"/>
        </w:rPr>
        <w:t xml:space="preserve"> </w:t>
      </w:r>
      <w:r w:rsidRPr="0003746C">
        <w:rPr>
          <w:rFonts w:ascii="Times New Roman" w:hAnsi="Times New Roman" w:cs="Times New Roman"/>
          <w:i/>
          <w:iCs/>
          <w:color w:val="auto"/>
          <w:sz w:val="24"/>
          <w:szCs w:val="24"/>
          <w:lang w:val="en-ID"/>
        </w:rPr>
        <w:t>Aedes spp</w:t>
      </w:r>
      <w:r w:rsidRPr="0003746C">
        <w:rPr>
          <w:rFonts w:ascii="Times New Roman" w:hAnsi="Times New Roman" w:cs="Times New Roman"/>
          <w:color w:val="auto"/>
          <w:sz w:val="24"/>
          <w:szCs w:val="24"/>
          <w:lang w:val="en-ID"/>
        </w:rPr>
        <w:t xml:space="preserve">. Yogyakarta: Universitas Gadjah Mada; 2015. </w:t>
      </w:r>
    </w:p>
    <w:p w14:paraId="1BD6D208" w14:textId="1F1966F0" w:rsidR="0026505D"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Susanty E, Lesmana SD, Taufik R. Status </w:t>
      </w:r>
      <w:proofErr w:type="spellStart"/>
      <w:r w:rsidRPr="0003746C">
        <w:rPr>
          <w:rFonts w:ascii="Times New Roman" w:hAnsi="Times New Roman" w:cs="Times New Roman"/>
          <w:color w:val="auto"/>
          <w:sz w:val="24"/>
          <w:szCs w:val="24"/>
          <w:lang w:val="en-ID"/>
        </w:rPr>
        <w:t>resistensi</w:t>
      </w:r>
      <w:proofErr w:type="spellEnd"/>
      <w:r w:rsidRPr="0003746C">
        <w:rPr>
          <w:rFonts w:ascii="Times New Roman" w:hAnsi="Times New Roman" w:cs="Times New Roman"/>
          <w:color w:val="auto"/>
          <w:sz w:val="24"/>
          <w:szCs w:val="24"/>
          <w:lang w:val="en-ID"/>
        </w:rPr>
        <w:t xml:space="preserve"> Aedes aegypti </w:t>
      </w:r>
      <w:proofErr w:type="spellStart"/>
      <w:r w:rsidRPr="0003746C">
        <w:rPr>
          <w:rFonts w:ascii="Times New Roman" w:hAnsi="Times New Roman" w:cs="Times New Roman"/>
          <w:color w:val="auto"/>
          <w:sz w:val="24"/>
          <w:szCs w:val="24"/>
          <w:lang w:val="en-ID"/>
        </w:rPr>
        <w:t>terhadap</w:t>
      </w:r>
      <w:proofErr w:type="spellEnd"/>
      <w:r w:rsidRPr="0003746C">
        <w:rPr>
          <w:rFonts w:ascii="Times New Roman" w:hAnsi="Times New Roman" w:cs="Times New Roman"/>
          <w:color w:val="auto"/>
          <w:sz w:val="24"/>
          <w:szCs w:val="24"/>
          <w:lang w:val="en-ID"/>
        </w:rPr>
        <w:t xml:space="preserve"> malathion 0,8% di </w:t>
      </w:r>
      <w:proofErr w:type="spellStart"/>
      <w:r w:rsidRPr="0003746C">
        <w:rPr>
          <w:rFonts w:ascii="Times New Roman" w:hAnsi="Times New Roman" w:cs="Times New Roman"/>
          <w:color w:val="auto"/>
          <w:sz w:val="24"/>
          <w:szCs w:val="24"/>
          <w:lang w:val="en-ID"/>
        </w:rPr>
        <w:t>Kelurahan</w:t>
      </w:r>
      <w:proofErr w:type="spellEnd"/>
      <w:r w:rsidRPr="0003746C">
        <w:rPr>
          <w:rFonts w:ascii="Times New Roman" w:hAnsi="Times New Roman" w:cs="Times New Roman"/>
          <w:color w:val="auto"/>
          <w:sz w:val="24"/>
          <w:szCs w:val="24"/>
          <w:lang w:val="en-ID"/>
        </w:rPr>
        <w:t xml:space="preserve"> Labuh Baru Timur </w:t>
      </w:r>
      <w:proofErr w:type="spellStart"/>
      <w:r w:rsidRPr="0003746C">
        <w:rPr>
          <w:rFonts w:ascii="Times New Roman" w:hAnsi="Times New Roman" w:cs="Times New Roman"/>
          <w:color w:val="auto"/>
          <w:sz w:val="24"/>
          <w:szCs w:val="24"/>
          <w:lang w:val="en-ID"/>
        </w:rPr>
        <w:t>Kecamatan</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Payung</w:t>
      </w:r>
      <w:proofErr w:type="spellEnd"/>
      <w:r w:rsidRPr="0003746C">
        <w:rPr>
          <w:rFonts w:ascii="Times New Roman" w:hAnsi="Times New Roman" w:cs="Times New Roman"/>
          <w:color w:val="auto"/>
          <w:sz w:val="24"/>
          <w:szCs w:val="24"/>
          <w:lang w:val="en-ID"/>
        </w:rPr>
        <w:t xml:space="preserve"> </w:t>
      </w:r>
      <w:proofErr w:type="spellStart"/>
      <w:r w:rsidRPr="0003746C">
        <w:rPr>
          <w:rFonts w:ascii="Times New Roman" w:hAnsi="Times New Roman" w:cs="Times New Roman"/>
          <w:color w:val="auto"/>
          <w:sz w:val="24"/>
          <w:szCs w:val="24"/>
          <w:lang w:val="en-ID"/>
        </w:rPr>
        <w:t>Sekaki</w:t>
      </w:r>
      <w:proofErr w:type="spellEnd"/>
      <w:r w:rsidRPr="0003746C">
        <w:rPr>
          <w:rFonts w:ascii="Times New Roman" w:hAnsi="Times New Roman" w:cs="Times New Roman"/>
          <w:color w:val="auto"/>
          <w:sz w:val="24"/>
          <w:szCs w:val="24"/>
          <w:lang w:val="en-ID"/>
        </w:rPr>
        <w:t xml:space="preserve"> Kota </w:t>
      </w:r>
      <w:proofErr w:type="spellStart"/>
      <w:r w:rsidRPr="0003746C">
        <w:rPr>
          <w:rFonts w:ascii="Times New Roman" w:hAnsi="Times New Roman" w:cs="Times New Roman"/>
          <w:color w:val="auto"/>
          <w:sz w:val="24"/>
          <w:szCs w:val="24"/>
          <w:lang w:val="en-ID"/>
        </w:rPr>
        <w:t>Pekanbaru</w:t>
      </w:r>
      <w:proofErr w:type="spellEnd"/>
      <w:r w:rsidRPr="0003746C">
        <w:rPr>
          <w:rFonts w:ascii="Times New Roman" w:hAnsi="Times New Roman" w:cs="Times New Roman"/>
          <w:color w:val="auto"/>
          <w:sz w:val="24"/>
          <w:szCs w:val="24"/>
          <w:lang w:val="en-ID"/>
        </w:rPr>
        <w:t xml:space="preserve">. J Med Udayana. 2023;12(4):38–42. </w:t>
      </w:r>
      <w:r w:rsidR="005E0A5D" w:rsidRPr="0003746C">
        <w:rPr>
          <w:rFonts w:ascii="Times New Roman" w:hAnsi="Times New Roman" w:cs="Times New Roman"/>
          <w:color w:val="auto"/>
          <w:sz w:val="24"/>
          <w:szCs w:val="24"/>
          <w:lang w:val="en-ID"/>
        </w:rPr>
        <w:t>DOI: https://doi.org/10.31964/jkl.v23i1.1082</w:t>
      </w:r>
    </w:p>
    <w:p w14:paraId="1C4102A7" w14:textId="23ED7AF3" w:rsidR="00F150B2" w:rsidRPr="0003746C" w:rsidRDefault="0026505D" w:rsidP="00712CA2">
      <w:pPr>
        <w:pStyle w:val="Heading1"/>
        <w:widowControl w:val="0"/>
        <w:numPr>
          <w:ilvl w:val="0"/>
          <w:numId w:val="1"/>
        </w:numPr>
        <w:tabs>
          <w:tab w:val="clear" w:pos="720"/>
          <w:tab w:val="num" w:pos="360"/>
          <w:tab w:val="num" w:pos="851"/>
        </w:tabs>
        <w:autoSpaceDE w:val="0"/>
        <w:autoSpaceDN w:val="0"/>
        <w:spacing w:before="79" w:after="0"/>
        <w:ind w:left="142" w:hanging="284"/>
        <w:jc w:val="both"/>
        <w:rPr>
          <w:rFonts w:ascii="Times New Roman" w:hAnsi="Times New Roman" w:cs="Times New Roman"/>
          <w:color w:val="auto"/>
          <w:sz w:val="24"/>
          <w:szCs w:val="24"/>
          <w:lang w:val="en-ID"/>
        </w:rPr>
      </w:pPr>
      <w:r w:rsidRPr="0003746C">
        <w:rPr>
          <w:rFonts w:ascii="Times New Roman" w:hAnsi="Times New Roman" w:cs="Times New Roman"/>
          <w:color w:val="auto"/>
          <w:sz w:val="24"/>
          <w:szCs w:val="24"/>
          <w:lang w:val="en-ID"/>
        </w:rPr>
        <w:t xml:space="preserve">Couso-Ferrer F, Arouri R, </w:t>
      </w:r>
      <w:proofErr w:type="spellStart"/>
      <w:r w:rsidRPr="0003746C">
        <w:rPr>
          <w:rFonts w:ascii="Times New Roman" w:hAnsi="Times New Roman" w:cs="Times New Roman"/>
          <w:color w:val="auto"/>
          <w:sz w:val="24"/>
          <w:szCs w:val="24"/>
          <w:lang w:val="en-ID"/>
        </w:rPr>
        <w:t>Beroiz</w:t>
      </w:r>
      <w:proofErr w:type="spellEnd"/>
      <w:r w:rsidRPr="0003746C">
        <w:rPr>
          <w:rFonts w:ascii="Times New Roman" w:hAnsi="Times New Roman" w:cs="Times New Roman"/>
          <w:color w:val="auto"/>
          <w:sz w:val="24"/>
          <w:szCs w:val="24"/>
          <w:lang w:val="en-ID"/>
        </w:rPr>
        <w:t xml:space="preserve"> B, Perera N, Cervera A, Navarro-Llopis V. Cross-resistance to insecticides in a malathion-resistant strain of Ceratitis capitata (Diptera: </w:t>
      </w:r>
      <w:proofErr w:type="spellStart"/>
      <w:r w:rsidRPr="0003746C">
        <w:rPr>
          <w:rFonts w:ascii="Times New Roman" w:hAnsi="Times New Roman" w:cs="Times New Roman"/>
          <w:color w:val="auto"/>
          <w:sz w:val="24"/>
          <w:szCs w:val="24"/>
          <w:lang w:val="en-ID"/>
        </w:rPr>
        <w:t>Tephritidae</w:t>
      </w:r>
      <w:proofErr w:type="spellEnd"/>
      <w:r w:rsidRPr="0003746C">
        <w:rPr>
          <w:rFonts w:ascii="Times New Roman" w:hAnsi="Times New Roman" w:cs="Times New Roman"/>
          <w:color w:val="auto"/>
          <w:sz w:val="24"/>
          <w:szCs w:val="24"/>
          <w:lang w:val="en-ID"/>
        </w:rPr>
        <w:t xml:space="preserve">). J Econ </w:t>
      </w:r>
      <w:proofErr w:type="spellStart"/>
      <w:r w:rsidRPr="0003746C">
        <w:rPr>
          <w:rFonts w:ascii="Times New Roman" w:hAnsi="Times New Roman" w:cs="Times New Roman"/>
          <w:color w:val="auto"/>
          <w:sz w:val="24"/>
          <w:szCs w:val="24"/>
          <w:lang w:val="en-ID"/>
        </w:rPr>
        <w:t>Entomol</w:t>
      </w:r>
      <w:proofErr w:type="spellEnd"/>
      <w:r w:rsidRPr="0003746C">
        <w:rPr>
          <w:rFonts w:ascii="Times New Roman" w:hAnsi="Times New Roman" w:cs="Times New Roman"/>
          <w:color w:val="auto"/>
          <w:sz w:val="24"/>
          <w:szCs w:val="24"/>
          <w:lang w:val="en-ID"/>
        </w:rPr>
        <w:t xml:space="preserve">. 2011;104(4):1349–1356. </w:t>
      </w:r>
      <w:r w:rsidR="005E0A5D" w:rsidRPr="0003746C">
        <w:rPr>
          <w:rFonts w:ascii="Times New Roman" w:hAnsi="Times New Roman" w:cs="Times New Roman"/>
          <w:color w:val="auto"/>
          <w:sz w:val="24"/>
          <w:szCs w:val="24"/>
          <w:lang w:val="en-ID"/>
        </w:rPr>
        <w:t>DOI: https://doi.org/10.1603/EC11082</w:t>
      </w:r>
    </w:p>
    <w:sectPr w:rsidR="00F150B2" w:rsidRPr="0003746C" w:rsidSect="006F05A4">
      <w:pgSz w:w="11906" w:h="16838" w:code="9"/>
      <w:pgMar w:top="1418" w:right="1418" w:bottom="1418" w:left="1418" w:header="709" w:footer="709" w:gutter="0"/>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BC371A" w14:textId="77777777" w:rsidR="00D36A05" w:rsidRDefault="00D36A05" w:rsidP="00971424">
      <w:r>
        <w:separator/>
      </w:r>
    </w:p>
  </w:endnote>
  <w:endnote w:type="continuationSeparator" w:id="0">
    <w:p w14:paraId="094B0FCC" w14:textId="77777777" w:rsidR="00D36A05" w:rsidRDefault="00D36A05" w:rsidP="00971424">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s>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98FFDF2" w14:textId="77777777" w:rsidR="00D36A05" w:rsidRDefault="00D36A05" w:rsidP="00971424">
      <w:r>
        <w:separator/>
      </w:r>
    </w:p>
  </w:footnote>
  <w:footnote w:type="continuationSeparator" w:id="0">
    <w:p w14:paraId="54D05DB4" w14:textId="77777777" w:rsidR="00D36A05" w:rsidRDefault="00D36A05" w:rsidP="00971424">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D914091" w14:textId="604DB3BC" w:rsidR="00971424" w:rsidRDefault="00971424" w:rsidP="002C5C45">
    <w:pPr>
      <w:pStyle w:val="Heade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919440C"/>
    <w:multiLevelType w:val="multilevel"/>
    <w:tmpl w:val="D5DA8A66"/>
    <w:lvl w:ilvl="0">
      <w:start w:val="1"/>
      <w:numFmt w:val="decimal"/>
      <w:lvlText w:val="%1."/>
      <w:lvlJc w:val="left"/>
      <w:pPr>
        <w:tabs>
          <w:tab w:val="num" w:pos="720"/>
        </w:tabs>
        <w:ind w:left="720" w:hanging="360"/>
      </w:pPr>
      <w:rPr>
        <w:rFonts w:ascii="Arial" w:hAnsi="Arial" w:cs="Arial" w:hint="default"/>
        <w:color w:val="auto"/>
        <w:sz w:val="24"/>
        <w:szCs w:val="24"/>
      </w:r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num w:numId="1" w16cid:durableId="460926813">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26505D"/>
    <w:rsid w:val="00000F1E"/>
    <w:rsid w:val="0003746C"/>
    <w:rsid w:val="000626B5"/>
    <w:rsid w:val="000671FB"/>
    <w:rsid w:val="00080111"/>
    <w:rsid w:val="0009223A"/>
    <w:rsid w:val="000C5AE2"/>
    <w:rsid w:val="000F2A3E"/>
    <w:rsid w:val="0011163F"/>
    <w:rsid w:val="00167B98"/>
    <w:rsid w:val="001942F4"/>
    <w:rsid w:val="001A4B8A"/>
    <w:rsid w:val="001A6D9D"/>
    <w:rsid w:val="002152FA"/>
    <w:rsid w:val="00252178"/>
    <w:rsid w:val="00263C13"/>
    <w:rsid w:val="0026505D"/>
    <w:rsid w:val="002C5C45"/>
    <w:rsid w:val="00313745"/>
    <w:rsid w:val="003B0B8A"/>
    <w:rsid w:val="003E42B4"/>
    <w:rsid w:val="00402C47"/>
    <w:rsid w:val="004467C7"/>
    <w:rsid w:val="004C3DB7"/>
    <w:rsid w:val="004C5FDF"/>
    <w:rsid w:val="004C6424"/>
    <w:rsid w:val="004D797F"/>
    <w:rsid w:val="004F0CAF"/>
    <w:rsid w:val="00515E83"/>
    <w:rsid w:val="005256E5"/>
    <w:rsid w:val="00526003"/>
    <w:rsid w:val="00550EF8"/>
    <w:rsid w:val="00580109"/>
    <w:rsid w:val="00583F75"/>
    <w:rsid w:val="005A0ACA"/>
    <w:rsid w:val="005D4929"/>
    <w:rsid w:val="005D54A2"/>
    <w:rsid w:val="005E0A5D"/>
    <w:rsid w:val="00605EC2"/>
    <w:rsid w:val="0062198B"/>
    <w:rsid w:val="006F05A4"/>
    <w:rsid w:val="00712CA2"/>
    <w:rsid w:val="00714A1D"/>
    <w:rsid w:val="007B0A9C"/>
    <w:rsid w:val="007C4D4A"/>
    <w:rsid w:val="007F1634"/>
    <w:rsid w:val="008024B9"/>
    <w:rsid w:val="00963171"/>
    <w:rsid w:val="00970174"/>
    <w:rsid w:val="00971424"/>
    <w:rsid w:val="00983EE4"/>
    <w:rsid w:val="00B35942"/>
    <w:rsid w:val="00B515E0"/>
    <w:rsid w:val="00BD679C"/>
    <w:rsid w:val="00BD67F1"/>
    <w:rsid w:val="00BE321E"/>
    <w:rsid w:val="00C43FEE"/>
    <w:rsid w:val="00C92ED7"/>
    <w:rsid w:val="00CD2EAD"/>
    <w:rsid w:val="00D36A05"/>
    <w:rsid w:val="00D559F0"/>
    <w:rsid w:val="00D67A9E"/>
    <w:rsid w:val="00D97881"/>
    <w:rsid w:val="00DE70DF"/>
    <w:rsid w:val="00E55A29"/>
    <w:rsid w:val="00E64D77"/>
    <w:rsid w:val="00EF043D"/>
    <w:rsid w:val="00F150B2"/>
    <w:rsid w:val="00F76585"/>
    <w:rsid w:val="00FA2B63"/>
  </w:rsids>
  <m:mathPr>
    <m:mathFont m:val="Cambria Math"/>
    <m:brkBin m:val="before"/>
    <m:brkBinSub m:val="--"/>
    <m:smallFrac m:val="0"/>
    <m:dispDef/>
    <m:lMargin m:val="0"/>
    <m:rMargin m:val="0"/>
    <m:defJc m:val="centerGroup"/>
    <m:wrapIndent m:val="1440"/>
    <m:intLim m:val="subSup"/>
    <m:naryLim m:val="undOvr"/>
  </m:mathPr>
  <w:themeFontLang w:val="en-ID"/>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0A514E0"/>
  <w15:chartTrackingRefBased/>
  <w15:docId w15:val="{7ECF9E46-AA4C-4421-A616-DF15ACA3AA9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D"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iPriority="0"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26505D"/>
    <w:pPr>
      <w:spacing w:after="0" w:line="240" w:lineRule="auto"/>
    </w:pPr>
    <w:rPr>
      <w:rFonts w:ascii="Times New Roman" w:eastAsia="Times New Roman" w:hAnsi="Times New Roman" w:cs="Times New Roman"/>
      <w:kern w:val="0"/>
      <w:lang w:val="en-GB"/>
      <w14:ligatures w14:val="none"/>
    </w:rPr>
  </w:style>
  <w:style w:type="paragraph" w:styleId="Heading1">
    <w:name w:val="heading 1"/>
    <w:basedOn w:val="Normal"/>
    <w:next w:val="Normal"/>
    <w:link w:val="Heading1Char"/>
    <w:uiPriority w:val="9"/>
    <w:qFormat/>
    <w:rsid w:val="0026505D"/>
    <w:pPr>
      <w:keepNext/>
      <w:keepLines/>
      <w:spacing w:before="360" w:after="80"/>
      <w:outlineLvl w:val="0"/>
    </w:pPr>
    <w:rPr>
      <w:rFonts w:asciiTheme="majorHAnsi" w:eastAsiaTheme="majorEastAsia" w:hAnsiTheme="majorHAnsi" w:cstheme="majorBidi"/>
      <w:color w:val="2F5496" w:themeColor="accent1" w:themeShade="BF"/>
      <w:sz w:val="40"/>
      <w:szCs w:val="40"/>
    </w:rPr>
  </w:style>
  <w:style w:type="paragraph" w:styleId="Heading2">
    <w:name w:val="heading 2"/>
    <w:basedOn w:val="Normal"/>
    <w:next w:val="Normal"/>
    <w:link w:val="Heading2Char"/>
    <w:uiPriority w:val="9"/>
    <w:unhideWhenUsed/>
    <w:qFormat/>
    <w:rsid w:val="0026505D"/>
    <w:pPr>
      <w:keepNext/>
      <w:keepLines/>
      <w:spacing w:before="160" w:after="80"/>
      <w:outlineLvl w:val="1"/>
    </w:pPr>
    <w:rPr>
      <w:rFonts w:asciiTheme="majorHAnsi" w:eastAsiaTheme="majorEastAsia" w:hAnsiTheme="majorHAnsi" w:cstheme="majorBidi"/>
      <w:color w:val="2F5496" w:themeColor="accent1" w:themeShade="BF"/>
      <w:sz w:val="32"/>
      <w:szCs w:val="32"/>
    </w:rPr>
  </w:style>
  <w:style w:type="paragraph" w:styleId="Heading3">
    <w:name w:val="heading 3"/>
    <w:basedOn w:val="Normal"/>
    <w:next w:val="Normal"/>
    <w:link w:val="Heading3Char"/>
    <w:uiPriority w:val="9"/>
    <w:semiHidden/>
    <w:unhideWhenUsed/>
    <w:qFormat/>
    <w:rsid w:val="0026505D"/>
    <w:pPr>
      <w:keepNext/>
      <w:keepLines/>
      <w:spacing w:before="160" w:after="80"/>
      <w:outlineLvl w:val="2"/>
    </w:pPr>
    <w:rPr>
      <w:rFonts w:eastAsiaTheme="majorEastAsia" w:cstheme="majorBidi"/>
      <w:color w:val="2F5496" w:themeColor="accent1" w:themeShade="BF"/>
      <w:sz w:val="28"/>
      <w:szCs w:val="28"/>
    </w:rPr>
  </w:style>
  <w:style w:type="paragraph" w:styleId="Heading4">
    <w:name w:val="heading 4"/>
    <w:basedOn w:val="Normal"/>
    <w:next w:val="Normal"/>
    <w:link w:val="Heading4Char"/>
    <w:uiPriority w:val="9"/>
    <w:semiHidden/>
    <w:unhideWhenUsed/>
    <w:qFormat/>
    <w:rsid w:val="0026505D"/>
    <w:pPr>
      <w:keepNext/>
      <w:keepLines/>
      <w:spacing w:before="80" w:after="40"/>
      <w:outlineLvl w:val="3"/>
    </w:pPr>
    <w:rPr>
      <w:rFonts w:eastAsiaTheme="majorEastAsia" w:cstheme="majorBidi"/>
      <w:i/>
      <w:iCs/>
      <w:color w:val="2F5496" w:themeColor="accent1" w:themeShade="BF"/>
    </w:rPr>
  </w:style>
  <w:style w:type="paragraph" w:styleId="Heading5">
    <w:name w:val="heading 5"/>
    <w:basedOn w:val="Normal"/>
    <w:next w:val="Normal"/>
    <w:link w:val="Heading5Char"/>
    <w:uiPriority w:val="9"/>
    <w:semiHidden/>
    <w:unhideWhenUsed/>
    <w:qFormat/>
    <w:rsid w:val="0026505D"/>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26505D"/>
    <w:pPr>
      <w:keepNext/>
      <w:keepLines/>
      <w:spacing w:before="4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26505D"/>
    <w:pPr>
      <w:keepNext/>
      <w:keepLines/>
      <w:spacing w:before="4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26505D"/>
    <w:pPr>
      <w:keepNext/>
      <w:keepLines/>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26505D"/>
    <w:pPr>
      <w:keepNext/>
      <w:keepLines/>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26505D"/>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26505D"/>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26505D"/>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26505D"/>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26505D"/>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26505D"/>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26505D"/>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26505D"/>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26505D"/>
    <w:rPr>
      <w:rFonts w:eastAsiaTheme="majorEastAsia" w:cstheme="majorBidi"/>
      <w:color w:val="272727" w:themeColor="text1" w:themeTint="D8"/>
    </w:rPr>
  </w:style>
  <w:style w:type="paragraph" w:styleId="Title">
    <w:name w:val="Title"/>
    <w:basedOn w:val="Normal"/>
    <w:next w:val="Normal"/>
    <w:link w:val="TitleChar"/>
    <w:uiPriority w:val="10"/>
    <w:qFormat/>
    <w:rsid w:val="0026505D"/>
    <w:pPr>
      <w:spacing w:after="80"/>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26505D"/>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26505D"/>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26505D"/>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26505D"/>
    <w:pPr>
      <w:spacing w:before="160"/>
      <w:jc w:val="center"/>
    </w:pPr>
    <w:rPr>
      <w:i/>
      <w:iCs/>
      <w:color w:val="404040" w:themeColor="text1" w:themeTint="BF"/>
    </w:rPr>
  </w:style>
  <w:style w:type="character" w:customStyle="1" w:styleId="QuoteChar">
    <w:name w:val="Quote Char"/>
    <w:basedOn w:val="DefaultParagraphFont"/>
    <w:link w:val="Quote"/>
    <w:uiPriority w:val="29"/>
    <w:rsid w:val="0026505D"/>
    <w:rPr>
      <w:i/>
      <w:iCs/>
      <w:color w:val="404040" w:themeColor="text1" w:themeTint="BF"/>
    </w:rPr>
  </w:style>
  <w:style w:type="paragraph" w:styleId="ListParagraph">
    <w:name w:val="List Paragraph"/>
    <w:basedOn w:val="Normal"/>
    <w:uiPriority w:val="34"/>
    <w:qFormat/>
    <w:rsid w:val="0026505D"/>
    <w:pPr>
      <w:ind w:left="720"/>
      <w:contextualSpacing/>
    </w:pPr>
  </w:style>
  <w:style w:type="character" w:styleId="IntenseEmphasis">
    <w:name w:val="Intense Emphasis"/>
    <w:basedOn w:val="DefaultParagraphFont"/>
    <w:uiPriority w:val="21"/>
    <w:qFormat/>
    <w:rsid w:val="0026505D"/>
    <w:rPr>
      <w:i/>
      <w:iCs/>
      <w:color w:val="2F5496" w:themeColor="accent1" w:themeShade="BF"/>
    </w:rPr>
  </w:style>
  <w:style w:type="paragraph" w:styleId="IntenseQuote">
    <w:name w:val="Intense Quote"/>
    <w:basedOn w:val="Normal"/>
    <w:next w:val="Normal"/>
    <w:link w:val="IntenseQuoteChar"/>
    <w:uiPriority w:val="30"/>
    <w:qFormat/>
    <w:rsid w:val="0026505D"/>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26505D"/>
    <w:rPr>
      <w:i/>
      <w:iCs/>
      <w:color w:val="2F5496" w:themeColor="accent1" w:themeShade="BF"/>
    </w:rPr>
  </w:style>
  <w:style w:type="character" w:styleId="IntenseReference">
    <w:name w:val="Intense Reference"/>
    <w:basedOn w:val="DefaultParagraphFont"/>
    <w:uiPriority w:val="32"/>
    <w:qFormat/>
    <w:rsid w:val="0026505D"/>
    <w:rPr>
      <w:b/>
      <w:bCs/>
      <w:smallCaps/>
      <w:color w:val="2F5496" w:themeColor="accent1" w:themeShade="BF"/>
      <w:spacing w:val="5"/>
    </w:rPr>
  </w:style>
  <w:style w:type="character" w:styleId="Hyperlink">
    <w:name w:val="Hyperlink"/>
    <w:basedOn w:val="DefaultParagraphFont"/>
    <w:semiHidden/>
    <w:rsid w:val="0026505D"/>
    <w:rPr>
      <w:color w:val="0000FF"/>
      <w:u w:val="single"/>
    </w:rPr>
  </w:style>
  <w:style w:type="table" w:styleId="TableGrid">
    <w:name w:val="Table Grid"/>
    <w:basedOn w:val="TableNormal"/>
    <w:uiPriority w:val="39"/>
    <w:rsid w:val="0026505D"/>
    <w:pPr>
      <w:spacing w:after="0" w:line="240" w:lineRule="auto"/>
    </w:pPr>
    <w:rPr>
      <w:rFonts w:ascii="Times New Roman" w:eastAsia="Times New Roman" w:hAnsi="Times New Roman" w:cs="Times New Roman"/>
      <w:kern w:val="0"/>
      <w:sz w:val="20"/>
      <w:szCs w:val="20"/>
      <w:lang w:val="en-US"/>
      <w14:ligatures w14:val="none"/>
    </w:rPr>
    <w:tblP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Pr>
  </w:style>
  <w:style w:type="paragraph" w:styleId="BodyText">
    <w:name w:val="Body Text"/>
    <w:basedOn w:val="Normal"/>
    <w:link w:val="BodyTextChar"/>
    <w:uiPriority w:val="1"/>
    <w:qFormat/>
    <w:rsid w:val="0026505D"/>
    <w:pPr>
      <w:widowControl w:val="0"/>
      <w:autoSpaceDE w:val="0"/>
      <w:autoSpaceDN w:val="0"/>
    </w:pPr>
    <w:rPr>
      <w:rFonts w:ascii="Cambria" w:eastAsia="Cambria" w:hAnsi="Cambria" w:cs="Cambria"/>
      <w:sz w:val="20"/>
      <w:szCs w:val="20"/>
      <w:lang w:val="en-US"/>
    </w:rPr>
  </w:style>
  <w:style w:type="character" w:customStyle="1" w:styleId="BodyTextChar">
    <w:name w:val="Body Text Char"/>
    <w:basedOn w:val="DefaultParagraphFont"/>
    <w:link w:val="BodyText"/>
    <w:uiPriority w:val="1"/>
    <w:rsid w:val="0026505D"/>
    <w:rPr>
      <w:rFonts w:ascii="Cambria" w:eastAsia="Cambria" w:hAnsi="Cambria" w:cs="Cambria"/>
      <w:kern w:val="0"/>
      <w:sz w:val="20"/>
      <w:szCs w:val="20"/>
      <w:lang w:val="en-US"/>
      <w14:ligatures w14:val="none"/>
    </w:rPr>
  </w:style>
  <w:style w:type="paragraph" w:styleId="Header">
    <w:name w:val="header"/>
    <w:basedOn w:val="Normal"/>
    <w:link w:val="HeaderChar"/>
    <w:uiPriority w:val="99"/>
    <w:unhideWhenUsed/>
    <w:rsid w:val="00971424"/>
    <w:pPr>
      <w:tabs>
        <w:tab w:val="center" w:pos="4513"/>
        <w:tab w:val="right" w:pos="9026"/>
      </w:tabs>
    </w:pPr>
  </w:style>
  <w:style w:type="character" w:customStyle="1" w:styleId="HeaderChar">
    <w:name w:val="Header Char"/>
    <w:basedOn w:val="DefaultParagraphFont"/>
    <w:link w:val="Header"/>
    <w:uiPriority w:val="99"/>
    <w:rsid w:val="00971424"/>
    <w:rPr>
      <w:rFonts w:ascii="Times New Roman" w:eastAsia="Times New Roman" w:hAnsi="Times New Roman" w:cs="Times New Roman"/>
      <w:kern w:val="0"/>
      <w:lang w:val="en-GB"/>
      <w14:ligatures w14:val="none"/>
    </w:rPr>
  </w:style>
  <w:style w:type="paragraph" w:styleId="Footer">
    <w:name w:val="footer"/>
    <w:basedOn w:val="Normal"/>
    <w:link w:val="FooterChar"/>
    <w:uiPriority w:val="99"/>
    <w:unhideWhenUsed/>
    <w:rsid w:val="00971424"/>
    <w:pPr>
      <w:tabs>
        <w:tab w:val="center" w:pos="4513"/>
        <w:tab w:val="right" w:pos="9026"/>
      </w:tabs>
    </w:pPr>
  </w:style>
  <w:style w:type="character" w:customStyle="1" w:styleId="FooterChar">
    <w:name w:val="Footer Char"/>
    <w:basedOn w:val="DefaultParagraphFont"/>
    <w:link w:val="Footer"/>
    <w:uiPriority w:val="99"/>
    <w:rsid w:val="00971424"/>
    <w:rPr>
      <w:rFonts w:ascii="Times New Roman" w:eastAsia="Times New Roman" w:hAnsi="Times New Roman" w:cs="Times New Roman"/>
      <w:kern w:val="0"/>
      <w:lang w:val="en-GB"/>
      <w14:ligatures w14:val="none"/>
    </w:rPr>
  </w:style>
  <w:style w:type="character" w:styleId="UnresolvedMention">
    <w:name w:val="Unresolved Mention"/>
    <w:basedOn w:val="DefaultParagraphFont"/>
    <w:uiPriority w:val="99"/>
    <w:semiHidden/>
    <w:unhideWhenUsed/>
    <w:rsid w:val="00C43FEE"/>
    <w:rPr>
      <w:color w:val="605E5C"/>
      <w:shd w:val="clear" w:color="auto" w:fill="E1DFDD"/>
    </w:rPr>
  </w:style>
  <w:style w:type="character" w:customStyle="1" w:styleId="value">
    <w:name w:val="value"/>
    <w:basedOn w:val="DefaultParagraphFont"/>
    <w:rsid w:val="00C43FEE"/>
  </w:style>
  <w:style w:type="paragraph" w:customStyle="1" w:styleId="ListParagraph1">
    <w:name w:val="List Paragraph1"/>
    <w:basedOn w:val="Normal"/>
    <w:link w:val="ListParagraphChar"/>
    <w:uiPriority w:val="1"/>
    <w:qFormat/>
    <w:rsid w:val="00263C13"/>
    <w:pPr>
      <w:spacing w:after="200" w:line="276" w:lineRule="auto"/>
      <w:ind w:left="720"/>
      <w:contextualSpacing/>
    </w:pPr>
    <w:rPr>
      <w:rFonts w:asciiTheme="minorHAnsi" w:eastAsiaTheme="minorEastAsia" w:hAnsiTheme="minorHAnsi" w:cstheme="minorBidi"/>
      <w:sz w:val="22"/>
      <w:szCs w:val="22"/>
      <w:lang w:val="id-ID" w:eastAsia="ko-KR"/>
    </w:rPr>
  </w:style>
  <w:style w:type="character" w:customStyle="1" w:styleId="ListParagraphChar">
    <w:name w:val="List Paragraph Char"/>
    <w:link w:val="ListParagraph1"/>
    <w:uiPriority w:val="1"/>
    <w:qFormat/>
    <w:locked/>
    <w:rsid w:val="00263C13"/>
    <w:rPr>
      <w:rFonts w:eastAsiaTheme="minorEastAsia"/>
      <w:kern w:val="0"/>
      <w:sz w:val="22"/>
      <w:szCs w:val="22"/>
      <w:lang w:val="id-ID" w:eastAsia="ko-KR"/>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hyperlink" Target="https://doi.org/10.3390/insects12040276" TargetMode="External"/><Relationship Id="rId18" Type="http://schemas.openxmlformats.org/officeDocument/2006/relationships/fontTable" Target="fontTable.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yperlink" Target="https://doi.org/10.1016/bs.ant.2019.11.002" TargetMode="External"/><Relationship Id="rId17" Type="http://schemas.openxmlformats.org/officeDocument/2006/relationships/hyperlink" Target="https://doi.org/10.52364/sehati.v1i1.3" TargetMode="External"/><Relationship Id="rId2" Type="http://schemas.openxmlformats.org/officeDocument/2006/relationships/numbering" Target="numbering.xml"/><Relationship Id="rId16" Type="http://schemas.openxmlformats.org/officeDocument/2006/relationships/hyperlink" Target="http://jurnal.uimus.ac.id" TargetMode="Externa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doi.org/10.18196/mmjkk.v7i2%20(s).1661" TargetMode="External"/><Relationship Id="rId5" Type="http://schemas.openxmlformats.org/officeDocument/2006/relationships/webSettings" Target="webSettings.xml"/><Relationship Id="rId15" Type="http://schemas.openxmlformats.org/officeDocument/2006/relationships/hyperlink" Target="https://doi.org/10.26630/rj.v15i1.2608" TargetMode="External"/><Relationship Id="rId10" Type="http://schemas.openxmlformats.org/officeDocument/2006/relationships/hyperlink" Target="https://doi.org/10.33772/medula.v2i2.2542" TargetMode="External"/><Relationship Id="rId19"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hyperlink" Target="https://www.who.int/emergencies/disease-outbreak-news/item/2023-DON518" TargetMode="External"/><Relationship Id="rId14" Type="http://schemas.openxmlformats.org/officeDocument/2006/relationships/hyperlink" Target="https://doi.org/10.3389/fmicb.2022.1069754"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A78A6496-C322-42A8-B284-03E1517CF0A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167</TotalTime>
  <Pages>7</Pages>
  <Words>2417</Words>
  <Characters>13783</Characters>
  <Application>Microsoft Office Word</Application>
  <DocSecurity>0</DocSecurity>
  <Lines>114</Lines>
  <Paragraphs>32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16168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Hi</dc:creator>
  <cp:keywords/>
  <dc:description/>
  <cp:lastModifiedBy>Hi</cp:lastModifiedBy>
  <cp:revision>53</cp:revision>
  <dcterms:created xsi:type="dcterms:W3CDTF">2026-03-26T07:27:00Z</dcterms:created>
  <dcterms:modified xsi:type="dcterms:W3CDTF">2026-04-01T01:47:00Z</dcterms:modified>
</cp:coreProperties>
</file>