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CD28" w14:textId="77777777" w:rsidR="00811A6E" w:rsidRPr="001508C0" w:rsidRDefault="003A14DF">
      <w:pPr>
        <w:spacing w:before="60" w:line="400" w:lineRule="atLeast"/>
        <w:outlineLvl w:val="0"/>
        <w:rPr>
          <w:b/>
          <w:color w:val="000000"/>
        </w:rPr>
      </w:pPr>
      <w:r w:rsidRPr="001508C0">
        <w:rPr>
          <w:b/>
          <w:color w:val="000000"/>
        </w:rPr>
        <w:t>TITLE PAGE</w:t>
      </w:r>
    </w:p>
    <w:p w14:paraId="6FF756EA" w14:textId="1C39AACC" w:rsidR="00C86A97" w:rsidRDefault="00DB11D3">
      <w:pPr>
        <w:spacing w:before="60" w:line="400" w:lineRule="atLeast"/>
        <w:outlineLvl w:val="0"/>
        <w:rPr>
          <w:color w:val="000000"/>
        </w:rPr>
      </w:pPr>
      <w:r w:rsidRPr="00C86A97">
        <w:rPr>
          <w:color w:val="000000"/>
        </w:rPr>
        <w:t xml:space="preserve">Type of article: </w:t>
      </w:r>
      <w:r w:rsidR="00FF3479">
        <w:rPr>
          <w:color w:val="000000"/>
        </w:rPr>
        <w:t>Original Articel</w:t>
      </w:r>
    </w:p>
    <w:p w14:paraId="7ECE319C" w14:textId="36D3A09B" w:rsidR="00DB11D3" w:rsidRPr="00C86A97" w:rsidRDefault="00DB11D3">
      <w:pPr>
        <w:spacing w:before="60" w:line="400" w:lineRule="atLeast"/>
        <w:outlineLvl w:val="0"/>
        <w:rPr>
          <w:noProof/>
          <w:color w:val="000000"/>
          <w:lang w:val="en-US"/>
        </w:rPr>
      </w:pPr>
      <w:r w:rsidRPr="00C86A97">
        <w:rPr>
          <w:noProof/>
          <w:color w:val="000000"/>
          <w:lang w:val="en-US"/>
        </w:rPr>
        <w:t xml:space="preserve">Title of the article: </w:t>
      </w:r>
      <w:r w:rsidR="0013053E">
        <w:rPr>
          <w:noProof/>
          <w:color w:val="000000"/>
        </w:rPr>
        <w:t xml:space="preserve"> </w:t>
      </w:r>
      <w:r w:rsidR="0013053E" w:rsidRPr="0013053E">
        <w:rPr>
          <w:noProof/>
          <w:color w:val="000000"/>
        </w:rPr>
        <w:t>Susceptibility Status of Aedes spp. to Pyrethroid Insecticides in Two Dengue-Endemic Subdistricts of Kendari, Indonesia: A Comparative Biochemical Study</w:t>
      </w:r>
    </w:p>
    <w:p w14:paraId="47522F5F" w14:textId="487CC44F" w:rsidR="00DB11D3" w:rsidRPr="00C86A97" w:rsidRDefault="00DB11D3">
      <w:pPr>
        <w:spacing w:before="60" w:line="400" w:lineRule="atLeast"/>
        <w:outlineLvl w:val="0"/>
        <w:rPr>
          <w:noProof/>
          <w:color w:val="000000"/>
          <w:lang w:val="en-US"/>
        </w:rPr>
      </w:pPr>
      <w:r w:rsidRPr="00C86A97">
        <w:rPr>
          <w:noProof/>
          <w:color w:val="000000"/>
          <w:lang w:val="en-US"/>
        </w:rPr>
        <w:t xml:space="preserve">Running </w:t>
      </w:r>
      <w:r w:rsidR="00FF3479">
        <w:rPr>
          <w:noProof/>
          <w:color w:val="000000"/>
          <w:lang w:val="en-US"/>
        </w:rPr>
        <w:t>tittle</w:t>
      </w:r>
      <w:r w:rsidR="00326C0C">
        <w:rPr>
          <w:noProof/>
          <w:color w:val="000000"/>
          <w:lang w:val="en-US"/>
        </w:rPr>
        <w:t>:</w:t>
      </w:r>
      <w:r w:rsidRPr="00C86A97">
        <w:rPr>
          <w:noProof/>
          <w:color w:val="000000"/>
          <w:lang w:val="en-US"/>
        </w:rPr>
        <w:t xml:space="preserve">  </w:t>
      </w:r>
      <w:r w:rsidR="000A3406" w:rsidRPr="000A3406">
        <w:rPr>
          <w:i/>
          <w:iCs/>
          <w:noProof/>
          <w:color w:val="000000"/>
        </w:rPr>
        <w:t>Aedes</w:t>
      </w:r>
      <w:r w:rsidR="000A3406" w:rsidRPr="000A3406">
        <w:rPr>
          <w:noProof/>
          <w:color w:val="000000"/>
        </w:rPr>
        <w:t xml:space="preserve"> susceptibility to pyrethroids</w:t>
      </w:r>
    </w:p>
    <w:p w14:paraId="36F03989" w14:textId="5E9F5AAE" w:rsidR="00DB11D3" w:rsidRPr="00C86A97" w:rsidRDefault="00DB11D3">
      <w:pPr>
        <w:spacing w:before="60" w:line="400" w:lineRule="atLeast"/>
        <w:outlineLvl w:val="0"/>
        <w:rPr>
          <w:noProof/>
          <w:color w:val="000000"/>
          <w:lang w:val="en-US"/>
        </w:rPr>
      </w:pPr>
      <w:r w:rsidRPr="00C86A97">
        <w:rPr>
          <w:noProof/>
          <w:color w:val="000000"/>
          <w:lang w:val="en-US"/>
        </w:rPr>
        <w:t>Total number of pages:</w:t>
      </w:r>
      <w:r w:rsidR="000A3406">
        <w:rPr>
          <w:noProof/>
          <w:color w:val="000000"/>
          <w:lang w:val="en-US"/>
        </w:rPr>
        <w:t xml:space="preserve"> 7</w:t>
      </w:r>
    </w:p>
    <w:p w14:paraId="38DC176F" w14:textId="57EA70A2" w:rsidR="00DB11D3" w:rsidRDefault="00DB11D3">
      <w:pPr>
        <w:spacing w:before="60" w:line="400" w:lineRule="atLeast"/>
        <w:outlineLvl w:val="0"/>
        <w:rPr>
          <w:noProof/>
          <w:color w:val="000000"/>
          <w:lang w:val="en-US"/>
        </w:rPr>
      </w:pPr>
      <w:r w:rsidRPr="00C86A97">
        <w:rPr>
          <w:noProof/>
          <w:color w:val="000000"/>
          <w:lang w:val="en-US"/>
        </w:rPr>
        <w:t xml:space="preserve">Total number of </w:t>
      </w:r>
      <w:r w:rsidR="00DF2D65">
        <w:rPr>
          <w:noProof/>
          <w:color w:val="000000"/>
          <w:lang w:val="en-US"/>
        </w:rPr>
        <w:t>tables</w:t>
      </w:r>
      <w:r w:rsidRPr="00C86A97">
        <w:rPr>
          <w:noProof/>
          <w:color w:val="000000"/>
          <w:lang w:val="en-US"/>
        </w:rPr>
        <w:t>:</w:t>
      </w:r>
      <w:r w:rsidR="000A3406">
        <w:rPr>
          <w:noProof/>
          <w:color w:val="000000"/>
          <w:lang w:val="en-US"/>
        </w:rPr>
        <w:t xml:space="preserve"> 2</w:t>
      </w:r>
    </w:p>
    <w:p w14:paraId="6E7BCEEB" w14:textId="414EBF93" w:rsidR="00DF2D65" w:rsidRDefault="00DF2D65">
      <w:pPr>
        <w:spacing w:before="60" w:line="400" w:lineRule="atLeast"/>
        <w:outlineLvl w:val="0"/>
        <w:rPr>
          <w:noProof/>
          <w:color w:val="000000"/>
          <w:lang w:val="en-US"/>
        </w:rPr>
      </w:pPr>
      <w:r>
        <w:rPr>
          <w:noProof/>
          <w:color w:val="000000"/>
          <w:lang w:val="en-US"/>
        </w:rPr>
        <w:t>Total number of figures:</w:t>
      </w:r>
      <w:r w:rsidR="000A3406">
        <w:rPr>
          <w:noProof/>
          <w:color w:val="000000"/>
          <w:lang w:val="en-US"/>
        </w:rPr>
        <w:t xml:space="preserve"> 0</w:t>
      </w:r>
    </w:p>
    <w:p w14:paraId="1EBE0628" w14:textId="77777777" w:rsidR="00DB11D3" w:rsidRPr="00C86A97" w:rsidRDefault="00DB11D3">
      <w:pPr>
        <w:spacing w:before="60" w:line="400" w:lineRule="atLeast"/>
        <w:outlineLvl w:val="0"/>
        <w:rPr>
          <w:noProof/>
          <w:color w:val="000000"/>
          <w:lang w:val="en-US"/>
        </w:rPr>
      </w:pPr>
      <w:r w:rsidRPr="00C86A97">
        <w:rPr>
          <w:noProof/>
          <w:color w:val="000000"/>
          <w:lang w:val="en-US"/>
        </w:rPr>
        <w:t xml:space="preserve">Word counts </w:t>
      </w:r>
    </w:p>
    <w:p w14:paraId="7AFEFEE0" w14:textId="141549B3" w:rsidR="00DB11D3" w:rsidRPr="00C86A97" w:rsidRDefault="00DB11D3">
      <w:pPr>
        <w:spacing w:before="60" w:line="400" w:lineRule="atLeast"/>
        <w:ind w:firstLine="720"/>
        <w:rPr>
          <w:color w:val="000000"/>
        </w:rPr>
      </w:pPr>
      <w:r w:rsidRPr="00C86A97">
        <w:rPr>
          <w:color w:val="000000"/>
        </w:rPr>
        <w:t>for abstract:</w:t>
      </w:r>
      <w:r w:rsidR="00792B27">
        <w:rPr>
          <w:color w:val="000000"/>
        </w:rPr>
        <w:t xml:space="preserve"> </w:t>
      </w:r>
      <w:r w:rsidR="000A3406">
        <w:rPr>
          <w:color w:val="000000"/>
        </w:rPr>
        <w:t>198</w:t>
      </w:r>
      <w:r w:rsidRPr="00C86A97">
        <w:rPr>
          <w:color w:val="000000"/>
        </w:rPr>
        <w:t xml:space="preserve"> </w:t>
      </w:r>
    </w:p>
    <w:p w14:paraId="2384C91E" w14:textId="6201E742" w:rsidR="00DB11D3" w:rsidRPr="00C86A97" w:rsidRDefault="00DB11D3">
      <w:pPr>
        <w:spacing w:before="60" w:line="400" w:lineRule="atLeast"/>
        <w:ind w:firstLine="720"/>
        <w:rPr>
          <w:color w:val="000000"/>
        </w:rPr>
      </w:pPr>
      <w:r w:rsidRPr="00C86A97">
        <w:rPr>
          <w:color w:val="000000"/>
        </w:rPr>
        <w:t>for the text:</w:t>
      </w:r>
      <w:r w:rsidR="00792B27">
        <w:rPr>
          <w:color w:val="000000"/>
        </w:rPr>
        <w:t xml:space="preserve"> </w:t>
      </w:r>
      <w:r w:rsidR="000A3406">
        <w:rPr>
          <w:color w:val="000000"/>
        </w:rPr>
        <w:t>985</w:t>
      </w:r>
    </w:p>
    <w:p w14:paraId="3824538C" w14:textId="1A9980D0" w:rsidR="00DB11D3" w:rsidRPr="00C86A97" w:rsidRDefault="00FF3479">
      <w:pPr>
        <w:spacing w:before="60" w:line="400" w:lineRule="atLeast"/>
        <w:outlineLvl w:val="0"/>
        <w:rPr>
          <w:noProof/>
          <w:color w:val="000000"/>
          <w:lang w:val="en-US"/>
        </w:rPr>
      </w:pPr>
      <w:r>
        <w:rPr>
          <w:noProof/>
          <w:color w:val="000000"/>
          <w:lang w:val="en-US"/>
        </w:rPr>
        <w:t>Source(s) of support:</w:t>
      </w:r>
      <w:r w:rsidR="000A3406">
        <w:rPr>
          <w:noProof/>
          <w:color w:val="000000"/>
          <w:lang w:val="en-US"/>
        </w:rPr>
        <w:t xml:space="preserve"> None</w:t>
      </w:r>
    </w:p>
    <w:p w14:paraId="64A5FEEB" w14:textId="11E6C74E" w:rsidR="00DB11D3" w:rsidRPr="00C86A97" w:rsidRDefault="00DB11D3">
      <w:pPr>
        <w:spacing w:before="60" w:line="400" w:lineRule="atLeast"/>
        <w:outlineLvl w:val="0"/>
        <w:rPr>
          <w:noProof/>
          <w:color w:val="000000"/>
          <w:lang w:val="en-US"/>
        </w:rPr>
      </w:pPr>
      <w:r w:rsidRPr="00C86A97">
        <w:rPr>
          <w:noProof/>
          <w:color w:val="000000"/>
          <w:lang w:val="en-US"/>
        </w:rPr>
        <w:t>Presentation at a meeting:</w:t>
      </w:r>
      <w:r w:rsidR="000A3406">
        <w:rPr>
          <w:noProof/>
          <w:color w:val="000000"/>
          <w:lang w:val="en-US"/>
        </w:rPr>
        <w:t xml:space="preserve"> None</w:t>
      </w:r>
    </w:p>
    <w:p w14:paraId="48FFFDB3" w14:textId="31A8FDEB" w:rsidR="00DB11D3" w:rsidRPr="00C86A97" w:rsidRDefault="00DB11D3">
      <w:pPr>
        <w:spacing w:before="60" w:line="400" w:lineRule="atLeast"/>
        <w:outlineLvl w:val="0"/>
        <w:rPr>
          <w:color w:val="000000"/>
        </w:rPr>
      </w:pPr>
      <w:r w:rsidRPr="00C86A97">
        <w:rPr>
          <w:noProof/>
          <w:color w:val="000000"/>
          <w:lang w:val="en-US"/>
        </w:rPr>
        <w:t>Conflicting Interest (If present, give more details):</w:t>
      </w:r>
      <w:r w:rsidR="000A3406">
        <w:rPr>
          <w:noProof/>
          <w:color w:val="000000"/>
          <w:lang w:val="en-US"/>
        </w:rPr>
        <w:t xml:space="preserve"> None</w:t>
      </w:r>
    </w:p>
    <w:p w14:paraId="797877A6" w14:textId="4C0E587B" w:rsidR="00C54355" w:rsidRPr="00C54355" w:rsidRDefault="0006610C" w:rsidP="00C54355">
      <w:pPr>
        <w:spacing w:before="60" w:line="400" w:lineRule="atLeast"/>
        <w:rPr>
          <w:b/>
          <w:bCs/>
          <w:color w:val="000000"/>
        </w:rPr>
      </w:pPr>
      <w:r>
        <w:rPr>
          <w:b/>
          <w:color w:val="000000"/>
        </w:rPr>
        <w:br w:type="page"/>
      </w:r>
      <w:r w:rsidR="009869DC" w:rsidRPr="009869DC">
        <w:rPr>
          <w:b/>
          <w:bCs/>
          <w:noProof/>
          <w:color w:val="000000"/>
        </w:rPr>
        <w:lastRenderedPageBreak/>
        <w:t>Susceptibility Status of Aedes spp. to Pyrethroid Insecticides in Two Dengue-Endemic Subdistricts of Kendari, Indonesia: A Comparative Biochemical Study</w:t>
      </w:r>
    </w:p>
    <w:p w14:paraId="1DD3AD48" w14:textId="77777777" w:rsidR="00326C0C" w:rsidRDefault="00326C0C">
      <w:pPr>
        <w:spacing w:before="60" w:line="400" w:lineRule="atLeast"/>
        <w:rPr>
          <w:color w:val="000000"/>
        </w:rPr>
      </w:pPr>
    </w:p>
    <w:p w14:paraId="2597FC1C" w14:textId="2B16C418" w:rsidR="00227BEA" w:rsidRPr="00326C0C" w:rsidRDefault="00227BEA">
      <w:pPr>
        <w:spacing w:before="60" w:line="400" w:lineRule="atLeast"/>
        <w:rPr>
          <w:b/>
          <w:color w:val="000000"/>
        </w:rPr>
      </w:pPr>
      <w:r>
        <w:rPr>
          <w:b/>
          <w:color w:val="000000"/>
        </w:rPr>
        <w:t>ABSTRACT</w:t>
      </w:r>
    </w:p>
    <w:p w14:paraId="7DD4A781" w14:textId="77777777" w:rsidR="00A2730A" w:rsidRPr="00883217" w:rsidRDefault="00A2730A" w:rsidP="00A2730A">
      <w:pPr>
        <w:pStyle w:val="Heading1"/>
        <w:widowControl w:val="0"/>
        <w:autoSpaceDE w:val="0"/>
        <w:autoSpaceDN w:val="0"/>
        <w:spacing w:before="79"/>
        <w:jc w:val="both"/>
        <w:rPr>
          <w:rFonts w:ascii="Times New Roman" w:hAnsi="Times New Roman" w:cs="Times New Roman"/>
          <w:color w:val="auto"/>
          <w:sz w:val="24"/>
          <w:szCs w:val="24"/>
          <w:lang w:val="en-ID"/>
        </w:rPr>
      </w:pPr>
      <w:r w:rsidRPr="00883217">
        <w:rPr>
          <w:rFonts w:ascii="Times New Roman" w:hAnsi="Times New Roman" w:cs="Times New Roman"/>
          <w:color w:val="auto"/>
          <w:sz w:val="24"/>
          <w:szCs w:val="24"/>
          <w:lang w:val="en-ID"/>
        </w:rPr>
        <w:t xml:space="preserve">Background: Dengue remains a major public health problem in Indonesia, including Kendari City, with increasing incidence reported in recent years. Vector control through insecticide-based fogging is widely implemented, with pyrethroids as the primary insecticide used. However, continuous exposure may alter mosquito susceptibility and reduce control effectiveness. This study aimed to assess and compare the susceptibility status of </w:t>
      </w:r>
      <w:r w:rsidRPr="00883217">
        <w:rPr>
          <w:rFonts w:ascii="Times New Roman" w:hAnsi="Times New Roman" w:cs="Times New Roman"/>
          <w:i/>
          <w:iCs/>
          <w:color w:val="auto"/>
          <w:sz w:val="24"/>
          <w:szCs w:val="24"/>
          <w:lang w:val="en-ID"/>
        </w:rPr>
        <w:t>Aedes</w:t>
      </w:r>
      <w:r w:rsidRPr="00883217">
        <w:rPr>
          <w:rFonts w:ascii="Times New Roman" w:hAnsi="Times New Roman" w:cs="Times New Roman"/>
          <w:color w:val="auto"/>
          <w:sz w:val="24"/>
          <w:szCs w:val="24"/>
          <w:lang w:val="en-ID"/>
        </w:rPr>
        <w:t xml:space="preserve"> </w:t>
      </w:r>
      <w:r w:rsidRPr="00883217">
        <w:rPr>
          <w:rFonts w:ascii="Times New Roman" w:hAnsi="Times New Roman" w:cs="Times New Roman"/>
          <w:i/>
          <w:iCs/>
          <w:color w:val="auto"/>
          <w:sz w:val="24"/>
          <w:szCs w:val="24"/>
          <w:lang w:val="en-ID"/>
        </w:rPr>
        <w:t>spp</w:t>
      </w:r>
      <w:r w:rsidRPr="00883217">
        <w:rPr>
          <w:rFonts w:ascii="Times New Roman" w:hAnsi="Times New Roman" w:cs="Times New Roman"/>
          <w:color w:val="auto"/>
          <w:sz w:val="24"/>
          <w:szCs w:val="24"/>
          <w:lang w:val="en-ID"/>
        </w:rPr>
        <w:t>. mosquitoes in Poasia and Baruga Subdistricts, Kendari.</w:t>
      </w:r>
    </w:p>
    <w:p w14:paraId="622B02B0" w14:textId="77777777" w:rsidR="00A2730A" w:rsidRPr="00883217" w:rsidRDefault="00A2730A" w:rsidP="00A2730A">
      <w:pPr>
        <w:pStyle w:val="Heading1"/>
        <w:widowControl w:val="0"/>
        <w:autoSpaceDE w:val="0"/>
        <w:autoSpaceDN w:val="0"/>
        <w:spacing w:before="79"/>
        <w:jc w:val="both"/>
        <w:rPr>
          <w:rFonts w:ascii="Times New Roman" w:hAnsi="Times New Roman" w:cs="Times New Roman"/>
          <w:color w:val="auto"/>
          <w:sz w:val="24"/>
          <w:szCs w:val="24"/>
          <w:lang w:val="en-ID"/>
        </w:rPr>
      </w:pPr>
      <w:r w:rsidRPr="00883217">
        <w:rPr>
          <w:rFonts w:ascii="Times New Roman" w:hAnsi="Times New Roman" w:cs="Times New Roman"/>
          <w:color w:val="auto"/>
          <w:sz w:val="24"/>
          <w:szCs w:val="24"/>
          <w:lang w:val="en-ID"/>
        </w:rPr>
        <w:t>Methods: An analytical observational study with a cross-sectional design was conducted. Mosquito samples were collected from selected villages in both subdistricts. Susceptibility status was determined based on non-specific esterase enzyme activity using a biochemical assay measured by an ELISA reader. Statistical analysis was performed using Mann–Whitney and Kruskal–Wallis tests.</w:t>
      </w:r>
    </w:p>
    <w:p w14:paraId="271304DD" w14:textId="77777777" w:rsidR="00A2730A" w:rsidRPr="00883217" w:rsidRDefault="00A2730A" w:rsidP="00A2730A">
      <w:pPr>
        <w:pStyle w:val="Heading1"/>
        <w:widowControl w:val="0"/>
        <w:autoSpaceDE w:val="0"/>
        <w:autoSpaceDN w:val="0"/>
        <w:spacing w:before="79"/>
        <w:jc w:val="both"/>
        <w:rPr>
          <w:rFonts w:ascii="Times New Roman" w:hAnsi="Times New Roman" w:cs="Times New Roman"/>
          <w:color w:val="auto"/>
          <w:sz w:val="24"/>
          <w:szCs w:val="24"/>
          <w:lang w:val="en-ID"/>
        </w:rPr>
      </w:pPr>
      <w:r w:rsidRPr="00883217">
        <w:rPr>
          <w:rFonts w:ascii="Times New Roman" w:hAnsi="Times New Roman" w:cs="Times New Roman"/>
          <w:color w:val="auto"/>
          <w:sz w:val="24"/>
          <w:szCs w:val="24"/>
          <w:lang w:val="en-ID"/>
        </w:rPr>
        <w:t>Results: All mosquito populations from both subdistricts were classified as sensitive to pyrethroid insecticides, with mean absorbance values below 0.700. A significant difference in non-specific esterase enzyme activity was observed between Poasia and Baruga Subdistricts (p &lt; 0.001). Significant differences were also found among villages within both subdistricts (p &lt; 0.001).</w:t>
      </w:r>
    </w:p>
    <w:p w14:paraId="1FAE4D7B" w14:textId="77777777" w:rsidR="00A2730A" w:rsidRPr="00883217" w:rsidRDefault="00A2730A" w:rsidP="00A2730A">
      <w:pPr>
        <w:pStyle w:val="Heading1"/>
        <w:widowControl w:val="0"/>
        <w:autoSpaceDE w:val="0"/>
        <w:autoSpaceDN w:val="0"/>
        <w:spacing w:before="79"/>
        <w:jc w:val="both"/>
        <w:rPr>
          <w:rFonts w:ascii="Times New Roman" w:hAnsi="Times New Roman" w:cs="Times New Roman"/>
          <w:color w:val="auto"/>
          <w:sz w:val="24"/>
          <w:szCs w:val="24"/>
          <w:lang w:val="en-ID"/>
        </w:rPr>
      </w:pPr>
      <w:r w:rsidRPr="00883217">
        <w:rPr>
          <w:rFonts w:ascii="Times New Roman" w:hAnsi="Times New Roman" w:cs="Times New Roman"/>
          <w:color w:val="auto"/>
          <w:sz w:val="24"/>
          <w:szCs w:val="24"/>
          <w:lang w:val="en-ID"/>
        </w:rPr>
        <w:t xml:space="preserve">Conclusions: </w:t>
      </w:r>
      <w:r w:rsidRPr="00883217">
        <w:rPr>
          <w:rFonts w:ascii="Times New Roman" w:hAnsi="Times New Roman" w:cs="Times New Roman"/>
          <w:i/>
          <w:iCs/>
          <w:color w:val="auto"/>
          <w:sz w:val="24"/>
          <w:szCs w:val="24"/>
          <w:lang w:val="en-ID"/>
        </w:rPr>
        <w:t>Aedes</w:t>
      </w:r>
      <w:r w:rsidRPr="00883217">
        <w:rPr>
          <w:rFonts w:ascii="Times New Roman" w:hAnsi="Times New Roman" w:cs="Times New Roman"/>
          <w:color w:val="auto"/>
          <w:sz w:val="24"/>
          <w:szCs w:val="24"/>
          <w:lang w:val="en-ID"/>
        </w:rPr>
        <w:t xml:space="preserve"> </w:t>
      </w:r>
      <w:r w:rsidRPr="00883217">
        <w:rPr>
          <w:rFonts w:ascii="Times New Roman" w:hAnsi="Times New Roman" w:cs="Times New Roman"/>
          <w:i/>
          <w:iCs/>
          <w:color w:val="auto"/>
          <w:sz w:val="24"/>
          <w:szCs w:val="24"/>
          <w:lang w:val="en-ID"/>
        </w:rPr>
        <w:t>spp</w:t>
      </w:r>
      <w:r w:rsidRPr="00883217">
        <w:rPr>
          <w:rFonts w:ascii="Times New Roman" w:hAnsi="Times New Roman" w:cs="Times New Roman"/>
          <w:color w:val="auto"/>
          <w:sz w:val="24"/>
          <w:szCs w:val="24"/>
          <w:lang w:val="en-ID"/>
        </w:rPr>
        <w:t>. populations remain susceptible to pyrethroid insecticides. However, variations in enzyme activity indicate the need for continuous resistance surveillance to ensure the effectiveness of dengue vector control programs.</w:t>
      </w:r>
    </w:p>
    <w:p w14:paraId="16C0371A" w14:textId="53E68559" w:rsidR="00DB11D3" w:rsidRPr="00A2730A" w:rsidRDefault="00227BEA">
      <w:pPr>
        <w:spacing w:before="60" w:line="400" w:lineRule="atLeast"/>
        <w:outlineLvl w:val="0"/>
        <w:rPr>
          <w:color w:val="000000"/>
        </w:rPr>
      </w:pPr>
      <w:r>
        <w:rPr>
          <w:color w:val="000000"/>
        </w:rPr>
        <w:t>Keywords</w:t>
      </w:r>
      <w:r w:rsidR="00DB11D3" w:rsidRPr="00C86A97">
        <w:rPr>
          <w:color w:val="000000"/>
        </w:rPr>
        <w:t>:</w:t>
      </w:r>
      <w:r w:rsidR="00A2730A">
        <w:rPr>
          <w:color w:val="000000"/>
        </w:rPr>
        <w:t xml:space="preserve"> </w:t>
      </w:r>
      <w:r w:rsidR="00A2730A" w:rsidRPr="00A2730A">
        <w:t xml:space="preserve">Aedes </w:t>
      </w:r>
      <w:r w:rsidR="00A2730A" w:rsidRPr="00A2730A">
        <w:rPr>
          <w:i/>
          <w:iCs/>
        </w:rPr>
        <w:t>spp</w:t>
      </w:r>
      <w:r w:rsidR="00A2730A" w:rsidRPr="00A2730A">
        <w:t>.; dengue; insecticide susceptibility; pyrethroids; vector control</w:t>
      </w:r>
      <w:r w:rsidR="00326C0C" w:rsidRPr="00A2730A">
        <w:rPr>
          <w:color w:val="000000"/>
        </w:rPr>
        <w:t xml:space="preserve"> </w:t>
      </w:r>
    </w:p>
    <w:p w14:paraId="670EA60D" w14:textId="77777777" w:rsidR="00DB11D3" w:rsidRPr="00A2730A" w:rsidRDefault="00DB11D3">
      <w:pPr>
        <w:spacing w:before="60" w:line="400" w:lineRule="atLeast"/>
        <w:outlineLvl w:val="0"/>
        <w:rPr>
          <w:color w:val="000000"/>
        </w:rPr>
      </w:pPr>
    </w:p>
    <w:p w14:paraId="56AE5047" w14:textId="7578E2EF" w:rsidR="00DB11D3" w:rsidRDefault="00DB11D3" w:rsidP="0013053E">
      <w:pPr>
        <w:spacing w:before="60" w:line="400" w:lineRule="atLeast"/>
        <w:outlineLvl w:val="0"/>
        <w:rPr>
          <w:b/>
          <w:color w:val="000000"/>
        </w:rPr>
      </w:pPr>
      <w:r w:rsidRPr="00C86A97">
        <w:rPr>
          <w:color w:val="000000"/>
        </w:rPr>
        <w:br w:type="page"/>
      </w:r>
    </w:p>
    <w:p w14:paraId="44772131" w14:textId="5FFC84A0" w:rsidR="00227BEA" w:rsidRPr="0013053E" w:rsidRDefault="00227BEA" w:rsidP="0013053E">
      <w:pPr>
        <w:spacing w:before="60" w:line="400" w:lineRule="atLeast"/>
        <w:outlineLvl w:val="0"/>
        <w:rPr>
          <w:b/>
          <w:color w:val="000000"/>
        </w:rPr>
      </w:pPr>
      <w:r>
        <w:rPr>
          <w:b/>
          <w:color w:val="000000"/>
        </w:rPr>
        <w:lastRenderedPageBreak/>
        <w:t>INTRODUCTION</w:t>
      </w:r>
    </w:p>
    <w:p w14:paraId="19BC2B5F" w14:textId="77777777" w:rsidR="00A2730A" w:rsidRPr="00A2730A" w:rsidRDefault="00A2730A" w:rsidP="00A2730A">
      <w:pPr>
        <w:pStyle w:val="Heading1"/>
        <w:spacing w:before="200"/>
        <w:jc w:val="both"/>
        <w:rPr>
          <w:rFonts w:ascii="Times New Roman" w:hAnsi="Times New Roman" w:cs="Times New Roman"/>
          <w:color w:val="auto"/>
          <w:spacing w:val="-2"/>
          <w:sz w:val="24"/>
          <w:szCs w:val="24"/>
        </w:rPr>
      </w:pPr>
      <w:r w:rsidRPr="00A2730A">
        <w:rPr>
          <w:rFonts w:ascii="Times New Roman" w:hAnsi="Times New Roman" w:cs="Times New Roman"/>
          <w:color w:val="auto"/>
          <w:spacing w:val="-2"/>
          <w:sz w:val="24"/>
          <w:szCs w:val="24"/>
        </w:rPr>
        <w:t xml:space="preserve">Dengue remains a major public health problem worldwide, with a substantial increase in cases reported in recent years, including in Indonesia (1,2). In Kendari City, dengue incidence has shown a rising trend, particularly in Poasia and Baruga Subdistricts (3). Vector control through insecticide-based fogging is widely implemented, with pyrethroids being the primary class used (2). However, continuous and repeated application of insecticides may alter mosquito susceptibility and potentially lead to resistance, thereby reducing the effectiveness of control programs (4). Monitoring susceptibility status is therefore essential to ensure appropriate insecticide use and to support evidence-based vector control strategies. This study aimed to assess and compare the susceptibility status of </w:t>
      </w:r>
      <w:r w:rsidRPr="00A2730A">
        <w:rPr>
          <w:rFonts w:ascii="Times New Roman" w:hAnsi="Times New Roman" w:cs="Times New Roman"/>
          <w:i/>
          <w:iCs/>
          <w:color w:val="auto"/>
          <w:spacing w:val="-2"/>
          <w:sz w:val="24"/>
          <w:szCs w:val="24"/>
        </w:rPr>
        <w:t>Aedes</w:t>
      </w:r>
      <w:r w:rsidRPr="00A2730A">
        <w:rPr>
          <w:rFonts w:ascii="Times New Roman" w:hAnsi="Times New Roman" w:cs="Times New Roman"/>
          <w:color w:val="auto"/>
          <w:spacing w:val="-2"/>
          <w:sz w:val="24"/>
          <w:szCs w:val="24"/>
        </w:rPr>
        <w:t xml:space="preserve"> </w:t>
      </w:r>
      <w:r w:rsidRPr="00A2730A">
        <w:rPr>
          <w:rFonts w:ascii="Times New Roman" w:hAnsi="Times New Roman" w:cs="Times New Roman"/>
          <w:i/>
          <w:iCs/>
          <w:color w:val="auto"/>
          <w:spacing w:val="-2"/>
          <w:sz w:val="24"/>
          <w:szCs w:val="24"/>
        </w:rPr>
        <w:t>spp</w:t>
      </w:r>
      <w:r w:rsidRPr="00A2730A">
        <w:rPr>
          <w:rFonts w:ascii="Times New Roman" w:hAnsi="Times New Roman" w:cs="Times New Roman"/>
          <w:color w:val="auto"/>
          <w:spacing w:val="-2"/>
          <w:sz w:val="24"/>
          <w:szCs w:val="24"/>
        </w:rPr>
        <w:t>. mosquitoes in Poasia and Baruga Subdistricts using biochemical testing based on non-specific esterase enzyme activity.</w:t>
      </w:r>
    </w:p>
    <w:p w14:paraId="284DC700" w14:textId="66682717" w:rsidR="00DB11D3" w:rsidRPr="00A2730A" w:rsidRDefault="00227BEA">
      <w:pPr>
        <w:spacing w:before="60" w:line="400" w:lineRule="atLeast"/>
        <w:outlineLvl w:val="0"/>
        <w:rPr>
          <w:b/>
          <w:bCs/>
          <w:color w:val="000000"/>
        </w:rPr>
      </w:pPr>
      <w:r>
        <w:rPr>
          <w:b/>
          <w:bCs/>
          <w:color w:val="000000"/>
        </w:rPr>
        <w:br/>
        <w:t>METHODS</w:t>
      </w:r>
    </w:p>
    <w:p w14:paraId="517EEFC9" w14:textId="77777777" w:rsidR="00A2730A" w:rsidRPr="00A2730A"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b/>
          <w:bCs/>
          <w:sz w:val="24"/>
          <w:szCs w:val="24"/>
          <w:lang w:val="en-ID"/>
        </w:rPr>
        <w:t>Study Design</w:t>
      </w:r>
    </w:p>
    <w:p w14:paraId="0DC1CA23" w14:textId="77777777" w:rsidR="00A2730A" w:rsidRPr="00F91CB3"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sz w:val="24"/>
          <w:szCs w:val="24"/>
          <w:lang w:val="en-ID"/>
        </w:rPr>
        <w:t>This study was an analytical observational study with a cross-sectional design.</w:t>
      </w:r>
    </w:p>
    <w:p w14:paraId="5E746B91" w14:textId="77777777" w:rsidR="00A2730A" w:rsidRPr="00A2730A" w:rsidRDefault="00A2730A" w:rsidP="00A2730A">
      <w:pPr>
        <w:pStyle w:val="BodyText"/>
        <w:spacing w:before="200"/>
        <w:jc w:val="both"/>
        <w:rPr>
          <w:rFonts w:ascii="Times New Roman" w:hAnsi="Times New Roman" w:cs="Times New Roman"/>
          <w:b/>
          <w:bCs/>
          <w:sz w:val="24"/>
          <w:szCs w:val="24"/>
          <w:lang w:val="en-ID"/>
        </w:rPr>
      </w:pPr>
      <w:r w:rsidRPr="00F91CB3">
        <w:rPr>
          <w:rFonts w:ascii="Times New Roman" w:hAnsi="Times New Roman" w:cs="Times New Roman"/>
          <w:b/>
          <w:bCs/>
          <w:sz w:val="24"/>
          <w:szCs w:val="24"/>
          <w:lang w:val="en-ID"/>
        </w:rPr>
        <w:t>Place and Duration of Study</w:t>
      </w:r>
    </w:p>
    <w:p w14:paraId="334F8520" w14:textId="77777777" w:rsidR="00A2730A" w:rsidRPr="00F91CB3"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sz w:val="24"/>
          <w:szCs w:val="24"/>
          <w:lang w:val="en-ID"/>
        </w:rPr>
        <w:t>The study was conducted in Poasia and Baruga Subdistricts, Kendari City, Indonesia, in 2024.</w:t>
      </w:r>
    </w:p>
    <w:p w14:paraId="0CB2E23D" w14:textId="77777777" w:rsidR="00A2730A" w:rsidRPr="00A2730A" w:rsidRDefault="00A2730A" w:rsidP="00A2730A">
      <w:pPr>
        <w:pStyle w:val="BodyText"/>
        <w:spacing w:before="200"/>
        <w:jc w:val="both"/>
        <w:rPr>
          <w:rFonts w:ascii="Times New Roman" w:hAnsi="Times New Roman" w:cs="Times New Roman"/>
          <w:b/>
          <w:bCs/>
          <w:sz w:val="24"/>
          <w:szCs w:val="24"/>
          <w:lang w:val="en-ID"/>
        </w:rPr>
      </w:pPr>
      <w:r w:rsidRPr="00F91CB3">
        <w:rPr>
          <w:rFonts w:ascii="Times New Roman" w:hAnsi="Times New Roman" w:cs="Times New Roman"/>
          <w:b/>
          <w:bCs/>
          <w:sz w:val="24"/>
          <w:szCs w:val="24"/>
          <w:lang w:val="en-ID"/>
        </w:rPr>
        <w:t>Ethical Approval</w:t>
      </w:r>
    </w:p>
    <w:p w14:paraId="459DE7D2" w14:textId="77777777" w:rsidR="00A2730A" w:rsidRPr="00F91CB3"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sz w:val="24"/>
          <w:szCs w:val="24"/>
          <w:lang w:val="en-ID"/>
        </w:rPr>
        <w:t>Ethical approval was obtained from an institutional ethics committee (No. 126/UN29.17.1.3/ETIK/2024).</w:t>
      </w:r>
    </w:p>
    <w:p w14:paraId="55D33CD4" w14:textId="77777777" w:rsidR="00A2730A" w:rsidRPr="00A2730A" w:rsidRDefault="00A2730A" w:rsidP="00A2730A">
      <w:pPr>
        <w:pStyle w:val="BodyText"/>
        <w:spacing w:before="200"/>
        <w:jc w:val="both"/>
        <w:rPr>
          <w:rFonts w:ascii="Times New Roman" w:hAnsi="Times New Roman" w:cs="Times New Roman"/>
          <w:b/>
          <w:bCs/>
          <w:sz w:val="24"/>
          <w:szCs w:val="24"/>
          <w:lang w:val="en-ID"/>
        </w:rPr>
      </w:pPr>
      <w:r w:rsidRPr="00F91CB3">
        <w:rPr>
          <w:rFonts w:ascii="Times New Roman" w:hAnsi="Times New Roman" w:cs="Times New Roman"/>
          <w:b/>
          <w:bCs/>
          <w:sz w:val="24"/>
          <w:szCs w:val="24"/>
          <w:lang w:val="en-ID"/>
        </w:rPr>
        <w:t>Inclusion and Exclusion Criteria</w:t>
      </w:r>
    </w:p>
    <w:p w14:paraId="23D16D2E" w14:textId="77777777" w:rsidR="00A2730A" w:rsidRPr="00F91CB3"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sz w:val="24"/>
          <w:szCs w:val="24"/>
          <w:lang w:val="en-ID"/>
        </w:rPr>
        <w:t xml:space="preserve">Adult </w:t>
      </w:r>
      <w:r w:rsidRPr="00F91CB3">
        <w:rPr>
          <w:rFonts w:ascii="Times New Roman" w:hAnsi="Times New Roman" w:cs="Times New Roman"/>
          <w:i/>
          <w:iCs/>
          <w:sz w:val="24"/>
          <w:szCs w:val="24"/>
          <w:lang w:val="en-ID"/>
        </w:rPr>
        <w:t>Aedes</w:t>
      </w:r>
      <w:r w:rsidRPr="00F91CB3">
        <w:rPr>
          <w:rFonts w:ascii="Times New Roman" w:hAnsi="Times New Roman" w:cs="Times New Roman"/>
          <w:sz w:val="24"/>
          <w:szCs w:val="24"/>
          <w:lang w:val="en-ID"/>
        </w:rPr>
        <w:t xml:space="preserve"> </w:t>
      </w:r>
      <w:r w:rsidRPr="00F91CB3">
        <w:rPr>
          <w:rFonts w:ascii="Times New Roman" w:hAnsi="Times New Roman" w:cs="Times New Roman"/>
          <w:i/>
          <w:iCs/>
          <w:sz w:val="24"/>
          <w:szCs w:val="24"/>
          <w:lang w:val="en-ID"/>
        </w:rPr>
        <w:t>spp</w:t>
      </w:r>
      <w:r w:rsidRPr="00F91CB3">
        <w:rPr>
          <w:rFonts w:ascii="Times New Roman" w:hAnsi="Times New Roman" w:cs="Times New Roman"/>
          <w:sz w:val="24"/>
          <w:szCs w:val="24"/>
          <w:lang w:val="en-ID"/>
        </w:rPr>
        <w:t>. mosquitoes collected from selected villages were included in the study. Damaged or incomplete mosquito samples were excluded.</w:t>
      </w:r>
    </w:p>
    <w:p w14:paraId="34564139" w14:textId="77777777" w:rsidR="00A2730A" w:rsidRPr="00A2730A" w:rsidRDefault="00A2730A" w:rsidP="00A2730A">
      <w:pPr>
        <w:pStyle w:val="BodyText"/>
        <w:spacing w:before="200"/>
        <w:jc w:val="both"/>
        <w:rPr>
          <w:rFonts w:ascii="Times New Roman" w:hAnsi="Times New Roman" w:cs="Times New Roman"/>
          <w:b/>
          <w:bCs/>
          <w:sz w:val="24"/>
          <w:szCs w:val="24"/>
          <w:lang w:val="en-ID"/>
        </w:rPr>
      </w:pPr>
      <w:r w:rsidRPr="00F91CB3">
        <w:rPr>
          <w:rFonts w:ascii="Times New Roman" w:hAnsi="Times New Roman" w:cs="Times New Roman"/>
          <w:b/>
          <w:bCs/>
          <w:sz w:val="24"/>
          <w:szCs w:val="24"/>
          <w:lang w:val="en-ID"/>
        </w:rPr>
        <w:t>Sample Size and Sampling</w:t>
      </w:r>
    </w:p>
    <w:p w14:paraId="6C10F46E" w14:textId="77777777" w:rsidR="00A2730A" w:rsidRPr="00F91CB3"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sz w:val="24"/>
          <w:szCs w:val="24"/>
          <w:lang w:val="en-ID"/>
        </w:rPr>
        <w:t>Mosquito samples were collected from nine villages, with 30 mosquitoes obtained from each village using purposive sampling.</w:t>
      </w:r>
    </w:p>
    <w:p w14:paraId="617E2029" w14:textId="77777777" w:rsidR="00A2730A" w:rsidRPr="00A2730A" w:rsidRDefault="00A2730A" w:rsidP="00A2730A">
      <w:pPr>
        <w:pStyle w:val="BodyText"/>
        <w:spacing w:before="200"/>
        <w:jc w:val="both"/>
        <w:rPr>
          <w:rFonts w:ascii="Times New Roman" w:hAnsi="Times New Roman" w:cs="Times New Roman"/>
          <w:b/>
          <w:bCs/>
          <w:sz w:val="24"/>
          <w:szCs w:val="24"/>
          <w:lang w:val="en-ID"/>
        </w:rPr>
      </w:pPr>
      <w:r w:rsidRPr="00F91CB3">
        <w:rPr>
          <w:rFonts w:ascii="Times New Roman" w:hAnsi="Times New Roman" w:cs="Times New Roman"/>
          <w:b/>
          <w:bCs/>
          <w:sz w:val="24"/>
          <w:szCs w:val="24"/>
          <w:lang w:val="en-ID"/>
        </w:rPr>
        <w:t>Biochemical Test Procedure</w:t>
      </w:r>
    </w:p>
    <w:p w14:paraId="3EA4BD01" w14:textId="77777777" w:rsidR="00A2730A" w:rsidRPr="00A2730A" w:rsidRDefault="00A2730A" w:rsidP="00A2730A">
      <w:pPr>
        <w:pStyle w:val="BodyText"/>
        <w:spacing w:before="200"/>
        <w:jc w:val="both"/>
        <w:rPr>
          <w:rFonts w:ascii="Times New Roman" w:hAnsi="Times New Roman" w:cs="Times New Roman"/>
          <w:sz w:val="24"/>
          <w:szCs w:val="24"/>
          <w:lang w:val="en-ID"/>
        </w:rPr>
      </w:pPr>
      <w:r w:rsidRPr="00F91CB3">
        <w:rPr>
          <w:rFonts w:ascii="Times New Roman" w:hAnsi="Times New Roman" w:cs="Times New Roman"/>
          <w:sz w:val="24"/>
          <w:szCs w:val="24"/>
          <w:lang w:val="en-ID"/>
        </w:rPr>
        <w:t>Mosquitoes were homogenized individually in phosphate-buffered saline. The homogenate was reacted with α-naphthyl acetate substrate followed by the addition of coupling reagent. Absorbance values were measured using an ELISA reader at 450 nm. Susceptibility status was classified as sensitive (AV &lt; 0.700), tolerant (0.700–0.900), and resistant (AV &gt; 0.900).</w:t>
      </w:r>
    </w:p>
    <w:p w14:paraId="5A893704" w14:textId="77777777" w:rsidR="00A2730A" w:rsidRDefault="00A2730A" w:rsidP="00A2730A">
      <w:pPr>
        <w:pStyle w:val="BodyText"/>
        <w:spacing w:before="200"/>
        <w:jc w:val="both"/>
        <w:rPr>
          <w:rFonts w:ascii="Times New Roman" w:hAnsi="Times New Roman" w:cs="Times New Roman"/>
          <w:b/>
          <w:bCs/>
          <w:sz w:val="24"/>
          <w:szCs w:val="24"/>
        </w:rPr>
      </w:pPr>
      <w:r w:rsidRPr="00A2730A">
        <w:rPr>
          <w:rFonts w:ascii="Times New Roman" w:hAnsi="Times New Roman" w:cs="Times New Roman"/>
          <w:b/>
          <w:bCs/>
          <w:sz w:val="24"/>
          <w:szCs w:val="24"/>
        </w:rPr>
        <w:t>Statistical Analysis</w:t>
      </w:r>
    </w:p>
    <w:p w14:paraId="50F3AFB8" w14:textId="5D108CF0" w:rsidR="00A2730A" w:rsidRPr="00F91CB3" w:rsidRDefault="00A2730A" w:rsidP="00A2730A">
      <w:pPr>
        <w:pStyle w:val="BodyText"/>
        <w:spacing w:before="200"/>
        <w:jc w:val="both"/>
        <w:rPr>
          <w:rFonts w:ascii="Times New Roman" w:hAnsi="Times New Roman" w:cs="Times New Roman"/>
          <w:sz w:val="24"/>
          <w:szCs w:val="24"/>
          <w:lang w:val="en-ID"/>
        </w:rPr>
      </w:pPr>
      <w:r w:rsidRPr="00A2730A">
        <w:rPr>
          <w:rFonts w:ascii="Times New Roman" w:hAnsi="Times New Roman" w:cs="Times New Roman"/>
          <w:sz w:val="24"/>
          <w:szCs w:val="24"/>
        </w:rPr>
        <w:t>Data were analyzed using non-parametric statistical tests. The Mann–Whitney test was used to compare enzyme activity between subdistricts, while the Kruskal–Wallis test was used to assess differences among villages. A p-value &lt; 0.05 was considered statistically significant.</w:t>
      </w:r>
    </w:p>
    <w:p w14:paraId="27E9DAE3" w14:textId="77777777" w:rsidR="00A2730A" w:rsidRPr="00C86A97" w:rsidRDefault="00A2730A">
      <w:pPr>
        <w:spacing w:before="60" w:line="400" w:lineRule="atLeast"/>
        <w:outlineLvl w:val="0"/>
        <w:rPr>
          <w:color w:val="000000"/>
        </w:rPr>
      </w:pPr>
    </w:p>
    <w:p w14:paraId="4AD81555" w14:textId="372745D6" w:rsidR="00A50312" w:rsidRDefault="00DB11D3">
      <w:pPr>
        <w:spacing w:before="60" w:line="400" w:lineRule="atLeast"/>
        <w:outlineLvl w:val="0"/>
        <w:rPr>
          <w:b/>
          <w:bCs/>
          <w:color w:val="000000"/>
        </w:rPr>
      </w:pPr>
      <w:r w:rsidRPr="00C86A97">
        <w:rPr>
          <w:bCs/>
          <w:color w:val="000000"/>
        </w:rPr>
        <w:br w:type="page"/>
      </w:r>
    </w:p>
    <w:p w14:paraId="08E16E16" w14:textId="619BF588" w:rsidR="00227BEA" w:rsidRPr="00A2730A" w:rsidRDefault="00227BEA">
      <w:pPr>
        <w:spacing w:before="60" w:line="400" w:lineRule="atLeast"/>
        <w:outlineLvl w:val="0"/>
        <w:rPr>
          <w:b/>
          <w:bCs/>
          <w:color w:val="000000"/>
        </w:rPr>
      </w:pPr>
      <w:r>
        <w:rPr>
          <w:b/>
          <w:bCs/>
          <w:color w:val="000000"/>
        </w:rPr>
        <w:lastRenderedPageBreak/>
        <w:t>RESULTS</w:t>
      </w:r>
    </w:p>
    <w:p w14:paraId="7DABFA26" w14:textId="6AA35AC2" w:rsidR="00A2730A" w:rsidRPr="00A2730A" w:rsidRDefault="00A2730A" w:rsidP="00A2730A">
      <w:pPr>
        <w:pStyle w:val="Heading1"/>
        <w:jc w:val="both"/>
        <w:rPr>
          <w:rFonts w:ascii="Times New Roman" w:hAnsi="Times New Roman" w:cs="Times New Roman"/>
          <w:color w:val="auto"/>
          <w:sz w:val="24"/>
          <w:szCs w:val="24"/>
        </w:rPr>
      </w:pPr>
      <w:r w:rsidRPr="00A2730A">
        <w:rPr>
          <w:rFonts w:ascii="Times New Roman" w:hAnsi="Times New Roman" w:cs="Times New Roman"/>
          <w:color w:val="auto"/>
          <w:sz w:val="24"/>
          <w:szCs w:val="24"/>
        </w:rPr>
        <w:t>All mosquito populations from Poasia Subdistrict showed mean absorbance values below 0.700, indicating susceptibility to pyrethroid insecticides (Table 1).</w:t>
      </w:r>
    </w:p>
    <w:p w14:paraId="49A8703A" w14:textId="77777777" w:rsidR="00A2730A" w:rsidRDefault="00A2730A" w:rsidP="00A2730A">
      <w:pPr>
        <w:pStyle w:val="Heading1"/>
        <w:ind w:left="289"/>
        <w:jc w:val="center"/>
        <w:rPr>
          <w:rFonts w:ascii="Times New Roman" w:hAnsi="Times New Roman" w:cs="Times New Roman"/>
          <w:color w:val="auto"/>
          <w:sz w:val="24"/>
          <w:szCs w:val="24"/>
        </w:rPr>
      </w:pPr>
      <w:r w:rsidRPr="00A2730A">
        <w:rPr>
          <w:rFonts w:ascii="Times New Roman" w:hAnsi="Times New Roman" w:cs="Times New Roman"/>
          <w:color w:val="auto"/>
          <w:sz w:val="24"/>
          <w:szCs w:val="24"/>
        </w:rPr>
        <w:t xml:space="preserve">Table 1. Biochemical Testing of </w:t>
      </w:r>
      <w:r w:rsidRPr="00A2730A">
        <w:rPr>
          <w:rFonts w:ascii="Times New Roman" w:hAnsi="Times New Roman" w:cs="Times New Roman"/>
          <w:i/>
          <w:iCs/>
          <w:color w:val="auto"/>
          <w:sz w:val="24"/>
          <w:szCs w:val="24"/>
        </w:rPr>
        <w:t>Aedes spp.</w:t>
      </w:r>
      <w:r w:rsidRPr="00A2730A">
        <w:rPr>
          <w:rFonts w:ascii="Times New Roman" w:hAnsi="Times New Roman" w:cs="Times New Roman"/>
          <w:color w:val="auto"/>
          <w:sz w:val="24"/>
          <w:szCs w:val="24"/>
        </w:rPr>
        <w:t xml:space="preserve"> Mosquitoes from Poasia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8"/>
        <w:gridCol w:w="2403"/>
      </w:tblGrid>
      <w:tr w:rsidR="00A2730A" w:rsidRPr="00A2730A" w14:paraId="1F66224B" w14:textId="77777777" w:rsidTr="00277065">
        <w:trPr>
          <w:jc w:val="center"/>
        </w:trPr>
        <w:tc>
          <w:tcPr>
            <w:tcW w:w="2410" w:type="dxa"/>
            <w:tcBorders>
              <w:top w:val="single" w:sz="4" w:space="0" w:color="auto"/>
              <w:left w:val="nil"/>
              <w:bottom w:val="single" w:sz="4" w:space="0" w:color="auto"/>
              <w:right w:val="nil"/>
            </w:tcBorders>
            <w:vAlign w:val="center"/>
            <w:hideMark/>
          </w:tcPr>
          <w:p w14:paraId="5561FBE0"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Subdistrict</w:t>
            </w:r>
          </w:p>
        </w:tc>
        <w:tc>
          <w:tcPr>
            <w:tcW w:w="2268" w:type="dxa"/>
            <w:tcBorders>
              <w:top w:val="single" w:sz="4" w:space="0" w:color="auto"/>
              <w:left w:val="nil"/>
              <w:bottom w:val="single" w:sz="4" w:space="0" w:color="auto"/>
              <w:right w:val="nil"/>
            </w:tcBorders>
            <w:vAlign w:val="center"/>
            <w:hideMark/>
          </w:tcPr>
          <w:p w14:paraId="2B089ABD"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b/>
                <w:bCs/>
                <w:color w:val="auto"/>
                <w:sz w:val="24"/>
                <w:szCs w:val="24"/>
              </w:rPr>
              <w:t>n</w:t>
            </w:r>
          </w:p>
        </w:tc>
        <w:tc>
          <w:tcPr>
            <w:tcW w:w="2403" w:type="dxa"/>
            <w:tcBorders>
              <w:top w:val="single" w:sz="4" w:space="0" w:color="auto"/>
              <w:left w:val="nil"/>
              <w:bottom w:val="single" w:sz="4" w:space="0" w:color="auto"/>
              <w:right w:val="nil"/>
            </w:tcBorders>
            <w:vAlign w:val="center"/>
            <w:hideMark/>
          </w:tcPr>
          <w:p w14:paraId="042520C0"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Mean AV</w:t>
            </w:r>
          </w:p>
        </w:tc>
      </w:tr>
      <w:tr w:rsidR="00A2730A" w:rsidRPr="00A2730A" w14:paraId="2D1B08C6" w14:textId="77777777" w:rsidTr="00277065">
        <w:trPr>
          <w:jc w:val="center"/>
        </w:trPr>
        <w:tc>
          <w:tcPr>
            <w:tcW w:w="2410" w:type="dxa"/>
            <w:tcBorders>
              <w:top w:val="single" w:sz="4" w:space="0" w:color="auto"/>
              <w:left w:val="nil"/>
              <w:bottom w:val="nil"/>
              <w:right w:val="nil"/>
            </w:tcBorders>
            <w:hideMark/>
          </w:tcPr>
          <w:p w14:paraId="2C3E6818"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Andounohu</w:t>
            </w:r>
          </w:p>
        </w:tc>
        <w:tc>
          <w:tcPr>
            <w:tcW w:w="2268" w:type="dxa"/>
            <w:tcBorders>
              <w:top w:val="single" w:sz="4" w:space="0" w:color="auto"/>
              <w:left w:val="nil"/>
              <w:bottom w:val="nil"/>
              <w:right w:val="nil"/>
            </w:tcBorders>
            <w:vAlign w:val="center"/>
            <w:hideMark/>
          </w:tcPr>
          <w:p w14:paraId="712C3A2E"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403" w:type="dxa"/>
            <w:tcBorders>
              <w:top w:val="single" w:sz="4" w:space="0" w:color="auto"/>
              <w:left w:val="nil"/>
              <w:bottom w:val="nil"/>
              <w:right w:val="nil"/>
            </w:tcBorders>
            <w:vAlign w:val="center"/>
            <w:hideMark/>
          </w:tcPr>
          <w:p w14:paraId="48C0F244"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0.330</w:t>
            </w:r>
          </w:p>
        </w:tc>
      </w:tr>
      <w:tr w:rsidR="00A2730A" w:rsidRPr="00A2730A" w14:paraId="283D124F" w14:textId="77777777" w:rsidTr="00277065">
        <w:trPr>
          <w:jc w:val="center"/>
        </w:trPr>
        <w:tc>
          <w:tcPr>
            <w:tcW w:w="2410" w:type="dxa"/>
            <w:hideMark/>
          </w:tcPr>
          <w:p w14:paraId="012C6741"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Rahandouna</w:t>
            </w:r>
          </w:p>
        </w:tc>
        <w:tc>
          <w:tcPr>
            <w:tcW w:w="2268" w:type="dxa"/>
            <w:vAlign w:val="center"/>
            <w:hideMark/>
          </w:tcPr>
          <w:p w14:paraId="1F81DB7E"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403" w:type="dxa"/>
            <w:vAlign w:val="center"/>
            <w:hideMark/>
          </w:tcPr>
          <w:p w14:paraId="53CE3110"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0.419</w:t>
            </w:r>
          </w:p>
        </w:tc>
      </w:tr>
      <w:tr w:rsidR="00A2730A" w:rsidRPr="00A2730A" w14:paraId="50B8807F" w14:textId="77777777" w:rsidTr="00277065">
        <w:trPr>
          <w:jc w:val="center"/>
        </w:trPr>
        <w:tc>
          <w:tcPr>
            <w:tcW w:w="2410" w:type="dxa"/>
            <w:hideMark/>
          </w:tcPr>
          <w:p w14:paraId="49F43A9D"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Anggoeya</w:t>
            </w:r>
          </w:p>
        </w:tc>
        <w:tc>
          <w:tcPr>
            <w:tcW w:w="2268" w:type="dxa"/>
            <w:vAlign w:val="center"/>
            <w:hideMark/>
          </w:tcPr>
          <w:p w14:paraId="397971AD"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403" w:type="dxa"/>
            <w:vAlign w:val="center"/>
            <w:hideMark/>
          </w:tcPr>
          <w:p w14:paraId="030ACF1F"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0.319</w:t>
            </w:r>
          </w:p>
        </w:tc>
      </w:tr>
      <w:tr w:rsidR="00A2730A" w:rsidRPr="00A2730A" w14:paraId="318A3A16" w14:textId="77777777" w:rsidTr="00277065">
        <w:trPr>
          <w:jc w:val="center"/>
        </w:trPr>
        <w:tc>
          <w:tcPr>
            <w:tcW w:w="2410" w:type="dxa"/>
            <w:hideMark/>
          </w:tcPr>
          <w:p w14:paraId="512676BC"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Matabubu</w:t>
            </w:r>
          </w:p>
        </w:tc>
        <w:tc>
          <w:tcPr>
            <w:tcW w:w="2268" w:type="dxa"/>
            <w:vAlign w:val="center"/>
            <w:hideMark/>
          </w:tcPr>
          <w:p w14:paraId="4BA5D8AC"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403" w:type="dxa"/>
            <w:vAlign w:val="center"/>
            <w:hideMark/>
          </w:tcPr>
          <w:p w14:paraId="3476182D"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0.423</w:t>
            </w:r>
          </w:p>
        </w:tc>
      </w:tr>
      <w:tr w:rsidR="00A2730A" w:rsidRPr="00A2730A" w14:paraId="332AE808" w14:textId="77777777" w:rsidTr="00277065">
        <w:trPr>
          <w:jc w:val="center"/>
        </w:trPr>
        <w:tc>
          <w:tcPr>
            <w:tcW w:w="2410" w:type="dxa"/>
            <w:tcBorders>
              <w:top w:val="nil"/>
              <w:left w:val="nil"/>
              <w:bottom w:val="single" w:sz="4" w:space="0" w:color="auto"/>
              <w:right w:val="nil"/>
            </w:tcBorders>
            <w:hideMark/>
          </w:tcPr>
          <w:p w14:paraId="1EE31943"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Wundumbatu</w:t>
            </w:r>
          </w:p>
        </w:tc>
        <w:tc>
          <w:tcPr>
            <w:tcW w:w="2268" w:type="dxa"/>
            <w:tcBorders>
              <w:top w:val="nil"/>
              <w:left w:val="nil"/>
              <w:bottom w:val="single" w:sz="4" w:space="0" w:color="auto"/>
              <w:right w:val="nil"/>
            </w:tcBorders>
            <w:vAlign w:val="center"/>
            <w:hideMark/>
          </w:tcPr>
          <w:p w14:paraId="094CECD2"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403" w:type="dxa"/>
            <w:tcBorders>
              <w:top w:val="nil"/>
              <w:left w:val="nil"/>
              <w:bottom w:val="single" w:sz="4" w:space="0" w:color="auto"/>
              <w:right w:val="nil"/>
            </w:tcBorders>
            <w:vAlign w:val="center"/>
            <w:hideMark/>
          </w:tcPr>
          <w:p w14:paraId="6725E0B8"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0.432</w:t>
            </w:r>
          </w:p>
        </w:tc>
      </w:tr>
    </w:tbl>
    <w:p w14:paraId="73818E17" w14:textId="77777777" w:rsidR="00A2730A" w:rsidRDefault="00A2730A" w:rsidP="00A2730A">
      <w:pPr>
        <w:pStyle w:val="Heading1"/>
        <w:ind w:left="289"/>
        <w:jc w:val="both"/>
        <w:rPr>
          <w:rFonts w:ascii="Times New Roman" w:hAnsi="Times New Roman" w:cs="Times New Roman"/>
          <w:color w:val="auto"/>
          <w:sz w:val="24"/>
          <w:szCs w:val="24"/>
        </w:rPr>
      </w:pPr>
      <w:r w:rsidRPr="00A2730A">
        <w:rPr>
          <w:rFonts w:ascii="Times New Roman" w:hAnsi="Times New Roman" w:cs="Times New Roman"/>
          <w:color w:val="auto"/>
          <w:sz w:val="24"/>
          <w:szCs w:val="24"/>
        </w:rPr>
        <w:t>Similarly, mosquito populations from Baruga Subdistrict were also classified as sensitive, with all mean absorbance values below 0.700 (Table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170"/>
        <w:gridCol w:w="2643"/>
      </w:tblGrid>
      <w:tr w:rsidR="00A2730A" w:rsidRPr="00A2730A" w14:paraId="11F89030" w14:textId="77777777" w:rsidTr="00277065">
        <w:trPr>
          <w:jc w:val="center"/>
        </w:trPr>
        <w:tc>
          <w:tcPr>
            <w:tcW w:w="2410" w:type="dxa"/>
            <w:tcBorders>
              <w:top w:val="single" w:sz="4" w:space="0" w:color="auto"/>
              <w:left w:val="nil"/>
              <w:bottom w:val="single" w:sz="4" w:space="0" w:color="auto"/>
              <w:right w:val="nil"/>
            </w:tcBorders>
            <w:vAlign w:val="center"/>
            <w:hideMark/>
          </w:tcPr>
          <w:p w14:paraId="0EF5EC6A"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Village</w:t>
            </w:r>
          </w:p>
        </w:tc>
        <w:tc>
          <w:tcPr>
            <w:tcW w:w="2170" w:type="dxa"/>
            <w:tcBorders>
              <w:top w:val="single" w:sz="4" w:space="0" w:color="auto"/>
              <w:left w:val="nil"/>
              <w:bottom w:val="single" w:sz="4" w:space="0" w:color="auto"/>
              <w:right w:val="nil"/>
            </w:tcBorders>
            <w:vAlign w:val="center"/>
            <w:hideMark/>
          </w:tcPr>
          <w:p w14:paraId="0B7B4D91"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n</w:t>
            </w:r>
          </w:p>
        </w:tc>
        <w:tc>
          <w:tcPr>
            <w:tcW w:w="2643" w:type="dxa"/>
            <w:tcBorders>
              <w:top w:val="single" w:sz="4" w:space="0" w:color="auto"/>
              <w:left w:val="nil"/>
              <w:bottom w:val="single" w:sz="4" w:space="0" w:color="auto"/>
              <w:right w:val="nil"/>
            </w:tcBorders>
            <w:vAlign w:val="center"/>
            <w:hideMark/>
          </w:tcPr>
          <w:p w14:paraId="145B69DA"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b/>
                <w:bCs/>
                <w:color w:val="auto"/>
                <w:sz w:val="24"/>
                <w:szCs w:val="24"/>
              </w:rPr>
              <w:t xml:space="preserve">Mean </w:t>
            </w:r>
            <w:r w:rsidRPr="00A2730A">
              <w:rPr>
                <w:rFonts w:ascii="Times New Roman" w:hAnsi="Times New Roman" w:cs="Times New Roman"/>
                <w:color w:val="auto"/>
                <w:sz w:val="24"/>
                <w:szCs w:val="24"/>
              </w:rPr>
              <w:t>AV</w:t>
            </w:r>
          </w:p>
        </w:tc>
      </w:tr>
      <w:tr w:rsidR="00A2730A" w:rsidRPr="00A2730A" w14:paraId="079E80D2" w14:textId="77777777" w:rsidTr="00277065">
        <w:trPr>
          <w:jc w:val="center"/>
        </w:trPr>
        <w:tc>
          <w:tcPr>
            <w:tcW w:w="2410" w:type="dxa"/>
            <w:tcBorders>
              <w:top w:val="single" w:sz="4" w:space="0" w:color="auto"/>
              <w:left w:val="nil"/>
              <w:bottom w:val="nil"/>
              <w:right w:val="nil"/>
            </w:tcBorders>
            <w:vAlign w:val="center"/>
            <w:hideMark/>
          </w:tcPr>
          <w:p w14:paraId="07C03990"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Baruga</w:t>
            </w:r>
          </w:p>
        </w:tc>
        <w:tc>
          <w:tcPr>
            <w:tcW w:w="2170" w:type="dxa"/>
            <w:tcBorders>
              <w:top w:val="single" w:sz="4" w:space="0" w:color="auto"/>
              <w:left w:val="nil"/>
              <w:bottom w:val="nil"/>
              <w:right w:val="nil"/>
            </w:tcBorders>
            <w:vAlign w:val="center"/>
            <w:hideMark/>
          </w:tcPr>
          <w:p w14:paraId="746CFEA9"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643" w:type="dxa"/>
            <w:tcBorders>
              <w:top w:val="single" w:sz="4" w:space="0" w:color="auto"/>
              <w:left w:val="nil"/>
              <w:bottom w:val="nil"/>
              <w:right w:val="nil"/>
            </w:tcBorders>
            <w:vAlign w:val="center"/>
            <w:hideMark/>
          </w:tcPr>
          <w:p w14:paraId="14727FD3"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0.224</w:t>
            </w:r>
          </w:p>
        </w:tc>
      </w:tr>
      <w:tr w:rsidR="00A2730A" w:rsidRPr="00A2730A" w14:paraId="70757333" w14:textId="77777777" w:rsidTr="00277065">
        <w:trPr>
          <w:jc w:val="center"/>
        </w:trPr>
        <w:tc>
          <w:tcPr>
            <w:tcW w:w="2410" w:type="dxa"/>
            <w:vAlign w:val="center"/>
            <w:hideMark/>
          </w:tcPr>
          <w:p w14:paraId="66C0B07C"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Lepo-lepo</w:t>
            </w:r>
          </w:p>
        </w:tc>
        <w:tc>
          <w:tcPr>
            <w:tcW w:w="2170" w:type="dxa"/>
            <w:vAlign w:val="center"/>
            <w:hideMark/>
          </w:tcPr>
          <w:p w14:paraId="093F67BB"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643" w:type="dxa"/>
            <w:vAlign w:val="center"/>
            <w:hideMark/>
          </w:tcPr>
          <w:p w14:paraId="607B2CE0"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0.260</w:t>
            </w:r>
          </w:p>
        </w:tc>
      </w:tr>
      <w:tr w:rsidR="00A2730A" w:rsidRPr="00A2730A" w14:paraId="5828226B" w14:textId="77777777" w:rsidTr="00277065">
        <w:trPr>
          <w:jc w:val="center"/>
        </w:trPr>
        <w:tc>
          <w:tcPr>
            <w:tcW w:w="2410" w:type="dxa"/>
            <w:vAlign w:val="center"/>
            <w:hideMark/>
          </w:tcPr>
          <w:p w14:paraId="64D165F5"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Watubangga</w:t>
            </w:r>
          </w:p>
        </w:tc>
        <w:tc>
          <w:tcPr>
            <w:tcW w:w="2170" w:type="dxa"/>
            <w:vAlign w:val="center"/>
            <w:hideMark/>
          </w:tcPr>
          <w:p w14:paraId="504160B6"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643" w:type="dxa"/>
            <w:vAlign w:val="center"/>
            <w:hideMark/>
          </w:tcPr>
          <w:p w14:paraId="772817DB"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0.291</w:t>
            </w:r>
          </w:p>
        </w:tc>
      </w:tr>
      <w:tr w:rsidR="00A2730A" w:rsidRPr="00A2730A" w14:paraId="759B8640" w14:textId="77777777" w:rsidTr="00277065">
        <w:trPr>
          <w:jc w:val="center"/>
        </w:trPr>
        <w:tc>
          <w:tcPr>
            <w:tcW w:w="2410" w:type="dxa"/>
            <w:tcBorders>
              <w:top w:val="nil"/>
              <w:left w:val="nil"/>
              <w:bottom w:val="single" w:sz="4" w:space="0" w:color="auto"/>
              <w:right w:val="nil"/>
            </w:tcBorders>
            <w:vAlign w:val="center"/>
            <w:hideMark/>
          </w:tcPr>
          <w:p w14:paraId="16BD5870"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Wundudopi</w:t>
            </w:r>
          </w:p>
        </w:tc>
        <w:tc>
          <w:tcPr>
            <w:tcW w:w="2170" w:type="dxa"/>
            <w:tcBorders>
              <w:top w:val="nil"/>
              <w:left w:val="nil"/>
              <w:bottom w:val="single" w:sz="4" w:space="0" w:color="auto"/>
              <w:right w:val="nil"/>
            </w:tcBorders>
            <w:vAlign w:val="center"/>
            <w:hideMark/>
          </w:tcPr>
          <w:p w14:paraId="78F673EF"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30</w:t>
            </w:r>
          </w:p>
        </w:tc>
        <w:tc>
          <w:tcPr>
            <w:tcW w:w="2643" w:type="dxa"/>
            <w:tcBorders>
              <w:top w:val="nil"/>
              <w:left w:val="nil"/>
              <w:bottom w:val="single" w:sz="4" w:space="0" w:color="auto"/>
              <w:right w:val="nil"/>
            </w:tcBorders>
            <w:vAlign w:val="center"/>
            <w:hideMark/>
          </w:tcPr>
          <w:p w14:paraId="21CAA152" w14:textId="77777777" w:rsidR="00A2730A" w:rsidRPr="00A2730A" w:rsidRDefault="00A2730A" w:rsidP="00A2730A">
            <w:pPr>
              <w:pStyle w:val="Heading1"/>
              <w:spacing w:before="0"/>
              <w:ind w:left="289"/>
              <w:rPr>
                <w:rFonts w:ascii="Times New Roman" w:hAnsi="Times New Roman" w:cs="Times New Roman"/>
                <w:b/>
                <w:bCs/>
                <w:color w:val="auto"/>
                <w:sz w:val="24"/>
                <w:szCs w:val="24"/>
              </w:rPr>
            </w:pPr>
            <w:r w:rsidRPr="00A2730A">
              <w:rPr>
                <w:rFonts w:ascii="Times New Roman" w:hAnsi="Times New Roman" w:cs="Times New Roman"/>
                <w:color w:val="auto"/>
                <w:sz w:val="24"/>
                <w:szCs w:val="24"/>
              </w:rPr>
              <w:t>0.188</w:t>
            </w:r>
          </w:p>
        </w:tc>
      </w:tr>
    </w:tbl>
    <w:p w14:paraId="621610CD" w14:textId="77777777" w:rsidR="00A2730A" w:rsidRPr="00A2730A" w:rsidRDefault="00A2730A" w:rsidP="00A2730A">
      <w:pPr>
        <w:pStyle w:val="Heading1"/>
        <w:ind w:left="289"/>
        <w:jc w:val="both"/>
        <w:rPr>
          <w:rFonts w:ascii="Times New Roman" w:hAnsi="Times New Roman" w:cs="Times New Roman"/>
          <w:color w:val="auto"/>
          <w:sz w:val="24"/>
          <w:szCs w:val="24"/>
          <w:lang w:val="en-ID"/>
        </w:rPr>
      </w:pPr>
      <w:r w:rsidRPr="007F584F">
        <w:rPr>
          <w:rFonts w:ascii="Times New Roman" w:hAnsi="Times New Roman" w:cs="Times New Roman"/>
          <w:color w:val="auto"/>
          <w:sz w:val="24"/>
          <w:szCs w:val="24"/>
          <w:lang w:val="en-ID"/>
        </w:rPr>
        <w:t>A statistically significant difference in non-specific esterase enzyme activity was observed between Poasia and Baruga Subdistricts (p &lt; 0.001). In addition, significant differences in enzyme activity were found among villages within both subdistricts (p &lt; 0.001).</w:t>
      </w:r>
    </w:p>
    <w:p w14:paraId="01502BEC" w14:textId="77777777" w:rsidR="00A2730A" w:rsidRPr="00A2730A" w:rsidRDefault="00A2730A" w:rsidP="00A2730A"/>
    <w:p w14:paraId="15C583E7" w14:textId="77777777" w:rsidR="00A2730A" w:rsidRPr="00A2730A" w:rsidRDefault="00A2730A" w:rsidP="00A2730A"/>
    <w:p w14:paraId="2CD3D18E" w14:textId="1B780088" w:rsidR="00227BEA" w:rsidRPr="009869DC" w:rsidRDefault="00227BEA" w:rsidP="00192C16">
      <w:pPr>
        <w:spacing w:before="60" w:line="400" w:lineRule="atLeast"/>
        <w:outlineLvl w:val="0"/>
        <w:rPr>
          <w:b/>
          <w:bCs/>
          <w:color w:val="000000"/>
        </w:rPr>
      </w:pPr>
      <w:r>
        <w:rPr>
          <w:b/>
          <w:bCs/>
          <w:color w:val="000000"/>
        </w:rPr>
        <w:t>DISCUSSION</w:t>
      </w:r>
    </w:p>
    <w:p w14:paraId="3889F682" w14:textId="77777777" w:rsidR="00192C16" w:rsidRPr="00192C16" w:rsidRDefault="00192C16" w:rsidP="00192C16">
      <w:pPr>
        <w:spacing w:before="60" w:line="400" w:lineRule="atLeast"/>
        <w:jc w:val="both"/>
        <w:outlineLvl w:val="0"/>
        <w:rPr>
          <w:lang w:val="en-ID"/>
        </w:rPr>
      </w:pPr>
      <w:r w:rsidRPr="00072B11">
        <w:rPr>
          <w:lang w:val="en-ID"/>
        </w:rPr>
        <w:t xml:space="preserve">This study found that all </w:t>
      </w:r>
      <w:r w:rsidRPr="00072B11">
        <w:rPr>
          <w:i/>
          <w:iCs/>
          <w:lang w:val="en-ID"/>
        </w:rPr>
        <w:t>Aedes</w:t>
      </w:r>
      <w:r w:rsidRPr="00072B11">
        <w:rPr>
          <w:lang w:val="en-ID"/>
        </w:rPr>
        <w:t xml:space="preserve"> </w:t>
      </w:r>
      <w:r w:rsidRPr="00072B11">
        <w:rPr>
          <w:i/>
          <w:iCs/>
          <w:lang w:val="en-ID"/>
        </w:rPr>
        <w:t>spp</w:t>
      </w:r>
      <w:r w:rsidRPr="00072B11">
        <w:rPr>
          <w:lang w:val="en-ID"/>
        </w:rPr>
        <w:t>. mosquito populations from Poasia and Baruga Subdistricts remained susceptible to pyrethroid insecticides, as indicated by mean absorbance values below 0.700. These findings suggest that pyrethroid-based fogging is still effective for dengue vector control in the study areas.</w:t>
      </w:r>
    </w:p>
    <w:p w14:paraId="6C64919A" w14:textId="77777777" w:rsidR="00192C16" w:rsidRPr="00192C16" w:rsidRDefault="00192C16" w:rsidP="00192C16">
      <w:pPr>
        <w:spacing w:before="60" w:line="400" w:lineRule="atLeast"/>
        <w:jc w:val="both"/>
        <w:outlineLvl w:val="0"/>
        <w:rPr>
          <w:lang w:val="en-ID"/>
        </w:rPr>
      </w:pPr>
      <w:r w:rsidRPr="00072B11">
        <w:rPr>
          <w:lang w:val="en-ID"/>
        </w:rPr>
        <w:t>However, a significant difference in non-specific esterase enzyme activity was observed between subdistricts and among villages. Although all populations were still classified as sensitive, this variation may indicate early biochemical changes that could precede the development of insecticide resistance. Increased activity of detoxification enzymes, such as esterases, has been widely associated with metabolic resistance mechanisms in mosquitoes (5,10).</w:t>
      </w:r>
    </w:p>
    <w:p w14:paraId="4361F186" w14:textId="77777777" w:rsidR="00192C16" w:rsidRPr="00192C16" w:rsidRDefault="00192C16" w:rsidP="00192C16">
      <w:pPr>
        <w:spacing w:before="60" w:line="400" w:lineRule="atLeast"/>
        <w:jc w:val="both"/>
        <w:outlineLvl w:val="0"/>
        <w:rPr>
          <w:lang w:val="en-ID"/>
        </w:rPr>
      </w:pPr>
      <w:r w:rsidRPr="00072B11">
        <w:rPr>
          <w:lang w:val="en-ID"/>
        </w:rPr>
        <w:t xml:space="preserve">The continued susceptibility observed in this study may be related to the relatively recent use of pyrethroid insecticides in Kendari City. Previous studies have shown that prolonged and intensive insecticide use, particularly for more than 10 years, is associated with the development of resistance in </w:t>
      </w:r>
      <w:r w:rsidRPr="00072B11">
        <w:rPr>
          <w:i/>
          <w:iCs/>
          <w:lang w:val="en-ID"/>
        </w:rPr>
        <w:t>Aedes aegypti</w:t>
      </w:r>
      <w:r w:rsidRPr="00072B11">
        <w:rPr>
          <w:lang w:val="en-ID"/>
        </w:rPr>
        <w:t xml:space="preserve"> populations (11,12). In contrast, the duration of pyrethroid use in this setting may not yet be sufficient to induce resistance.</w:t>
      </w:r>
    </w:p>
    <w:p w14:paraId="75A52B62" w14:textId="77777777" w:rsidR="00192C16" w:rsidRPr="00192C16" w:rsidRDefault="00192C16" w:rsidP="00192C16">
      <w:pPr>
        <w:spacing w:before="60" w:line="400" w:lineRule="atLeast"/>
        <w:jc w:val="both"/>
        <w:outlineLvl w:val="0"/>
        <w:rPr>
          <w:lang w:val="en-ID"/>
        </w:rPr>
      </w:pPr>
      <w:r w:rsidRPr="00072B11">
        <w:rPr>
          <w:lang w:val="en-ID"/>
        </w:rPr>
        <w:t xml:space="preserve">Variations in enzyme activity among villages may also be influenced by differences in insecticide exposure, environmental conditions, and genetic factors within mosquito populations (13,14). In addition, mosquito movement between nearby areas may contribute to the spread of resistance-related </w:t>
      </w:r>
      <w:r w:rsidRPr="00072B11">
        <w:rPr>
          <w:lang w:val="en-ID"/>
        </w:rPr>
        <w:lastRenderedPageBreak/>
        <w:t>traits (15). Cross-resistance between insecticides from different classes may further influence enzyme activity patterns (16,17).</w:t>
      </w:r>
    </w:p>
    <w:p w14:paraId="4A1DEFC6" w14:textId="77777777" w:rsidR="00192C16" w:rsidRPr="00192C16" w:rsidRDefault="00192C16" w:rsidP="00192C16">
      <w:pPr>
        <w:spacing w:before="60" w:line="400" w:lineRule="atLeast"/>
        <w:jc w:val="both"/>
        <w:outlineLvl w:val="0"/>
        <w:rPr>
          <w:lang w:val="en-ID"/>
        </w:rPr>
      </w:pPr>
      <w:r w:rsidRPr="00072B11">
        <w:rPr>
          <w:lang w:val="en-ID"/>
        </w:rPr>
        <w:t>From a public health perspective, these findings highlight that pyrethroid insecticides remain effective for vector control in Kendari. However, the observed variation in enzyme activity suggests the need for continuous resistance monitoring. Regular surveillance and appropriate insecticide management strategies, including rotation of insecticide classes, are recommended to prevent the development of resistance and to sustain dengue control efforts.</w:t>
      </w:r>
    </w:p>
    <w:p w14:paraId="363D5E70" w14:textId="730CB8E4" w:rsidR="00192C16" w:rsidRPr="00072B11" w:rsidRDefault="00192C16" w:rsidP="00192C16">
      <w:pPr>
        <w:spacing w:before="60" w:line="400" w:lineRule="atLeast"/>
        <w:jc w:val="both"/>
        <w:outlineLvl w:val="0"/>
        <w:rPr>
          <w:color w:val="000000"/>
        </w:rPr>
      </w:pPr>
      <w:r w:rsidRPr="00072B11">
        <w:rPr>
          <w:lang w:val="en-ID"/>
        </w:rPr>
        <w:t>This study has several limitations. The assessment of susceptibility status was based solely on biochemical testing without confirmation using WHO standard bioassays. Therefore, further studies combining biochemical and bioassay methods are recommended for comprehensive resistance monitoring.</w:t>
      </w:r>
    </w:p>
    <w:p w14:paraId="6B5CB6FE" w14:textId="77777777" w:rsidR="00192C16" w:rsidRPr="00930397" w:rsidRDefault="00192C16" w:rsidP="00192C16">
      <w:pPr>
        <w:pStyle w:val="Heading1"/>
        <w:spacing w:before="227"/>
        <w:rPr>
          <w:rFonts w:ascii="Times New Roman" w:hAnsi="Times New Roman" w:cs="Times New Roman"/>
          <w:spacing w:val="-2"/>
        </w:rPr>
      </w:pPr>
    </w:p>
    <w:p w14:paraId="5FFD714C" w14:textId="774E56B9" w:rsidR="00227BEA" w:rsidRPr="009869DC" w:rsidRDefault="00227BEA" w:rsidP="009869DC">
      <w:pPr>
        <w:spacing w:before="60" w:after="200" w:line="400" w:lineRule="atLeast"/>
        <w:outlineLvl w:val="0"/>
        <w:rPr>
          <w:b/>
          <w:bCs/>
          <w:color w:val="000000"/>
        </w:rPr>
      </w:pPr>
      <w:r>
        <w:rPr>
          <w:b/>
          <w:bCs/>
          <w:color w:val="000000"/>
        </w:rPr>
        <w:t>CONCLUSIONS</w:t>
      </w:r>
    </w:p>
    <w:p w14:paraId="485ABDC5" w14:textId="77777777" w:rsidR="009869DC" w:rsidRPr="009869DC" w:rsidRDefault="009869DC" w:rsidP="009869DC">
      <w:pPr>
        <w:pStyle w:val="BodyText"/>
        <w:spacing w:before="7"/>
        <w:ind w:right="222" w:hanging="3"/>
        <w:jc w:val="both"/>
        <w:rPr>
          <w:rFonts w:ascii="Times New Roman" w:hAnsi="Times New Roman" w:cs="Times New Roman"/>
          <w:sz w:val="24"/>
          <w:szCs w:val="24"/>
        </w:rPr>
      </w:pPr>
      <w:r w:rsidRPr="009869DC">
        <w:rPr>
          <w:rFonts w:ascii="Times New Roman" w:hAnsi="Times New Roman" w:cs="Times New Roman"/>
          <w:i/>
          <w:iCs/>
          <w:sz w:val="24"/>
          <w:szCs w:val="24"/>
        </w:rPr>
        <w:t>Aedes</w:t>
      </w:r>
      <w:r w:rsidRPr="009869DC">
        <w:rPr>
          <w:rFonts w:ascii="Times New Roman" w:hAnsi="Times New Roman" w:cs="Times New Roman"/>
          <w:sz w:val="24"/>
          <w:szCs w:val="24"/>
        </w:rPr>
        <w:t xml:space="preserve"> </w:t>
      </w:r>
      <w:r w:rsidRPr="009869DC">
        <w:rPr>
          <w:rFonts w:ascii="Times New Roman" w:hAnsi="Times New Roman" w:cs="Times New Roman"/>
          <w:i/>
          <w:iCs/>
          <w:sz w:val="24"/>
          <w:szCs w:val="24"/>
        </w:rPr>
        <w:t>spp</w:t>
      </w:r>
      <w:r w:rsidRPr="009869DC">
        <w:rPr>
          <w:rFonts w:ascii="Times New Roman" w:hAnsi="Times New Roman" w:cs="Times New Roman"/>
          <w:sz w:val="24"/>
          <w:szCs w:val="24"/>
        </w:rPr>
        <w:t>. mosquitoes in Poasia and Baruga Subdistricts remain sensitive to pyrethroid insecticides. Continuous monitoring is necessary to prevent the development of resistance and to ensure the effectiveness of dengue vector control programs.</w:t>
      </w:r>
    </w:p>
    <w:p w14:paraId="4F714B18" w14:textId="77777777" w:rsidR="009869DC" w:rsidRDefault="009869DC">
      <w:pPr>
        <w:spacing w:before="60" w:line="400" w:lineRule="atLeast"/>
        <w:outlineLvl w:val="0"/>
        <w:rPr>
          <w:color w:val="000000"/>
        </w:rPr>
      </w:pPr>
    </w:p>
    <w:p w14:paraId="028DF8A6" w14:textId="77777777" w:rsidR="00606B4C" w:rsidRDefault="00606B4C">
      <w:pPr>
        <w:spacing w:before="60" w:line="400" w:lineRule="atLeast"/>
        <w:outlineLvl w:val="0"/>
        <w:rPr>
          <w:b/>
          <w:bCs/>
          <w:color w:val="000000"/>
        </w:rPr>
      </w:pPr>
    </w:p>
    <w:p w14:paraId="63A63B2D" w14:textId="77777777" w:rsidR="00606B4C" w:rsidRDefault="00606B4C">
      <w:pPr>
        <w:spacing w:before="60" w:line="400" w:lineRule="atLeast"/>
        <w:outlineLvl w:val="0"/>
        <w:rPr>
          <w:b/>
          <w:bCs/>
          <w:color w:val="000000"/>
        </w:rPr>
      </w:pPr>
    </w:p>
    <w:p w14:paraId="583412D2" w14:textId="77777777" w:rsidR="00606B4C" w:rsidRDefault="00606B4C">
      <w:pPr>
        <w:spacing w:before="60" w:line="400" w:lineRule="atLeast"/>
        <w:outlineLvl w:val="0"/>
        <w:rPr>
          <w:b/>
          <w:bCs/>
          <w:color w:val="000000"/>
        </w:rPr>
      </w:pPr>
    </w:p>
    <w:p w14:paraId="3060DA31" w14:textId="77777777" w:rsidR="00606B4C" w:rsidRDefault="00606B4C">
      <w:pPr>
        <w:spacing w:before="60" w:line="400" w:lineRule="atLeast"/>
        <w:outlineLvl w:val="0"/>
        <w:rPr>
          <w:b/>
          <w:bCs/>
          <w:color w:val="000000"/>
        </w:rPr>
      </w:pPr>
    </w:p>
    <w:p w14:paraId="14A451E8" w14:textId="77777777" w:rsidR="00606B4C" w:rsidRDefault="00606B4C">
      <w:pPr>
        <w:spacing w:before="60" w:line="400" w:lineRule="atLeast"/>
        <w:outlineLvl w:val="0"/>
        <w:rPr>
          <w:b/>
          <w:bCs/>
          <w:color w:val="000000"/>
        </w:rPr>
      </w:pPr>
    </w:p>
    <w:p w14:paraId="7D275E05" w14:textId="77777777" w:rsidR="00606B4C" w:rsidRDefault="00606B4C">
      <w:pPr>
        <w:spacing w:before="60" w:line="400" w:lineRule="atLeast"/>
        <w:outlineLvl w:val="0"/>
        <w:rPr>
          <w:b/>
          <w:bCs/>
          <w:color w:val="000000"/>
        </w:rPr>
      </w:pPr>
    </w:p>
    <w:p w14:paraId="71848C6C" w14:textId="77777777" w:rsidR="00606B4C" w:rsidRDefault="00606B4C">
      <w:pPr>
        <w:spacing w:before="60" w:line="400" w:lineRule="atLeast"/>
        <w:outlineLvl w:val="0"/>
        <w:rPr>
          <w:b/>
          <w:bCs/>
          <w:color w:val="000000"/>
        </w:rPr>
      </w:pPr>
    </w:p>
    <w:p w14:paraId="35EF69C0" w14:textId="77777777" w:rsidR="00606B4C" w:rsidRDefault="00606B4C">
      <w:pPr>
        <w:spacing w:before="60" w:line="400" w:lineRule="atLeast"/>
        <w:outlineLvl w:val="0"/>
        <w:rPr>
          <w:b/>
          <w:bCs/>
          <w:color w:val="000000"/>
        </w:rPr>
      </w:pPr>
    </w:p>
    <w:p w14:paraId="1404ECF1" w14:textId="77777777" w:rsidR="00606B4C" w:rsidRDefault="00606B4C">
      <w:pPr>
        <w:spacing w:before="60" w:line="400" w:lineRule="atLeast"/>
        <w:outlineLvl w:val="0"/>
        <w:rPr>
          <w:b/>
          <w:bCs/>
          <w:color w:val="000000"/>
        </w:rPr>
      </w:pPr>
    </w:p>
    <w:p w14:paraId="284AFE54" w14:textId="77777777" w:rsidR="00606B4C" w:rsidRDefault="00606B4C">
      <w:pPr>
        <w:spacing w:before="60" w:line="400" w:lineRule="atLeast"/>
        <w:outlineLvl w:val="0"/>
        <w:rPr>
          <w:b/>
          <w:bCs/>
          <w:color w:val="000000"/>
        </w:rPr>
      </w:pPr>
    </w:p>
    <w:p w14:paraId="3BC73996" w14:textId="77777777" w:rsidR="00606B4C" w:rsidRDefault="00606B4C">
      <w:pPr>
        <w:spacing w:before="60" w:line="400" w:lineRule="atLeast"/>
        <w:outlineLvl w:val="0"/>
        <w:rPr>
          <w:b/>
          <w:bCs/>
          <w:color w:val="000000"/>
        </w:rPr>
      </w:pPr>
    </w:p>
    <w:p w14:paraId="3F1348A2" w14:textId="77777777" w:rsidR="00606B4C" w:rsidRDefault="00606B4C">
      <w:pPr>
        <w:spacing w:before="60" w:line="400" w:lineRule="atLeast"/>
        <w:outlineLvl w:val="0"/>
        <w:rPr>
          <w:b/>
          <w:bCs/>
          <w:color w:val="000000"/>
        </w:rPr>
      </w:pPr>
    </w:p>
    <w:p w14:paraId="71CCC135" w14:textId="77777777" w:rsidR="00606B4C" w:rsidRDefault="00606B4C">
      <w:pPr>
        <w:spacing w:before="60" w:line="400" w:lineRule="atLeast"/>
        <w:outlineLvl w:val="0"/>
        <w:rPr>
          <w:b/>
          <w:bCs/>
          <w:color w:val="000000"/>
        </w:rPr>
      </w:pPr>
    </w:p>
    <w:p w14:paraId="0E6D6AF3" w14:textId="77777777" w:rsidR="00606B4C" w:rsidRDefault="00606B4C">
      <w:pPr>
        <w:spacing w:before="60" w:line="400" w:lineRule="atLeast"/>
        <w:outlineLvl w:val="0"/>
        <w:rPr>
          <w:b/>
          <w:bCs/>
          <w:color w:val="000000"/>
        </w:rPr>
      </w:pPr>
    </w:p>
    <w:p w14:paraId="78C411E9" w14:textId="77777777" w:rsidR="00606B4C" w:rsidRDefault="00606B4C">
      <w:pPr>
        <w:spacing w:before="60" w:line="400" w:lineRule="atLeast"/>
        <w:outlineLvl w:val="0"/>
        <w:rPr>
          <w:b/>
          <w:bCs/>
          <w:color w:val="000000"/>
        </w:rPr>
      </w:pPr>
    </w:p>
    <w:p w14:paraId="57B629B0" w14:textId="77777777" w:rsidR="00606B4C" w:rsidRDefault="00606B4C">
      <w:pPr>
        <w:spacing w:before="60" w:line="400" w:lineRule="atLeast"/>
        <w:outlineLvl w:val="0"/>
        <w:rPr>
          <w:b/>
          <w:bCs/>
          <w:color w:val="000000"/>
        </w:rPr>
      </w:pPr>
    </w:p>
    <w:p w14:paraId="5BE94D1F" w14:textId="51CFEF87" w:rsidR="00227BEA" w:rsidRPr="00ED63FA" w:rsidRDefault="00227BEA" w:rsidP="00606B4C">
      <w:pPr>
        <w:spacing w:before="60" w:line="400" w:lineRule="atLeast"/>
        <w:outlineLvl w:val="0"/>
        <w:rPr>
          <w:b/>
          <w:bCs/>
          <w:color w:val="000000"/>
        </w:rPr>
      </w:pPr>
      <w:r>
        <w:rPr>
          <w:b/>
          <w:bCs/>
          <w:color w:val="000000"/>
        </w:rPr>
        <w:lastRenderedPageBreak/>
        <w:t>REFERENCES</w:t>
      </w:r>
    </w:p>
    <w:p w14:paraId="2B1B6DDD"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World Health Organization. Dengue – global situation. 2024. Available from: </w:t>
      </w:r>
      <w:hyperlink r:id="rId9" w:tgtFrame="_new" w:history="1">
        <w:r w:rsidRPr="00F91CB3">
          <w:rPr>
            <w:rStyle w:val="Hyperlink"/>
            <w:rFonts w:ascii="Times New Roman" w:hAnsi="Times New Roman" w:cs="Times New Roman"/>
            <w:color w:val="auto"/>
            <w:sz w:val="24"/>
            <w:szCs w:val="24"/>
            <w:u w:val="none"/>
            <w:lang w:val="en-ID"/>
          </w:rPr>
          <w:t>https://www.who.int/emergencies/disease-outbreak-news/item/2023-DON518</w:t>
        </w:r>
      </w:hyperlink>
      <w:r w:rsidRPr="00F91CB3">
        <w:rPr>
          <w:rFonts w:ascii="Times New Roman" w:hAnsi="Times New Roman" w:cs="Times New Roman"/>
          <w:color w:val="auto"/>
          <w:sz w:val="24"/>
          <w:szCs w:val="24"/>
          <w:lang w:val="en-ID"/>
        </w:rPr>
        <w:t xml:space="preserve"> </w:t>
      </w:r>
    </w:p>
    <w:p w14:paraId="565271E1"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Kementerian Kesehatan Republik Indonesia. Laporan tahunan demam berdarah dengue. Jakarta: Kementerian Kesehatan RI; 2022. </w:t>
      </w:r>
    </w:p>
    <w:p w14:paraId="33E7A03A"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Dinas Kesehatan Kota Kendari. Laporan kasus demam berdarah dengue dan data penggunaan fogging tahun 2019–2024. Kendari: Dinas Kesehatan Kota Kendari; 2024. </w:t>
      </w:r>
    </w:p>
    <w:p w14:paraId="57FAA297"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Mubarak, Satoto TBT, Umniyati SR. Analisis penggunaan insektisida malation dan temefos terhadap vektor demam berdarah dengue Aedes aegypti di Kota Kendari Sulawesi Tenggara. Medula. 2015;2(2):134–142. </w:t>
      </w:r>
    </w:p>
    <w:p w14:paraId="453C6CAC"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Anindita R, Kesetyaningsih TW. Deteksi resistensi larva Aedes aegypti dengan uji biokimia berdasarkan aktivitas enzim esterase di Kabupaten Bantul DIY. Mutiara Medika. 2007;7(2):88–94. </w:t>
      </w:r>
    </w:p>
    <w:p w14:paraId="3A21D8F4"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Soderlund DM. Neurotoxicology of pyrethroid insecticides. Cornell Univ Dept Entomol. 2020;4(3):113–165. </w:t>
      </w:r>
    </w:p>
    <w:p w14:paraId="3F8CD3A5"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Field LM, Davies TGE, O’Reilly AO, Williamson MS, Wallace BA. Voltage-gated sodium channels as targets for pyrethroid insecticides. Eur Biophys J. 2017;46(7):675–679. </w:t>
      </w:r>
    </w:p>
    <w:p w14:paraId="18A033F7"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Black WC, Snell TK, Saavedra-Rodriguez K, Kading RC, Campbell CL. From global to local: New insights into features of pyrethroid detoxification in vector mosquitoes. Insects. 2021;12(4):1–20. </w:t>
      </w:r>
    </w:p>
    <w:p w14:paraId="54F64819"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Zong W, Su W, Xie Q, Gu Q, Deng X, Ren Y, et al. Expression, characterization, and immobilization of a novel SGNH esterase Est882 and its potential for pyrethroid degradation. Front Microbiol. 2022;13:1069754. </w:t>
      </w:r>
    </w:p>
    <w:p w14:paraId="0738B7DC"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Putra ER, Ahmad I, Prasetyo DB, Susanti S, Rahayu R, Hariani N. Detection of insecticide resistance in the larvae of some Aedes aegypti (Diptera: Culicidae) strains from Java, Indonesia to temephos, malathion, and permethrin. Int J Mosq Res. 2016;3(3):23–28. </w:t>
      </w:r>
    </w:p>
    <w:p w14:paraId="25F21F0E"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Irawati NB, Nur, Putri NE. Resistensi nyamuk Aedes aegypti terhadap cypermethrin di Kabupaten Klaten, Jawa Tengah. J Kesehat Lingkung Ruwa Jurai. 2021;15(1):1–7. </w:t>
      </w:r>
    </w:p>
    <w:p w14:paraId="549E3566"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Sayono, Syafruddin D, Sumanto D. Distribusi resistensi nyamuk Aedes aegypti terhadap insektisida sipermetrin di Semarang. Available from: </w:t>
      </w:r>
      <w:hyperlink r:id="rId10" w:tgtFrame="_new" w:history="1">
        <w:r w:rsidRPr="00F91CB3">
          <w:rPr>
            <w:rStyle w:val="Hyperlink"/>
            <w:rFonts w:ascii="Times New Roman" w:hAnsi="Times New Roman" w:cs="Times New Roman"/>
            <w:color w:val="auto"/>
            <w:sz w:val="24"/>
            <w:szCs w:val="24"/>
            <w:lang w:val="en-ID"/>
          </w:rPr>
          <w:t>http://jurnal.uimus.ac.id</w:t>
        </w:r>
      </w:hyperlink>
      <w:r w:rsidRPr="00F91CB3">
        <w:rPr>
          <w:rFonts w:ascii="Times New Roman" w:hAnsi="Times New Roman" w:cs="Times New Roman"/>
          <w:color w:val="auto"/>
          <w:sz w:val="24"/>
          <w:szCs w:val="24"/>
          <w:lang w:val="en-ID"/>
        </w:rPr>
        <w:t xml:space="preserve"> </w:t>
      </w:r>
    </w:p>
    <w:p w14:paraId="547377AD"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Handayani D, Zuhirman, Putra RM. Uji resistensi nyamuk Aedes aegypti terhadap sipermetrin 0,05% di Pelabuhan Sungai Duku dan Bandara Sultan Syarif Kasim II Pekanbaru. J Kesehat Sehati. 2021;1(1):16–21. </w:t>
      </w:r>
    </w:p>
    <w:p w14:paraId="6CC2F7B8"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Windyaraini D, Hening. Status resistensi terhadap insektisida organofosfat dan profil isoenzim esterase non-spesifik nyamuk </w:t>
      </w:r>
      <w:r w:rsidRPr="00F91CB3">
        <w:rPr>
          <w:rFonts w:ascii="Times New Roman" w:hAnsi="Times New Roman" w:cs="Times New Roman"/>
          <w:i/>
          <w:iCs/>
          <w:color w:val="auto"/>
          <w:sz w:val="24"/>
          <w:szCs w:val="24"/>
          <w:lang w:val="en-ID"/>
        </w:rPr>
        <w:t>Aedes spp</w:t>
      </w:r>
      <w:r w:rsidRPr="00F91CB3">
        <w:rPr>
          <w:rFonts w:ascii="Times New Roman" w:hAnsi="Times New Roman" w:cs="Times New Roman"/>
          <w:color w:val="auto"/>
          <w:sz w:val="24"/>
          <w:szCs w:val="24"/>
          <w:lang w:val="en-ID"/>
        </w:rPr>
        <w:t xml:space="preserve">. Yogyakarta: Universitas Gadjah Mada; 2015. </w:t>
      </w:r>
    </w:p>
    <w:p w14:paraId="0EA63FD0"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Susanty E, Lesmana SD, Taufik R. Status resistensi Aedes aegypti terhadap malathion 0,8% di Kelurahan Labuh Baru Timur Kecamatan Payung Sekaki Kota Pekanbaru. J Med Udayana. 2023;12(4):38–42. </w:t>
      </w:r>
    </w:p>
    <w:p w14:paraId="1AEACCAE" w14:textId="77777777" w:rsidR="00606B4C" w:rsidRPr="00F91CB3" w:rsidRDefault="00606B4C" w:rsidP="00606B4C">
      <w:pPr>
        <w:pStyle w:val="Heading1"/>
        <w:widowControl w:val="0"/>
        <w:numPr>
          <w:ilvl w:val="0"/>
          <w:numId w:val="11"/>
        </w:numPr>
        <w:tabs>
          <w:tab w:val="clear" w:pos="720"/>
          <w:tab w:val="num" w:pos="851"/>
        </w:tabs>
        <w:autoSpaceDE w:val="0"/>
        <w:autoSpaceDN w:val="0"/>
        <w:spacing w:before="79"/>
        <w:ind w:hanging="720"/>
        <w:jc w:val="both"/>
        <w:rPr>
          <w:rFonts w:ascii="Times New Roman" w:hAnsi="Times New Roman" w:cs="Times New Roman"/>
          <w:color w:val="auto"/>
          <w:sz w:val="24"/>
          <w:szCs w:val="24"/>
          <w:lang w:val="en-ID"/>
        </w:rPr>
      </w:pPr>
      <w:r w:rsidRPr="00F91CB3">
        <w:rPr>
          <w:rFonts w:ascii="Times New Roman" w:hAnsi="Times New Roman" w:cs="Times New Roman"/>
          <w:color w:val="auto"/>
          <w:sz w:val="24"/>
          <w:szCs w:val="24"/>
          <w:lang w:val="en-ID"/>
        </w:rPr>
        <w:t xml:space="preserve">Couso-Ferrer F, Arouri R, Beroiz B, Perera N, Cervera A, Navarro-Llopis V. Cross-resistance to insecticides in a malathion-resistant strain of Ceratitis capitata (Diptera: Tephritidae). J Econ Entomol. 2011;104(4):1349–1356. </w:t>
      </w:r>
    </w:p>
    <w:p w14:paraId="6BD820B2" w14:textId="77777777" w:rsidR="00DB11D3" w:rsidRPr="00ED63FA" w:rsidRDefault="00DB11D3">
      <w:pPr>
        <w:spacing w:before="60" w:line="400" w:lineRule="atLeast"/>
        <w:outlineLvl w:val="0"/>
      </w:pPr>
    </w:p>
    <w:p w14:paraId="5D6B2DB2" w14:textId="77777777" w:rsidR="00DB11D3" w:rsidRPr="00C86A97" w:rsidRDefault="00DB11D3">
      <w:pPr>
        <w:spacing w:before="60" w:line="400" w:lineRule="atLeast"/>
        <w:rPr>
          <w:color w:val="000000"/>
        </w:rPr>
      </w:pPr>
    </w:p>
    <w:p w14:paraId="73C4E831" w14:textId="77777777" w:rsidR="00DB11D3" w:rsidRPr="00C86A97" w:rsidRDefault="00DB11D3">
      <w:pPr>
        <w:pStyle w:val="NormalWeb"/>
        <w:spacing w:before="0" w:beforeAutospacing="0" w:after="0" w:afterAutospacing="0" w:line="280" w:lineRule="atLeast"/>
        <w:ind w:left="360" w:firstLine="0"/>
        <w:jc w:val="both"/>
        <w:rPr>
          <w:rFonts w:ascii="Times New Roman" w:hAnsi="Times New Roman"/>
          <w:color w:val="000000"/>
          <w:kern w:val="2"/>
        </w:rPr>
      </w:pPr>
    </w:p>
    <w:p w14:paraId="2E95F5E0" w14:textId="5718315D" w:rsidR="0043512F" w:rsidRPr="00C86A97" w:rsidRDefault="0043512F">
      <w:pPr>
        <w:spacing w:before="60" w:line="400" w:lineRule="atLeast"/>
        <w:outlineLvl w:val="0"/>
        <w:rPr>
          <w:noProof/>
          <w:color w:val="000000"/>
          <w:lang w:val="en-US"/>
        </w:rPr>
      </w:pPr>
    </w:p>
    <w:sectPr w:rsidR="0043512F" w:rsidRPr="00C86A97" w:rsidSect="00723929">
      <w:headerReference w:type="default" r:id="rId11"/>
      <w:pgSz w:w="11906" w:h="16838" w:code="9"/>
      <w:pgMar w:top="1008" w:right="1008" w:bottom="1008"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048CB" w14:textId="77777777" w:rsidR="00D93314" w:rsidRDefault="00D93314">
      <w:r>
        <w:separator/>
      </w:r>
    </w:p>
  </w:endnote>
  <w:endnote w:type="continuationSeparator" w:id="0">
    <w:p w14:paraId="2CC431BA" w14:textId="77777777" w:rsidR="00D93314" w:rsidRDefault="00D93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ouvenir Lt BT">
    <w:altName w:val="Georgia"/>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C617" w14:textId="77777777" w:rsidR="00D93314" w:rsidRDefault="00D93314">
      <w:r>
        <w:separator/>
      </w:r>
    </w:p>
  </w:footnote>
  <w:footnote w:type="continuationSeparator" w:id="0">
    <w:p w14:paraId="2DC5FB3E" w14:textId="77777777" w:rsidR="00D93314" w:rsidRDefault="00D93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6677" w14:textId="77777777" w:rsidR="00DB11D3" w:rsidRDefault="00DB11D3">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312"/>
    <w:multiLevelType w:val="hybridMultilevel"/>
    <w:tmpl w:val="6DEA3D9C"/>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4D0C7B12"/>
    <w:multiLevelType w:val="hybridMultilevel"/>
    <w:tmpl w:val="09DA3E5C"/>
    <w:lvl w:ilvl="0" w:tplc="41C2155A">
      <w:start w:val="1"/>
      <w:numFmt w:val="bullet"/>
      <w:lvlText w:val=""/>
      <w:lvlJc w:val="left"/>
      <w:pPr>
        <w:tabs>
          <w:tab w:val="num" w:pos="792"/>
        </w:tabs>
        <w:ind w:left="792" w:hanging="360"/>
      </w:pPr>
      <w:rPr>
        <w:rFonts w:ascii="Wingdings" w:hAnsi="Wingdings" w:hint="default"/>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4CE3CFB"/>
    <w:multiLevelType w:val="hybridMultilevel"/>
    <w:tmpl w:val="CEA6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A22196"/>
    <w:multiLevelType w:val="hybridMultilevel"/>
    <w:tmpl w:val="F274F54A"/>
    <w:lvl w:ilvl="0" w:tplc="7980B1D0">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 w15:restartNumberingAfterBreak="0">
    <w:nsid w:val="65460233"/>
    <w:multiLevelType w:val="hybridMultilevel"/>
    <w:tmpl w:val="4F025F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19440C"/>
    <w:multiLevelType w:val="multilevel"/>
    <w:tmpl w:val="920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938C5"/>
    <w:multiLevelType w:val="hybridMultilevel"/>
    <w:tmpl w:val="26CCD05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5455B7"/>
    <w:multiLevelType w:val="hybridMultilevel"/>
    <w:tmpl w:val="CEA8789A"/>
    <w:lvl w:ilvl="0" w:tplc="0409000F">
      <w:start w:val="1"/>
      <w:numFmt w:val="decimal"/>
      <w:lvlText w:val="%1."/>
      <w:lvlJc w:val="left"/>
      <w:pPr>
        <w:tabs>
          <w:tab w:val="num" w:pos="720"/>
        </w:tabs>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78117EF6"/>
    <w:multiLevelType w:val="hybridMultilevel"/>
    <w:tmpl w:val="CEA6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1F485F"/>
    <w:multiLevelType w:val="hybridMultilevel"/>
    <w:tmpl w:val="5184B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760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18965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1585904">
    <w:abstractNumId w:val="3"/>
  </w:num>
  <w:num w:numId="4" w16cid:durableId="443156505">
    <w:abstractNumId w:val="1"/>
  </w:num>
  <w:num w:numId="5" w16cid:durableId="77946562">
    <w:abstractNumId w:val="0"/>
  </w:num>
  <w:num w:numId="6" w16cid:durableId="701126141">
    <w:abstractNumId w:val="9"/>
  </w:num>
  <w:num w:numId="7" w16cid:durableId="417286180">
    <w:abstractNumId w:val="4"/>
  </w:num>
  <w:num w:numId="8" w16cid:durableId="2093696360">
    <w:abstractNumId w:val="6"/>
  </w:num>
  <w:num w:numId="9" w16cid:durableId="1274483384">
    <w:abstractNumId w:val="8"/>
  </w:num>
  <w:num w:numId="10" w16cid:durableId="1380326583">
    <w:abstractNumId w:val="2"/>
  </w:num>
  <w:num w:numId="11" w16cid:durableId="460926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7D7"/>
    <w:rsid w:val="00021A7C"/>
    <w:rsid w:val="0006610C"/>
    <w:rsid w:val="00072AB0"/>
    <w:rsid w:val="000A3406"/>
    <w:rsid w:val="000D09B5"/>
    <w:rsid w:val="000F0FFB"/>
    <w:rsid w:val="0013053E"/>
    <w:rsid w:val="001508C0"/>
    <w:rsid w:val="0016787F"/>
    <w:rsid w:val="00192C16"/>
    <w:rsid w:val="001B337B"/>
    <w:rsid w:val="001F6409"/>
    <w:rsid w:val="00227BEA"/>
    <w:rsid w:val="002A3064"/>
    <w:rsid w:val="00326C0C"/>
    <w:rsid w:val="003A14DF"/>
    <w:rsid w:val="003D5B07"/>
    <w:rsid w:val="0043512F"/>
    <w:rsid w:val="00466C66"/>
    <w:rsid w:val="004C242F"/>
    <w:rsid w:val="00526756"/>
    <w:rsid w:val="00527D1A"/>
    <w:rsid w:val="00577770"/>
    <w:rsid w:val="00597906"/>
    <w:rsid w:val="00606B4C"/>
    <w:rsid w:val="00657CA4"/>
    <w:rsid w:val="006C6BCE"/>
    <w:rsid w:val="006E79DE"/>
    <w:rsid w:val="00723929"/>
    <w:rsid w:val="00792B27"/>
    <w:rsid w:val="007B5370"/>
    <w:rsid w:val="00811A6E"/>
    <w:rsid w:val="008360A0"/>
    <w:rsid w:val="00864C8D"/>
    <w:rsid w:val="008A2592"/>
    <w:rsid w:val="008F3CF5"/>
    <w:rsid w:val="009422BA"/>
    <w:rsid w:val="009869DC"/>
    <w:rsid w:val="00A267DF"/>
    <w:rsid w:val="00A2730A"/>
    <w:rsid w:val="00A50312"/>
    <w:rsid w:val="00A625DE"/>
    <w:rsid w:val="00A630ED"/>
    <w:rsid w:val="00A664D0"/>
    <w:rsid w:val="00A70D7C"/>
    <w:rsid w:val="00AD784B"/>
    <w:rsid w:val="00B6606C"/>
    <w:rsid w:val="00BB3DCE"/>
    <w:rsid w:val="00BD2C4E"/>
    <w:rsid w:val="00C54355"/>
    <w:rsid w:val="00C73E32"/>
    <w:rsid w:val="00C868A6"/>
    <w:rsid w:val="00C86A97"/>
    <w:rsid w:val="00CC6CF9"/>
    <w:rsid w:val="00D93314"/>
    <w:rsid w:val="00D97881"/>
    <w:rsid w:val="00DB11D3"/>
    <w:rsid w:val="00DF2D65"/>
    <w:rsid w:val="00E55376"/>
    <w:rsid w:val="00EB2E50"/>
    <w:rsid w:val="00EC0AB9"/>
    <w:rsid w:val="00EC285D"/>
    <w:rsid w:val="00ED0DF7"/>
    <w:rsid w:val="00ED63FA"/>
    <w:rsid w:val="00F420CE"/>
    <w:rsid w:val="00F707D7"/>
    <w:rsid w:val="00FA6A94"/>
    <w:rsid w:val="00FB2DDD"/>
    <w:rsid w:val="00FE31D8"/>
    <w:rsid w:val="00FF249A"/>
    <w:rsid w:val="00FF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17D0C"/>
  <w15:docId w15:val="{555E3E76-7914-4DCE-83C8-7B1D9830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929"/>
    <w:rPr>
      <w:sz w:val="24"/>
      <w:szCs w:val="24"/>
      <w:lang w:val="en-GB"/>
    </w:rPr>
  </w:style>
  <w:style w:type="paragraph" w:styleId="Heading1">
    <w:name w:val="heading 1"/>
    <w:basedOn w:val="Normal"/>
    <w:next w:val="Normal"/>
    <w:link w:val="Heading1Char"/>
    <w:uiPriority w:val="9"/>
    <w:qFormat/>
    <w:rsid w:val="00A2730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qFormat/>
    <w:rsid w:val="00723929"/>
    <w:pPr>
      <w:keepNext/>
      <w:widowControl w:val="0"/>
      <w:pBdr>
        <w:bottom w:val="dotted" w:sz="8" w:space="1" w:color="auto"/>
      </w:pBdr>
      <w:spacing w:before="180" w:line="320" w:lineRule="atLeast"/>
      <w:outlineLvl w:val="2"/>
    </w:pPr>
    <w:rPr>
      <w:rFonts w:ascii="Garamond" w:eastAsia="PMingLiU" w:hAnsi="Garamond"/>
      <w:b/>
      <w:caps/>
      <w:sz w:val="22"/>
      <w:szCs w:val="20"/>
      <w:lang w:val="en-US"/>
    </w:rPr>
  </w:style>
  <w:style w:type="paragraph" w:styleId="Heading4">
    <w:name w:val="heading 4"/>
    <w:basedOn w:val="Normal"/>
    <w:next w:val="Normal"/>
    <w:qFormat/>
    <w:rsid w:val="00723929"/>
    <w:pPr>
      <w:keepNext/>
      <w:spacing w:before="120" w:after="60" w:line="280" w:lineRule="exact"/>
      <w:jc w:val="both"/>
      <w:outlineLvl w:val="3"/>
    </w:pPr>
    <w:rPr>
      <w:rFonts w:ascii="Souvenir Lt BT" w:hAnsi="Souvenir Lt BT"/>
      <w:b/>
      <w:sz w:val="19"/>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723929"/>
    <w:pPr>
      <w:tabs>
        <w:tab w:val="center" w:pos="4153"/>
        <w:tab w:val="right" w:pos="8306"/>
      </w:tabs>
    </w:pPr>
  </w:style>
  <w:style w:type="paragraph" w:styleId="Footer">
    <w:name w:val="footer"/>
    <w:basedOn w:val="Normal"/>
    <w:semiHidden/>
    <w:rsid w:val="00723929"/>
    <w:pPr>
      <w:tabs>
        <w:tab w:val="center" w:pos="4153"/>
        <w:tab w:val="right" w:pos="8306"/>
      </w:tabs>
    </w:pPr>
  </w:style>
  <w:style w:type="paragraph" w:styleId="NormalWeb">
    <w:name w:val="Normal (Web)"/>
    <w:basedOn w:val="Normal"/>
    <w:semiHidden/>
    <w:rsid w:val="00723929"/>
    <w:pPr>
      <w:spacing w:before="100" w:beforeAutospacing="1" w:after="100" w:afterAutospacing="1"/>
      <w:ind w:firstLine="216"/>
    </w:pPr>
    <w:rPr>
      <w:rFonts w:ascii="Souvenir Lt BT" w:hAnsi="Souvenir Lt BT"/>
    </w:rPr>
  </w:style>
  <w:style w:type="character" w:styleId="Emphasis">
    <w:name w:val="Emphasis"/>
    <w:basedOn w:val="DefaultParagraphFont"/>
    <w:uiPriority w:val="20"/>
    <w:qFormat/>
    <w:rsid w:val="00723929"/>
    <w:rPr>
      <w:i/>
    </w:rPr>
  </w:style>
  <w:style w:type="character" w:styleId="Hyperlink">
    <w:name w:val="Hyperlink"/>
    <w:basedOn w:val="DefaultParagraphFont"/>
    <w:semiHidden/>
    <w:rsid w:val="00723929"/>
    <w:rPr>
      <w:color w:val="0000FF"/>
      <w:u w:val="single"/>
    </w:rPr>
  </w:style>
  <w:style w:type="character" w:styleId="FollowedHyperlink">
    <w:name w:val="FollowedHyperlink"/>
    <w:basedOn w:val="DefaultParagraphFont"/>
    <w:semiHidden/>
    <w:rsid w:val="00723929"/>
    <w:rPr>
      <w:color w:val="800080"/>
      <w:u w:val="single"/>
    </w:rPr>
  </w:style>
  <w:style w:type="paragraph" w:styleId="DocumentMap">
    <w:name w:val="Document Map"/>
    <w:basedOn w:val="Normal"/>
    <w:semiHidden/>
    <w:rsid w:val="00723929"/>
    <w:pPr>
      <w:shd w:val="clear" w:color="auto" w:fill="000080"/>
    </w:pPr>
    <w:rPr>
      <w:rFonts w:ascii="Tahoma" w:hAnsi="Tahoma" w:cs="Tahoma"/>
    </w:rPr>
  </w:style>
  <w:style w:type="paragraph" w:styleId="FootnoteText">
    <w:name w:val="footnote text"/>
    <w:basedOn w:val="Normal"/>
    <w:semiHidden/>
    <w:rsid w:val="00723929"/>
    <w:pPr>
      <w:spacing w:line="280" w:lineRule="exact"/>
      <w:ind w:firstLine="216"/>
      <w:jc w:val="both"/>
    </w:pPr>
    <w:rPr>
      <w:rFonts w:ascii="Souvenir Lt BT" w:hAnsi="Souvenir Lt BT"/>
      <w:sz w:val="20"/>
      <w:szCs w:val="20"/>
    </w:rPr>
  </w:style>
  <w:style w:type="character" w:styleId="CommentReference">
    <w:name w:val="annotation reference"/>
    <w:basedOn w:val="DefaultParagraphFont"/>
    <w:semiHidden/>
    <w:rsid w:val="00723929"/>
    <w:rPr>
      <w:sz w:val="16"/>
      <w:szCs w:val="16"/>
    </w:rPr>
  </w:style>
  <w:style w:type="paragraph" w:styleId="CommentText">
    <w:name w:val="annotation text"/>
    <w:basedOn w:val="Normal"/>
    <w:link w:val="CommentTextChar"/>
    <w:semiHidden/>
    <w:rsid w:val="00723929"/>
    <w:rPr>
      <w:sz w:val="20"/>
      <w:szCs w:val="20"/>
    </w:rPr>
  </w:style>
  <w:style w:type="paragraph" w:styleId="BalloonText">
    <w:name w:val="Balloon Text"/>
    <w:basedOn w:val="Normal"/>
    <w:link w:val="BalloonTextChar"/>
    <w:uiPriority w:val="99"/>
    <w:semiHidden/>
    <w:unhideWhenUsed/>
    <w:rsid w:val="00F420CE"/>
    <w:rPr>
      <w:rFonts w:ascii="Tahoma" w:hAnsi="Tahoma" w:cs="Tahoma"/>
      <w:sz w:val="16"/>
      <w:szCs w:val="16"/>
    </w:rPr>
  </w:style>
  <w:style w:type="character" w:customStyle="1" w:styleId="BalloonTextChar">
    <w:name w:val="Balloon Text Char"/>
    <w:basedOn w:val="DefaultParagraphFont"/>
    <w:link w:val="BalloonText"/>
    <w:uiPriority w:val="99"/>
    <w:semiHidden/>
    <w:rsid w:val="00F420CE"/>
    <w:rPr>
      <w:rFonts w:ascii="Tahoma" w:hAnsi="Tahoma" w:cs="Tahoma"/>
      <w:sz w:val="16"/>
      <w:szCs w:val="16"/>
      <w:lang w:val="en-GB"/>
    </w:rPr>
  </w:style>
  <w:style w:type="paragraph" w:styleId="CommentSubject">
    <w:name w:val="annotation subject"/>
    <w:basedOn w:val="CommentText"/>
    <w:next w:val="CommentText"/>
    <w:link w:val="CommentSubjectChar"/>
    <w:uiPriority w:val="99"/>
    <w:semiHidden/>
    <w:unhideWhenUsed/>
    <w:rsid w:val="00C86A97"/>
    <w:rPr>
      <w:b/>
      <w:bCs/>
    </w:rPr>
  </w:style>
  <w:style w:type="character" w:customStyle="1" w:styleId="CommentTextChar">
    <w:name w:val="Comment Text Char"/>
    <w:basedOn w:val="DefaultParagraphFont"/>
    <w:link w:val="CommentText"/>
    <w:semiHidden/>
    <w:rsid w:val="00C86A97"/>
    <w:rPr>
      <w:lang w:val="en-GB"/>
    </w:rPr>
  </w:style>
  <w:style w:type="character" w:customStyle="1" w:styleId="CommentSubjectChar">
    <w:name w:val="Comment Subject Char"/>
    <w:basedOn w:val="CommentTextChar"/>
    <w:link w:val="CommentSubject"/>
    <w:uiPriority w:val="99"/>
    <w:semiHidden/>
    <w:rsid w:val="00C86A97"/>
    <w:rPr>
      <w:b/>
      <w:bCs/>
      <w:lang w:val="en-GB"/>
    </w:rPr>
  </w:style>
  <w:style w:type="table" w:styleId="TableGrid">
    <w:name w:val="Table Grid"/>
    <w:basedOn w:val="TableNormal"/>
    <w:uiPriority w:val="39"/>
    <w:rsid w:val="00FB2DD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A2730A"/>
    <w:rPr>
      <w:rFonts w:asciiTheme="majorHAnsi" w:eastAsiaTheme="majorEastAsia" w:hAnsiTheme="majorHAnsi" w:cstheme="majorBidi"/>
      <w:color w:val="365F91" w:themeColor="accent1" w:themeShade="BF"/>
      <w:sz w:val="32"/>
      <w:szCs w:val="32"/>
      <w:lang w:val="en-GB"/>
    </w:rPr>
  </w:style>
  <w:style w:type="paragraph" w:styleId="BodyText">
    <w:name w:val="Body Text"/>
    <w:basedOn w:val="Normal"/>
    <w:link w:val="BodyTextChar"/>
    <w:uiPriority w:val="1"/>
    <w:qFormat/>
    <w:rsid w:val="00A2730A"/>
    <w:pPr>
      <w:widowControl w:val="0"/>
      <w:autoSpaceDE w:val="0"/>
      <w:autoSpaceDN w:val="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A2730A"/>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jurnal.uimus.ac.id" TargetMode="External"/><Relationship Id="rId4" Type="http://schemas.openxmlformats.org/officeDocument/2006/relationships/styles" Target="styles.xml"/><Relationship Id="rId9" Type="http://schemas.openxmlformats.org/officeDocument/2006/relationships/hyperlink" Target="https://www.who.int/emergencies/disease-outbreak-news/item/2023-DON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JNHRC\JNHRC%20Format\Template\1%20Original%20Artic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outs:outSpaceData xmlns:outs="http://schemas.microsoft.com/office/2009/outspace/metadata">
  <outs:relatedDates>
    <outs:relatedDate>
      <outs:type>3</outs:type>
      <outs:displayName>Last Modified</outs:displayName>
      <outs:dateTime/>
      <outs:isPinned>true</outs:isPinned>
    </outs:relatedDate>
    <outs:relatedDate>
      <outs:type>2</outs:type>
      <outs:displayName>Created</outs:displayName>
      <outs:dateTime>2009-11-20T05:45:00Z</outs:dateTime>
      <outs:isPinned>true</outs:isPinned>
    </outs:relatedDate>
    <outs:relatedDate>
      <outs:type>4</outs:type>
      <outs:displayName>Last Printed</outs:displayName>
      <outs:dateTime/>
      <outs:isPinned>true</outs:isPinned>
    </outs:relatedDate>
  </outs:relatedDates>
  <outs:relatedDocuments/>
  <outs:relatedPeople>
    <outs:relatedPeopleItem>
      <outs:category>Author</outs:category>
      <outs:people>
        <outs:relatedPerson>
          <outs:displayName>Angel</outs:displayName>
          <outs:accountName/>
        </outs:relatedPerson>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973BC49-2D15-4988-8616-4EDAD51918D0}">
  <ds:schemaRefs>
    <ds:schemaRef ds:uri="http://schemas.openxmlformats.org/officeDocument/2006/bibliography"/>
  </ds:schemaRefs>
</ds:datastoreItem>
</file>

<file path=customXml/itemProps2.xml><?xml version="1.0" encoding="utf-8"?>
<ds:datastoreItem xmlns:ds="http://schemas.openxmlformats.org/officeDocument/2006/customXml" ds:itemID="{26CE210C-9208-4577-9C4C-12193D36E570}">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1 Original Article</Template>
  <TotalTime>59</TotalTime>
  <Pages>6</Pages>
  <Words>1665</Words>
  <Characters>9495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Type of article: Original</vt:lpstr>
    </vt:vector>
  </TitlesOfParts>
  <Company>DKPH</Company>
  <LinksUpToDate>false</LinksUpToDate>
  <CharactersWithSpaces>11138</CharactersWithSpaces>
  <SharedDoc>false</SharedDoc>
  <HLinks>
    <vt:vector size="12" baseType="variant">
      <vt:variant>
        <vt:i4>917528</vt:i4>
      </vt:variant>
      <vt:variant>
        <vt:i4>3</vt:i4>
      </vt:variant>
      <vt:variant>
        <vt:i4>0</vt:i4>
      </vt:variant>
      <vt:variant>
        <vt:i4>5</vt:i4>
      </vt:variant>
      <vt:variant>
        <vt:lpwstr>http://www.nlm.nih.gov/mesh/</vt:lpwstr>
      </vt:variant>
      <vt:variant>
        <vt:lpwstr/>
      </vt:variant>
      <vt:variant>
        <vt:i4>3342399</vt:i4>
      </vt:variant>
      <vt:variant>
        <vt:i4>0</vt:i4>
      </vt:variant>
      <vt:variant>
        <vt:i4>0</vt:i4>
      </vt:variant>
      <vt:variant>
        <vt:i4>5</vt:i4>
      </vt:variant>
      <vt:variant>
        <vt:lpwstr>http://www.jnma.com.np/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article: Original</dc:title>
  <dc:creator>Pradeep</dc:creator>
  <cp:lastModifiedBy>Hi</cp:lastModifiedBy>
  <cp:revision>11</cp:revision>
  <dcterms:created xsi:type="dcterms:W3CDTF">2021-07-16T09:19:00Z</dcterms:created>
  <dcterms:modified xsi:type="dcterms:W3CDTF">2026-03-26T07:42:00Z</dcterms:modified>
</cp:coreProperties>
</file>