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37E74" w14:textId="77777777" w:rsidR="00253B63" w:rsidRPr="00253B63" w:rsidRDefault="00253B63" w:rsidP="00253B63">
      <w:pPr>
        <w:jc w:val="center"/>
        <w:rPr>
          <w:rFonts w:ascii="Times New Roman" w:hAnsi="Times New Roman" w:cs="Times New Roman"/>
          <w:b/>
          <w:sz w:val="24"/>
          <w:szCs w:val="24"/>
        </w:rPr>
      </w:pPr>
      <w:bookmarkStart w:id="0" w:name="_Hlk221382576"/>
      <w:r w:rsidRPr="00253B63">
        <w:rPr>
          <w:rFonts w:ascii="Times New Roman" w:hAnsi="Times New Roman" w:cs="Times New Roman"/>
          <w:b/>
          <w:sz w:val="24"/>
          <w:szCs w:val="24"/>
        </w:rPr>
        <w:t>Caspase-3 Activation by Curcumin in Breast Cancer Cells: Assessment by Flow Cytometry and Acridine Orange/Ethidium Bromide Staining</w:t>
      </w:r>
      <w:bookmarkEnd w:id="0"/>
    </w:p>
    <w:p w14:paraId="6C14668D" w14:textId="77777777" w:rsidR="00253B63" w:rsidRPr="00253B63" w:rsidRDefault="00253B63" w:rsidP="00253B63">
      <w:pPr>
        <w:jc w:val="center"/>
        <w:rPr>
          <w:rFonts w:ascii="Times New Roman" w:hAnsi="Times New Roman" w:cs="Times New Roman"/>
          <w:sz w:val="24"/>
          <w:szCs w:val="24"/>
          <w:vertAlign w:val="superscript"/>
        </w:rPr>
      </w:pPr>
      <w:bookmarkStart w:id="1" w:name="_Hlk186708459"/>
      <w:bookmarkStart w:id="2" w:name="_Hlk186709473"/>
      <w:r w:rsidRPr="00253B63">
        <w:rPr>
          <w:rFonts w:ascii="Times New Roman" w:hAnsi="Times New Roman" w:cs="Times New Roman"/>
          <w:sz w:val="24"/>
          <w:szCs w:val="24"/>
        </w:rPr>
        <w:t>Nunung Ainur Rahmah</w:t>
      </w:r>
      <w:bookmarkEnd w:id="1"/>
      <w:r w:rsidRPr="00253B63">
        <w:rPr>
          <w:rFonts w:ascii="Times New Roman" w:hAnsi="Times New Roman" w:cs="Times New Roman"/>
          <w:sz w:val="24"/>
          <w:szCs w:val="24"/>
          <w:vertAlign w:val="superscript"/>
        </w:rPr>
        <w:t>1,*</w:t>
      </w:r>
      <w:r w:rsidRPr="00253B63">
        <w:rPr>
          <w:rFonts w:ascii="Times New Roman" w:hAnsi="Times New Roman" w:cs="Times New Roman"/>
          <w:sz w:val="24"/>
          <w:szCs w:val="24"/>
        </w:rPr>
        <w:t>, Harliansyah</w:t>
      </w:r>
      <w:r w:rsidRPr="00253B63">
        <w:rPr>
          <w:rFonts w:ascii="Times New Roman" w:hAnsi="Times New Roman" w:cs="Times New Roman"/>
          <w:sz w:val="24"/>
          <w:szCs w:val="24"/>
          <w:vertAlign w:val="superscript"/>
        </w:rPr>
        <w:t>1</w:t>
      </w:r>
      <w:r w:rsidRPr="00253B63">
        <w:rPr>
          <w:rFonts w:ascii="Times New Roman" w:hAnsi="Times New Roman" w:cs="Times New Roman"/>
          <w:sz w:val="24"/>
          <w:szCs w:val="24"/>
        </w:rPr>
        <w:t>, Fransiscus D. Suyatna</w:t>
      </w:r>
      <w:r w:rsidRPr="00253B63">
        <w:rPr>
          <w:rFonts w:ascii="Times New Roman" w:hAnsi="Times New Roman" w:cs="Times New Roman"/>
          <w:sz w:val="24"/>
          <w:szCs w:val="24"/>
          <w:vertAlign w:val="superscript"/>
        </w:rPr>
        <w:t>2</w:t>
      </w:r>
      <w:r w:rsidRPr="00253B63">
        <w:rPr>
          <w:rFonts w:ascii="Times New Roman" w:hAnsi="Times New Roman" w:cs="Times New Roman"/>
          <w:sz w:val="24"/>
          <w:szCs w:val="24"/>
        </w:rPr>
        <w:t xml:space="preserve">, </w:t>
      </w:r>
      <w:bookmarkEnd w:id="2"/>
    </w:p>
    <w:p w14:paraId="0BC12586" w14:textId="1C3B4AE2" w:rsidR="00253B63" w:rsidRPr="00253B63" w:rsidRDefault="00253B63" w:rsidP="00253B63">
      <w:pPr>
        <w:pBdr>
          <w:top w:val="nil"/>
          <w:left w:val="nil"/>
          <w:bottom w:val="nil"/>
          <w:right w:val="nil"/>
          <w:between w:val="nil"/>
        </w:pBdr>
        <w:spacing w:after="0" w:line="276" w:lineRule="auto"/>
        <w:ind w:left="720"/>
        <w:rPr>
          <w:rFonts w:ascii="Times New Roman" w:hAnsi="Times New Roman" w:cs="Times New Roman"/>
          <w:sz w:val="24"/>
          <w:szCs w:val="24"/>
        </w:rPr>
      </w:pPr>
      <w:r w:rsidRPr="00253B63">
        <w:rPr>
          <w:rFonts w:ascii="Times New Roman" w:hAnsi="Times New Roman" w:cs="Times New Roman"/>
          <w:sz w:val="24"/>
          <w:szCs w:val="24"/>
          <w:vertAlign w:val="superscript"/>
        </w:rPr>
        <w:t>1</w:t>
      </w:r>
      <w:r w:rsidRPr="00253B63">
        <w:rPr>
          <w:rFonts w:ascii="Times New Roman" w:hAnsi="Times New Roman" w:cs="Times New Roman"/>
          <w:sz w:val="24"/>
          <w:szCs w:val="24"/>
        </w:rPr>
        <w:t>Faculty of Medicine, Universitas YARSI, Jakarta, Indonesia</w:t>
      </w:r>
    </w:p>
    <w:p w14:paraId="0BC945F9" w14:textId="3FF8DE85" w:rsidR="00253B63" w:rsidRPr="00253B63" w:rsidRDefault="00253B63" w:rsidP="00253B63">
      <w:pPr>
        <w:pBdr>
          <w:top w:val="nil"/>
          <w:left w:val="nil"/>
          <w:bottom w:val="nil"/>
          <w:right w:val="nil"/>
          <w:between w:val="nil"/>
        </w:pBdr>
        <w:spacing w:after="0" w:line="276" w:lineRule="auto"/>
        <w:ind w:left="720"/>
        <w:rPr>
          <w:rFonts w:ascii="Times New Roman" w:hAnsi="Times New Roman" w:cs="Times New Roman"/>
          <w:sz w:val="24"/>
          <w:szCs w:val="24"/>
        </w:rPr>
      </w:pPr>
      <w:r w:rsidRPr="00253B63">
        <w:rPr>
          <w:rFonts w:ascii="Times New Roman" w:hAnsi="Times New Roman" w:cs="Times New Roman"/>
          <w:sz w:val="24"/>
          <w:szCs w:val="24"/>
          <w:vertAlign w:val="superscript"/>
        </w:rPr>
        <w:t>2</w:t>
      </w:r>
      <w:r w:rsidRPr="00253B63">
        <w:rPr>
          <w:rFonts w:ascii="Times New Roman" w:hAnsi="Times New Roman" w:cs="Times New Roman"/>
          <w:sz w:val="24"/>
          <w:szCs w:val="24"/>
        </w:rPr>
        <w:t>Faculty of Medicine, Universitas Indonesia, Jakarta, Indonesia</w:t>
      </w:r>
    </w:p>
    <w:p w14:paraId="438E0F17" w14:textId="77777777" w:rsidR="00253B63" w:rsidRPr="00253B63" w:rsidRDefault="00253B63" w:rsidP="00253B63">
      <w:pPr>
        <w:pBdr>
          <w:top w:val="nil"/>
          <w:left w:val="nil"/>
          <w:bottom w:val="nil"/>
          <w:right w:val="nil"/>
          <w:between w:val="nil"/>
        </w:pBdr>
        <w:spacing w:after="0"/>
        <w:ind w:left="720"/>
        <w:rPr>
          <w:rFonts w:ascii="Times New Roman" w:hAnsi="Times New Roman" w:cs="Times New Roman"/>
          <w:sz w:val="24"/>
          <w:szCs w:val="24"/>
        </w:rPr>
      </w:pPr>
    </w:p>
    <w:p w14:paraId="3BE5B096" w14:textId="77777777" w:rsidR="00253B63" w:rsidRPr="00253B63" w:rsidRDefault="00253B63" w:rsidP="00253B63">
      <w:pPr>
        <w:pBdr>
          <w:top w:val="nil"/>
          <w:left w:val="nil"/>
          <w:bottom w:val="nil"/>
          <w:right w:val="nil"/>
          <w:between w:val="nil"/>
        </w:pBdr>
        <w:spacing w:after="0"/>
        <w:rPr>
          <w:rFonts w:ascii="Times New Roman" w:hAnsi="Times New Roman" w:cs="Times New Roman"/>
          <w:b/>
          <w:sz w:val="24"/>
          <w:szCs w:val="24"/>
        </w:rPr>
      </w:pPr>
      <w:r w:rsidRPr="00253B63">
        <w:rPr>
          <w:rFonts w:ascii="Times New Roman" w:hAnsi="Times New Roman" w:cs="Times New Roman"/>
          <w:sz w:val="24"/>
          <w:szCs w:val="24"/>
          <w:vertAlign w:val="superscript"/>
        </w:rPr>
        <w:t>*</w:t>
      </w:r>
      <w:r w:rsidRPr="00253B63">
        <w:rPr>
          <w:rFonts w:ascii="Times New Roman" w:hAnsi="Times New Roman" w:cs="Times New Roman"/>
          <w:b/>
          <w:sz w:val="24"/>
          <w:szCs w:val="24"/>
        </w:rPr>
        <w:t>Corresponding Author:</w:t>
      </w:r>
    </w:p>
    <w:p w14:paraId="75B42C0D" w14:textId="77777777" w:rsidR="00253B63" w:rsidRPr="00253B63" w:rsidRDefault="00253B63" w:rsidP="00253B63">
      <w:pPr>
        <w:pBdr>
          <w:top w:val="nil"/>
          <w:left w:val="nil"/>
          <w:bottom w:val="nil"/>
          <w:right w:val="nil"/>
          <w:between w:val="nil"/>
        </w:pBdr>
        <w:spacing w:after="0"/>
        <w:rPr>
          <w:rFonts w:ascii="Times New Roman" w:hAnsi="Times New Roman" w:cs="Times New Roman"/>
          <w:sz w:val="24"/>
          <w:szCs w:val="24"/>
        </w:rPr>
      </w:pPr>
      <w:r w:rsidRPr="00253B63">
        <w:rPr>
          <w:rFonts w:ascii="Times New Roman" w:hAnsi="Times New Roman" w:cs="Times New Roman"/>
          <w:sz w:val="24"/>
          <w:szCs w:val="24"/>
        </w:rPr>
        <w:t xml:space="preserve">Nunung Ainur Rahmah </w:t>
      </w:r>
    </w:p>
    <w:p w14:paraId="1C0AEC74" w14:textId="77777777" w:rsidR="00253B63" w:rsidRPr="00253B63" w:rsidRDefault="00253B63" w:rsidP="00253B63">
      <w:pPr>
        <w:pBdr>
          <w:top w:val="nil"/>
          <w:left w:val="nil"/>
          <w:bottom w:val="nil"/>
          <w:right w:val="nil"/>
          <w:between w:val="nil"/>
        </w:pBdr>
        <w:spacing w:after="0"/>
        <w:rPr>
          <w:rFonts w:ascii="Times New Roman" w:hAnsi="Times New Roman" w:cs="Times New Roman"/>
          <w:sz w:val="24"/>
          <w:szCs w:val="24"/>
        </w:rPr>
      </w:pPr>
      <w:r w:rsidRPr="00253B63">
        <w:rPr>
          <w:rFonts w:ascii="Times New Roman" w:hAnsi="Times New Roman" w:cs="Times New Roman"/>
          <w:sz w:val="24"/>
          <w:szCs w:val="24"/>
        </w:rPr>
        <w:t>Faculty of Medicine, Universitas YARSI, Jakarta, Indonesia.</w:t>
      </w:r>
    </w:p>
    <w:p w14:paraId="6A1DF02F" w14:textId="77777777" w:rsidR="00253B63" w:rsidRPr="00253B63" w:rsidRDefault="00253B63" w:rsidP="00253B63">
      <w:pPr>
        <w:pBdr>
          <w:top w:val="nil"/>
          <w:left w:val="nil"/>
          <w:bottom w:val="nil"/>
          <w:right w:val="nil"/>
          <w:between w:val="nil"/>
        </w:pBdr>
        <w:spacing w:after="0"/>
        <w:rPr>
          <w:rFonts w:ascii="Times New Roman" w:hAnsi="Times New Roman" w:cs="Times New Roman"/>
          <w:sz w:val="24"/>
          <w:szCs w:val="24"/>
        </w:rPr>
      </w:pPr>
      <w:r w:rsidRPr="00253B63">
        <w:rPr>
          <w:rFonts w:ascii="Times New Roman" w:hAnsi="Times New Roman" w:cs="Times New Roman"/>
          <w:sz w:val="24"/>
          <w:szCs w:val="24"/>
        </w:rPr>
        <w:t>Email: nunung.ainur@yarsi.ac.id</w:t>
      </w:r>
    </w:p>
    <w:p w14:paraId="1994374F" w14:textId="77777777" w:rsidR="00253B63" w:rsidRPr="00253B63" w:rsidRDefault="00253B63" w:rsidP="00253B63">
      <w:pPr>
        <w:pBdr>
          <w:top w:val="nil"/>
          <w:left w:val="nil"/>
          <w:bottom w:val="nil"/>
          <w:right w:val="nil"/>
          <w:between w:val="nil"/>
        </w:pBdr>
        <w:spacing w:after="0"/>
        <w:rPr>
          <w:rFonts w:ascii="Times New Roman" w:hAnsi="Times New Roman" w:cs="Times New Roman"/>
          <w:sz w:val="24"/>
          <w:szCs w:val="24"/>
        </w:rPr>
      </w:pPr>
      <w:r w:rsidRPr="00253B63">
        <w:rPr>
          <w:rFonts w:ascii="Times New Roman" w:hAnsi="Times New Roman" w:cs="Times New Roman"/>
          <w:sz w:val="24"/>
          <w:szCs w:val="24"/>
        </w:rPr>
        <w:t>Contact number: (+6221) 4206674</w:t>
      </w:r>
    </w:p>
    <w:p w14:paraId="661A8B51" w14:textId="77777777" w:rsidR="00253B63" w:rsidRPr="00253B63" w:rsidRDefault="00253B63" w:rsidP="00253B63">
      <w:pPr>
        <w:pBdr>
          <w:top w:val="nil"/>
          <w:left w:val="nil"/>
          <w:bottom w:val="nil"/>
          <w:right w:val="nil"/>
          <w:between w:val="nil"/>
        </w:pBdr>
        <w:spacing w:after="0"/>
        <w:rPr>
          <w:rFonts w:ascii="Times New Roman" w:hAnsi="Times New Roman" w:cs="Times New Roman"/>
          <w:sz w:val="24"/>
          <w:szCs w:val="24"/>
        </w:rPr>
      </w:pPr>
    </w:p>
    <w:p w14:paraId="235F966B" w14:textId="77777777" w:rsidR="00253B63" w:rsidRPr="00253B63" w:rsidRDefault="00253B63" w:rsidP="00253B63">
      <w:pPr>
        <w:pBdr>
          <w:top w:val="nil"/>
          <w:left w:val="nil"/>
          <w:bottom w:val="nil"/>
          <w:right w:val="nil"/>
          <w:between w:val="nil"/>
        </w:pBdr>
        <w:spacing w:after="0"/>
        <w:jc w:val="center"/>
        <w:rPr>
          <w:rFonts w:ascii="Times New Roman" w:hAnsi="Times New Roman" w:cs="Times New Roman"/>
          <w:b/>
          <w:sz w:val="24"/>
          <w:szCs w:val="24"/>
        </w:rPr>
      </w:pPr>
      <w:r w:rsidRPr="00253B63">
        <w:rPr>
          <w:rFonts w:ascii="Times New Roman" w:hAnsi="Times New Roman" w:cs="Times New Roman"/>
          <w:b/>
          <w:sz w:val="24"/>
          <w:szCs w:val="24"/>
        </w:rPr>
        <w:t>Abstract</w:t>
      </w:r>
    </w:p>
    <w:p w14:paraId="251A413E" w14:textId="77777777" w:rsidR="00253B63" w:rsidRPr="00253B63" w:rsidRDefault="00253B63" w:rsidP="00253B63">
      <w:pPr>
        <w:pBdr>
          <w:top w:val="nil"/>
          <w:left w:val="nil"/>
          <w:bottom w:val="nil"/>
          <w:right w:val="nil"/>
          <w:between w:val="nil"/>
        </w:pBdr>
        <w:spacing w:after="0"/>
        <w:rPr>
          <w:rFonts w:ascii="Times New Roman" w:hAnsi="Times New Roman" w:cs="Times New Roman"/>
          <w:sz w:val="24"/>
          <w:szCs w:val="24"/>
        </w:rPr>
      </w:pPr>
    </w:p>
    <w:p w14:paraId="7B45AE1A"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r w:rsidRPr="00253B63">
        <w:rPr>
          <w:rFonts w:ascii="Times New Roman" w:hAnsi="Times New Roman" w:cs="Times New Roman"/>
          <w:b/>
          <w:sz w:val="24"/>
          <w:szCs w:val="24"/>
        </w:rPr>
        <w:t>Background:</w:t>
      </w:r>
      <w:r w:rsidRPr="00253B63">
        <w:rPr>
          <w:rFonts w:ascii="Times New Roman" w:hAnsi="Times New Roman" w:cs="Times New Roman"/>
          <w:sz w:val="24"/>
          <w:szCs w:val="24"/>
        </w:rPr>
        <w:t xml:space="preserve"> Curcumin, a bioactive compound from turmeric, has been recognized for its ability to induce apoptosis in various cancer cell lines, including breast cancer. Caspase-3, a critical executioner in the apoptosis pathway, is a key biomarker for evaluating apoptosis. This study aimed to evaluate the effect of curcumin on caspase-3 activation in MCF-7 breast cancer cells, using flow cytometry as the primary analytical method and Acridine Orange/Ethidium Bromide (AO/EB) staining as a confirmatory approach. By employing both techniques, the study sought to validate the observed apoptotic effects of curcumin and demonstrate the potential of AO/EB staining as a practical alternative for apoptosis assessment in laboratories with limited resources.</w:t>
      </w:r>
    </w:p>
    <w:p w14:paraId="3B351FB2"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p>
    <w:p w14:paraId="000DBA12"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r w:rsidRPr="00253B63">
        <w:rPr>
          <w:rFonts w:ascii="Times New Roman" w:hAnsi="Times New Roman" w:cs="Times New Roman"/>
          <w:b/>
          <w:sz w:val="24"/>
          <w:szCs w:val="24"/>
        </w:rPr>
        <w:t>Methods:</w:t>
      </w:r>
      <w:r w:rsidRPr="00253B63">
        <w:rPr>
          <w:rFonts w:ascii="Times New Roman" w:hAnsi="Times New Roman" w:cs="Times New Roman"/>
          <w:sz w:val="24"/>
          <w:szCs w:val="24"/>
        </w:rPr>
        <w:t xml:space="preserve"> Breast cancer cell lines MCF-7  were treated with varying concentrations of curcumin (0, </w:t>
      </w:r>
      <w:r w:rsidRPr="00253B63">
        <w:rPr>
          <w:rFonts w:ascii="Times New Roman" w:hAnsi="Times New Roman" w:cs="Times New Roman"/>
          <w:sz w:val="24"/>
          <w:szCs w:val="24"/>
          <w:lang w:val="id-ID"/>
        </w:rPr>
        <w:t xml:space="preserve">70, and 80 µg/mL) </w:t>
      </w:r>
      <w:r w:rsidRPr="00253B63">
        <w:rPr>
          <w:rFonts w:ascii="Times New Roman" w:hAnsi="Times New Roman" w:cs="Times New Roman"/>
          <w:sz w:val="24"/>
          <w:szCs w:val="24"/>
        </w:rPr>
        <w:t xml:space="preserve">with 24-hour incubation. Caspase-3 activity was analyzed using flow cytometry and confirmed through AO/EB staining to visualize apoptotic and necrotic cells. Kruskal-Wallis and Mann-Whitney tests were used to assess the significant differences between treatment groups with the degree of toughness </w:t>
      </w:r>
      <w:r w:rsidRPr="00253B63">
        <w:rPr>
          <w:rFonts w:ascii="Times New Roman" w:hAnsi="Times New Roman" w:cs="Times New Roman"/>
          <w:i/>
          <w:iCs/>
          <w:sz w:val="24"/>
          <w:szCs w:val="24"/>
        </w:rPr>
        <w:t>p</w:t>
      </w:r>
      <w:r w:rsidRPr="00253B63">
        <w:rPr>
          <w:rFonts w:ascii="Times New Roman" w:hAnsi="Times New Roman" w:cs="Times New Roman"/>
          <w:sz w:val="24"/>
          <w:szCs w:val="24"/>
        </w:rPr>
        <w:t>&lt;0.05.</w:t>
      </w:r>
    </w:p>
    <w:p w14:paraId="29A8062E"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p>
    <w:p w14:paraId="2E01CAAF"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r w:rsidRPr="00253B63">
        <w:rPr>
          <w:rFonts w:ascii="Times New Roman" w:hAnsi="Times New Roman" w:cs="Times New Roman"/>
          <w:b/>
          <w:sz w:val="24"/>
          <w:szCs w:val="24"/>
        </w:rPr>
        <w:t>Results:</w:t>
      </w:r>
      <w:r w:rsidRPr="00253B63">
        <w:rPr>
          <w:rFonts w:ascii="Times New Roman" w:hAnsi="Times New Roman" w:cs="Times New Roman"/>
          <w:sz w:val="24"/>
          <w:szCs w:val="24"/>
        </w:rPr>
        <w:t xml:space="preserve"> Curcumin significantly (p&lt;0.05) induced apoptosis in MCF-7 breast cancer cell lines, with a dose-dependent increase in caspase-3 activity. AO/EB staining confirmed the flow cytometry results, showing an increase in apoptotic and necrotic cells.</w:t>
      </w:r>
    </w:p>
    <w:p w14:paraId="15C976FD"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p>
    <w:p w14:paraId="6CE69276" w14:textId="3E0495D2" w:rsid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r w:rsidRPr="00253B63">
        <w:rPr>
          <w:rFonts w:ascii="Times New Roman" w:hAnsi="Times New Roman" w:cs="Times New Roman"/>
          <w:b/>
          <w:sz w:val="24"/>
          <w:szCs w:val="24"/>
        </w:rPr>
        <w:t>Conclusions:</w:t>
      </w:r>
      <w:r w:rsidRPr="00253B63">
        <w:rPr>
          <w:rFonts w:ascii="Times New Roman" w:hAnsi="Times New Roman" w:cs="Times New Roman"/>
          <w:sz w:val="24"/>
          <w:szCs w:val="24"/>
        </w:rPr>
        <w:t xml:space="preserve"> Curcumin increases the activation of caspase-3 in MCF-7 breast cancer cell lines, both flow cytometry and AO/EB staining. The comparison of flow cytometry and AO/EB staining highlights the reliability of AO/EB staining as a viable alternative for apoptosis detection, particularly in research with limited resources. Future research should further</w:t>
      </w:r>
      <w:r>
        <w:rPr>
          <w:rFonts w:ascii="Times New Roman" w:hAnsi="Times New Roman" w:cs="Times New Roman"/>
          <w:sz w:val="24"/>
          <w:szCs w:val="24"/>
        </w:rPr>
        <w:t xml:space="preserve"> in </w:t>
      </w:r>
      <w:r w:rsidRPr="00253B63">
        <w:rPr>
          <w:rFonts w:ascii="Times New Roman" w:hAnsi="Times New Roman" w:cs="Times New Roman"/>
          <w:sz w:val="24"/>
          <w:szCs w:val="24"/>
        </w:rPr>
        <w:t xml:space="preserve">elucidate the molecular pathways involved in curcumin-induced apoptosis by </w:t>
      </w:r>
      <w:r w:rsidRPr="00253B63">
        <w:rPr>
          <w:rFonts w:ascii="Times New Roman" w:hAnsi="Times New Roman" w:cs="Times New Roman"/>
          <w:i/>
          <w:iCs/>
          <w:sz w:val="24"/>
          <w:szCs w:val="24"/>
        </w:rPr>
        <w:t>in vivo</w:t>
      </w:r>
      <w:r w:rsidRPr="00253B63">
        <w:rPr>
          <w:rFonts w:ascii="Times New Roman" w:hAnsi="Times New Roman" w:cs="Times New Roman"/>
          <w:sz w:val="24"/>
          <w:szCs w:val="24"/>
        </w:rPr>
        <w:t xml:space="preserve"> studies.</w:t>
      </w:r>
    </w:p>
    <w:p w14:paraId="50F47154" w14:textId="77777777" w:rsidR="00253B63" w:rsidRPr="00253B63" w:rsidRDefault="00253B63" w:rsidP="00253B63">
      <w:pPr>
        <w:pBdr>
          <w:top w:val="nil"/>
          <w:left w:val="nil"/>
          <w:bottom w:val="nil"/>
          <w:right w:val="nil"/>
          <w:between w:val="nil"/>
        </w:pBdr>
        <w:spacing w:after="0"/>
        <w:jc w:val="both"/>
        <w:rPr>
          <w:rFonts w:ascii="Times New Roman" w:hAnsi="Times New Roman" w:cs="Times New Roman"/>
          <w:sz w:val="24"/>
          <w:szCs w:val="24"/>
        </w:rPr>
      </w:pPr>
    </w:p>
    <w:p w14:paraId="648DAECD" w14:textId="77777777" w:rsidR="00253B63" w:rsidRPr="00253B63" w:rsidRDefault="00253B63" w:rsidP="00253B63">
      <w:pPr>
        <w:pBdr>
          <w:top w:val="nil"/>
          <w:left w:val="nil"/>
          <w:bottom w:val="nil"/>
          <w:right w:val="nil"/>
          <w:between w:val="nil"/>
        </w:pBdr>
        <w:rPr>
          <w:rFonts w:ascii="Times New Roman" w:hAnsi="Times New Roman" w:cs="Times New Roman"/>
          <w:sz w:val="24"/>
          <w:szCs w:val="24"/>
        </w:rPr>
      </w:pPr>
      <w:r w:rsidRPr="00253B63">
        <w:rPr>
          <w:rFonts w:ascii="Times New Roman" w:hAnsi="Times New Roman" w:cs="Times New Roman"/>
          <w:b/>
          <w:sz w:val="24"/>
          <w:szCs w:val="24"/>
        </w:rPr>
        <w:t>Keywords:</w:t>
      </w:r>
      <w:r w:rsidRPr="00253B63">
        <w:rPr>
          <w:rFonts w:ascii="Times New Roman" w:hAnsi="Times New Roman" w:cs="Times New Roman"/>
          <w:sz w:val="24"/>
          <w:szCs w:val="24"/>
        </w:rPr>
        <w:t xml:space="preserve"> AO/EB staining, breast cancer, caspase-3, curcumin, flow cytometry</w:t>
      </w:r>
    </w:p>
    <w:p w14:paraId="557D5B85" w14:textId="76BCA4A0" w:rsidR="00436AC3" w:rsidRPr="00253B63" w:rsidRDefault="00253B63" w:rsidP="00253B63">
      <w:pPr>
        <w:widowControl w:val="0"/>
        <w:autoSpaceDE w:val="0"/>
        <w:autoSpaceDN w:val="0"/>
        <w:adjustRightInd w:val="0"/>
        <w:spacing w:after="0" w:line="240" w:lineRule="auto"/>
        <w:jc w:val="both"/>
        <w:rPr>
          <w:rFonts w:ascii="Times New Roman" w:eastAsia="Times New Roman" w:hAnsi="Times New Roman" w:cs="Times New Roman"/>
          <w:b/>
          <w:bCs/>
          <w:sz w:val="24"/>
          <w:szCs w:val="24"/>
          <w:lang w:eastAsia="en-ID"/>
        </w:rPr>
      </w:pPr>
      <w:r w:rsidRPr="00253B63">
        <w:rPr>
          <w:rFonts w:ascii="Times New Roman" w:eastAsia="Times New Roman" w:hAnsi="Times New Roman" w:cs="Times New Roman"/>
          <w:b/>
          <w:bCs/>
          <w:sz w:val="24"/>
          <w:szCs w:val="24"/>
          <w:lang w:eastAsia="en-ID"/>
        </w:rPr>
        <w:t>INTRODUCTION</w:t>
      </w:r>
    </w:p>
    <w:p w14:paraId="44D1C59B" w14:textId="242C6076" w:rsidR="003A1F74" w:rsidRPr="003A1F74" w:rsidRDefault="003A1F74" w:rsidP="00E60374">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en-ID"/>
        </w:rPr>
      </w:pPr>
      <w:r w:rsidRPr="003A1F74">
        <w:rPr>
          <w:rFonts w:ascii="Times New Roman" w:eastAsia="Times New Roman" w:hAnsi="Times New Roman" w:cs="Times New Roman"/>
          <w:sz w:val="24"/>
          <w:szCs w:val="24"/>
          <w:lang w:eastAsia="en-ID"/>
        </w:rPr>
        <w:t>Caspase-3 is a critical executioner protease in the apoptotic pathway, serving as a central effector in both intrinsic (mitochondrial-mediated) and extrinsic (death receptor-mediated) cell death mechanisms</w:t>
      </w:r>
      <w:r w:rsidR="00F15E66">
        <w:rPr>
          <w:rFonts w:ascii="Times New Roman" w:eastAsia="Times New Roman" w:hAnsi="Times New Roman" w:cs="Times New Roman"/>
          <w:sz w:val="24"/>
          <w:szCs w:val="24"/>
          <w:lang w:eastAsia="en-ID"/>
        </w:rPr>
        <w:t xml:space="preserve"> </w:t>
      </w:r>
      <w:r w:rsidR="00F15E66">
        <w:rPr>
          <w:rFonts w:ascii="Times New Roman" w:eastAsia="Times New Roman" w:hAnsi="Times New Roman" w:cs="Times New Roman"/>
          <w:sz w:val="24"/>
          <w:szCs w:val="24"/>
          <w:lang w:eastAsia="en-ID"/>
        </w:rPr>
        <w:fldChar w:fldCharType="begin" w:fldLock="1"/>
      </w:r>
      <w:r w:rsidR="00F15E66">
        <w:rPr>
          <w:rFonts w:ascii="Times New Roman" w:eastAsia="Times New Roman" w:hAnsi="Times New Roman" w:cs="Times New Roman"/>
          <w:sz w:val="24"/>
          <w:szCs w:val="24"/>
          <w:lang w:eastAsia="en-ID"/>
        </w:rPr>
        <w:instrText>ADDIN CSL_CITATION {"citationItems":[{"id":"ITEM-1","itemData":{"DOI":"10.1038/s41421-025-00791-3","ISBN":"4142102500791","ISSN":"20565968","abstract":"Caspases are critical regulators of cell death, development, innate immunity, host defense, and disease. Upon detection of pathogens, damage-associated molecular patterns, cytokines, or other homeostatic disruptions, innate immune sensors, such as NLRs, activate caspases to initiate distinct regulated cell death pathways, including non-lytic (apoptosis) and innate immune lytic (pyroptosis and PANoptosis) pathways. These cell death pathways are driven by specific caspases and distinguished by their unique molecular mechanisms, supramolecular complexes, and enzymatic properties. Traditionally, caspases are classified as either apoptotic (caspase-2, -3, -6, -7, -8, -9, and -10) or inflammatory (caspase-1, -4, -5, and -11). However, extensive data from the past decades have shown that apoptotic caspases can also drive lytic inflammatory cell death downstream of innate immune sensing and inflammatory responses, such as in the case of caspase-3, -6, -7, and -8. Therefore, more inclusive classification systems based on function, substrate specificity, or the presence of pro-domains have been proposed to better reflect the multifaceted roles of caspases. In this review, we categorize caspases into CARD-, DED-, and short/no pro-domain-containing groups and examine their critical functions in innate immunity and cell death, along with their structural and molecular mechanisms, including active site/exosite properties and substrates. Additionally, we highlight the emerging roles of caspases in cellular homeostasis and therapeutic targeting. Given the clinical relevance of caspases across multiple diseases, improved understanding of these proteins and their structure–function relationships is critical for developing effective treatment strategies.","author":[{"dropping-particle":"","family":"Nadendla","given":"Eswar Kumar","non-dropping-particle":"","parse-names":false,"suffix":""},{"dropping-particle":"","family":"Tweedell","given":"Rebecca E.","non-dropping-particle":"","parse-names":false,"suffix":""},{"dropping-particle":"","family":"Kasof","given":"Gary","non-dropping-particle":"","parse-names":false,"suffix":""},{"dropping-particle":"","family":"Kanneganti","given":"Thirumala Devi","non-dropping-particle":"","parse-names":false,"suffix":""}],"container-title":"Cell Discovery","id":"ITEM-1","issue":"1","issued":{"date-parts":[["2025"]]},"page":"62-64","publisher":"Springer US","title":"Caspases: structural and molecular mechanisms and functions in cell death, innate immunity, and disease","type":"article-journal","volume":"11"},"uris":["http://www.mendeley.com/documents/?uuid=bd84c493-9abf-4b2e-8475-f18285de6292"]},{"id":"ITEM-2","itemData":{"DOI":"10.1016/j.jpba.2018.02.059","abstract":"The current study aims to optimize and validate a comprehensive LC-MS/MS method for the quantification of 37 phytochemicals (15 phenolic acids, 17 flavonoids, 3 non-phenolic organic acids, 1 phenolic aldehyde and 1 benzopyrene) in Achillea species. Though Achillea species were chosen as real life samples, the current method is applicable to a wide range of plant species. The developed method was fully validated in terms of linearity, accuracy (recovery), inter-day and intra-day precision (repeatability), limits of detection and quantification (LOD/LOQ) and relative standard uncertainty (U% at 95% confidence level (k = 2)). Reversed-phase ultrahigh performance liquid chromatography was optimized to achive optimum separation for 37 phytochemical compounds and to overcome the suppression effects. MS detection was performed using a triple quadrupole mass spectrometer and negative or positive ionization modes were optimized for each analyte. Multiple reaction monitoring (MRM) was used to quantify the analytes, related molecular ions and transition ions were optimized. Phytochemical screening of ethanol and methanol-chloroform extracts of root and aerial parts of A. coarctata and A. monocephala were performed by using the developed and validated LC-MS/MS method. Root and aerial parts of both species have considerable amounts of certain phenolic-nonphenolic acids (quinic, malic, fumaric, chlorogenic and vanillic acids) and flavonoids (rutin, hesperidin, isoquercitrin, apigetrin, luteolin, apigenin). Additionally, total phenolic and flavonoid amounts, antioxidant (DPPH free radical scavenging assay, ABTS radical cation decolorization assay, β-carotene lipid peroxidation test system and CUPRAC cupper reduction capacity methods), anticholinesterase, tyrosinase, urease inhibition and cytotoxic activities (on HeLa (Human Cervical Carcinoma Cell Line) of A. coarctata and A. monocephala were also investigated. It has been determined that the studied Achillea species, that are rich in total phenolic-flavonoid and chlorogenic acid contents, have high antioxidant and cytotoxic potential at the same time. According to the results of LC-MS/MS, antioxidant and cytotoxic activity studies, after detailed chemical investigation and toxicity studies on these species, A. coarctata and A. monocephala may be promoted as promising sources of natural agents and used for the development of nutraceuticals or functional food ingredients in future.","author":[{"dropping-particle":"","family":"Yilmaz","given":"Mustafa Abdullah","non-dropping-particle":"","parse-names":false,"suffix":""},{"dropping-particle":"","family":"Ertas","given":"Abdulselam","non-dropping-particle":"","parse-names":false,"suffix":""},{"dropping-particle":"","family":"Yener","given":"Ismail","non-dropping-particle":"","parse-names":false,"suffix":""},{"dropping-particle":"","family":"Akdeniz","given":"Mehmet","non-dropping-particle":"","parse-names":false,"suffix":""},{"dropping-particle":"","family":"Oguz Cakir 5","given":"Muhammed Altun","non-dropping-particle":"","parse-names":false,"suffix":""},{"dropping-particle":"","family":"Demirtas","given":"Ibrahim","non-dropping-particle":"","parse-names":false,"suffix":""},{"dropping-particle":"","family":"Boga","given":"Mehmet","non-dropping-particle":"","parse-names":false,"suffix":""},{"dropping-particle":"","family":"Temel","given":"Hamdi","non-dropping-particle":"","parse-names":false,"suffix":""}],"container-title":"Journal of Pharmaceutical and Biomedical Analysis","id":"ITEM-2","issued":{"date-parts":[["2018"]]},"page":"413-424","title":"A comprehensive LC–MS/MS method validation for the quantitative investigation of 37 fingerprint phytochemicals in Achillea species: A detailed examination of A. coarctata and A. monocephala.","type":"article-journal","volume":"154"},"uris":["http://www.mendeley.com/documents/?uuid=e05a03ec-4de5-4907-87ad-3443789bba55"]},{"id":"ITEM-3","itemData":{"DOI":"10.1083/jcb.202201159","ISSN":"15408140","PMID":"35551578","abstract":"Caspase-3 is a widely expressed member of a conserved family of proteins, generally recognized for their activated proteolytic roles in the execution of apoptosis in cells responding to specific extrinsic or intrinsic inducers of this mode of cell death. However, accumulating evidence indicates that caspase-3 also plays key roles in regulating the growth and homeostatic maintenance of both normal and malignant cells and tissues in multicellular organisms. Given that yeast possess an ancestral caspase-like gene suggests that the caspase-3 protein may have acquired different functions later during evolution to better meet the needs of more complex multicellular organisms, but without necessarily losing all of the functions of its ancestral yeast precursor. This review provides an update on what has been learned about these interesting dichotomous roles of caspase-3, their evolution, and their potential relevance to malignant as well as normal cell biology.","author":[{"dropping-particle":"","family":"Eskandari","given":"Ebrahim","non-dropping-particle":"","parse-names":false,"suffix":""},{"dropping-particle":"","family":"Eaves","given":"Connie J.","non-dropping-particle":"","parse-names":false,"suffix":""}],"container-title":"Journal of Cell Biology","id":"ITEM-3","issue":"6","issued":{"date-parts":[["2022"]]},"page":"1-13","title":"Paradoxical roles of caspase-3 in regulating cell survival, proliferation, and tumorigenesis","type":"article-journal","volume":"221"},"uris":["http://www.mendeley.com/documents/?uuid=05d9cd3b-da47-4afe-8db2-4c8ca714f9ba"]},{"id":"ITEM-4","itemData":{"DOI":"10.1038/s12276-025-01470-9","ISSN":"20926413","PMID":"40555741","abstract":"Caspases are crucial regulators of programmed cell death, mediating pathways such as apoptosis, pyroptosis, necroptosis and ferroptosis. Their activity is intricately controlled by epigenetic modifications, molecular interactions and post-translational changes, reflecting their central role in cellular homeostasis and disease mechanisms. Dysregulated caspase functions are linked to a wide array of conditions, including cancer, neurodegenerative disorders and inflammatory diseases, establishing their importance as potential therapeutic targets. The roles and regulation of caspases across subcellular compartments and their molecular interactions provide critical insights into the complexity of programmed cell death. Here, this review synthesizes current knowledge on the diverse functions of caspases, offering a comprehensive foundation for exploring innovative therapeutic strategies.","author":[{"dropping-particle":"","family":"Dho","given":"So Hee","non-dropping-particle":"","parse-names":false,"suffix":""},{"dropping-particle":"","family":"Cho","given":"Minjeong","non-dropping-particle":"","parse-names":false,"suffix":""},{"dropping-particle":"","family":"Woo","given":"Wonjin","non-dropping-particle":"","parse-names":false,"suffix":""},{"dropping-particle":"","family":"Jeong","given":"Seolhee","non-dropping-particle":"","parse-names":false,"suffix":""},{"dropping-particle":"","family":"Kim","given":"Lark Kyun","non-dropping-particle":"","parse-names":false,"suffix":""}],"container-title":"Experimental and Molecular Medicine","id":"ITEM-4","issue":"6","issued":{"date-parts":[["2025"]]},"page":"1121-1132","publisher":"Springer US","title":"Caspases as master regulators of programmed cell death: apoptosis, pyroptosis and beyond","type":"article-journal","volume":"57"},"uris":["http://www.mendeley.com/documents/?uuid=7a798fbe-788c-4dcc-99ae-8daa2ca3f280"]}],"mendeley":{"formattedCitation":"(1–4)","plainTextFormattedCitation":"(1–4)","previouslyFormattedCitation":"(1–4)"},"properties":{"noteIndex":0},"schema":"https://github.com/citation-style-language/schema/raw/master/csl-citation.json"}</w:instrText>
      </w:r>
      <w:r w:rsidR="00F15E66">
        <w:rPr>
          <w:rFonts w:ascii="Times New Roman" w:eastAsia="Times New Roman" w:hAnsi="Times New Roman" w:cs="Times New Roman"/>
          <w:sz w:val="24"/>
          <w:szCs w:val="24"/>
          <w:lang w:eastAsia="en-ID"/>
        </w:rPr>
        <w:fldChar w:fldCharType="separate"/>
      </w:r>
      <w:r w:rsidR="00F15E66" w:rsidRPr="00F15E66">
        <w:rPr>
          <w:rFonts w:ascii="Times New Roman" w:eastAsia="Times New Roman" w:hAnsi="Times New Roman" w:cs="Times New Roman"/>
          <w:noProof/>
          <w:sz w:val="24"/>
          <w:szCs w:val="24"/>
          <w:lang w:eastAsia="en-ID"/>
        </w:rPr>
        <w:t>(1–4)</w:t>
      </w:r>
      <w:r w:rsidR="00F15E66">
        <w:rPr>
          <w:rFonts w:ascii="Times New Roman" w:eastAsia="Times New Roman" w:hAnsi="Times New Roman" w:cs="Times New Roman"/>
          <w:sz w:val="24"/>
          <w:szCs w:val="24"/>
          <w:lang w:eastAsia="en-ID"/>
        </w:rPr>
        <w:fldChar w:fldCharType="end"/>
      </w:r>
      <w:r w:rsidR="00F15E66">
        <w:rPr>
          <w:rFonts w:ascii="Times New Roman" w:eastAsia="Times New Roman" w:hAnsi="Times New Roman" w:cs="Times New Roman"/>
          <w:sz w:val="24"/>
          <w:szCs w:val="24"/>
          <w:lang w:eastAsia="en-ID"/>
        </w:rPr>
        <w:t xml:space="preserve">. </w:t>
      </w:r>
      <w:r w:rsidRPr="003A1F74">
        <w:rPr>
          <w:rFonts w:ascii="Times New Roman" w:eastAsia="Times New Roman" w:hAnsi="Times New Roman" w:cs="Times New Roman"/>
          <w:sz w:val="24"/>
          <w:szCs w:val="24"/>
          <w:lang w:eastAsia="en-ID"/>
        </w:rPr>
        <w:t xml:space="preserve">Activation of caspase-3 leads to the proteolytic </w:t>
      </w:r>
      <w:r w:rsidRPr="003A1F74">
        <w:rPr>
          <w:rFonts w:ascii="Times New Roman" w:eastAsia="Times New Roman" w:hAnsi="Times New Roman" w:cs="Times New Roman"/>
          <w:sz w:val="24"/>
          <w:szCs w:val="24"/>
          <w:lang w:eastAsia="en-ID"/>
        </w:rPr>
        <w:lastRenderedPageBreak/>
        <w:t>cleavage of key cellular substrates, resulting in the characteristic morphological and biochemical features of apoptosis</w:t>
      </w:r>
      <w:r w:rsidR="00F15E66">
        <w:rPr>
          <w:rFonts w:ascii="Times New Roman" w:eastAsia="Times New Roman" w:hAnsi="Times New Roman" w:cs="Times New Roman"/>
          <w:sz w:val="24"/>
          <w:szCs w:val="24"/>
          <w:lang w:eastAsia="en-ID"/>
        </w:rPr>
        <w:t xml:space="preserve"> </w:t>
      </w:r>
      <w:r w:rsidR="00F15E66">
        <w:rPr>
          <w:rFonts w:ascii="Times New Roman" w:eastAsia="Times New Roman" w:hAnsi="Times New Roman" w:cs="Times New Roman"/>
          <w:sz w:val="24"/>
          <w:szCs w:val="24"/>
          <w:lang w:eastAsia="en-ID"/>
        </w:rPr>
        <w:fldChar w:fldCharType="begin" w:fldLock="1"/>
      </w:r>
      <w:r w:rsidR="00F15E66">
        <w:rPr>
          <w:rFonts w:ascii="Times New Roman" w:eastAsia="Times New Roman" w:hAnsi="Times New Roman" w:cs="Times New Roman"/>
          <w:sz w:val="24"/>
          <w:szCs w:val="24"/>
          <w:lang w:eastAsia="en-ID"/>
        </w:rPr>
        <w:instrText>ADDIN CSL_CITATION {"citationItems":[{"id":"ITEM-1","itemData":{"DOI":"10.1038/cdd.2017.44","ISSN":"14765403","PMID":"28498362","abstract":"Protease biology is intimately linked to the functional consequences of substrate cleavage events. Human caspases are a family of 12 fate-determining cysteine proteases that are best known for driving cell death, either apoptosis or pyroptosis. More recently, caspases have been shown to be involved in other cellular remodeling events as well including stem cell fate determination, spermatogenesis, and erythroid differentiation. Recent global proteomics methods enable characterization of the substrates that caspases cleave in live cells and cell extracts. The number of substrate targets identified for individual caspases can vary widely ranging from only a (few) dozen targets for caspases-4, -5, -9, and -14 to hundreds of targets for caspases-1, -2, -3, -6, -7, and -8. Proteomic studies characterizing the rates of target cleavage show that each caspase has a preferred substrate cohort that sometimes overlaps between caspases, but whose rates of cleavage vary over 500-fold within each group. Determining the functional consequences of discrete proteolytic events within the global substrate pool is a major challenge for the field. From the handful of individual targets that have been studied in detail, there are only a few so far that whose single cleavage event is capable of sparking apoptosis alone, such as cleavage of caspase-3/-7 and BIM(EL), or for pyroptosis, gasdermin D. For the most part, it appears that cleavage events function cooperatively in the cell death process to generate a proteolytic synthetic lethal outcome. In contrast to apoptosis, far less is known about caspase biology in non-apoptotic cellular processes, such as cellular remodeling, including which caspases are activated, the mechanisms of their activation and deactivation, and the key substrate targets. Here we survey the progress made in global identification of caspase substrates using proteomics and the exciting new avenues these studies have opened for understanding the molecular logic of substrate cleavage in apoptotic and non-apoptotic processes.","author":[{"dropping-particle":"","family":"Julien","given":"Olivier","non-dropping-particle":"","parse-names":false,"suffix":""},{"dropping-particle":"","family":"Wells","given":"James A.","non-dropping-particle":"","parse-names":false,"suffix":""}],"container-title":"Cell Death and Differentiation","id":"ITEM-1","issue":"8","issued":{"date-parts":[["2017"]]},"page":"1380-1389","publisher":"Nature Publishing Group","title":"Caspases and their substrates","type":"article-journal","volume":"24"},"uris":["http://www.mendeley.com/documents/?uuid=4482ba50-4eef-42d0-8db4-dc2db65aed7e"]}],"mendeley":{"formattedCitation":"(5)","plainTextFormattedCitation":"(5)","previouslyFormattedCitation":"(5)"},"properties":{"noteIndex":0},"schema":"https://github.com/citation-style-language/schema/raw/master/csl-citation.json"}</w:instrText>
      </w:r>
      <w:r w:rsidR="00F15E66">
        <w:rPr>
          <w:rFonts w:ascii="Times New Roman" w:eastAsia="Times New Roman" w:hAnsi="Times New Roman" w:cs="Times New Roman"/>
          <w:sz w:val="24"/>
          <w:szCs w:val="24"/>
          <w:lang w:eastAsia="en-ID"/>
        </w:rPr>
        <w:fldChar w:fldCharType="separate"/>
      </w:r>
      <w:r w:rsidR="00F15E66" w:rsidRPr="00F15E66">
        <w:rPr>
          <w:rFonts w:ascii="Times New Roman" w:eastAsia="Times New Roman" w:hAnsi="Times New Roman" w:cs="Times New Roman"/>
          <w:noProof/>
          <w:sz w:val="24"/>
          <w:szCs w:val="24"/>
          <w:lang w:eastAsia="en-ID"/>
        </w:rPr>
        <w:t>(5)</w:t>
      </w:r>
      <w:r w:rsidR="00F15E66">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Apoptosis, or programmed cell death, plays a fundamental role in maintaining cellular homeostasis by eliminating damaged, senescent, or potentially malignant cells, thereby preventing uncontrolled cell proliferation, which is a hallmark of cancer</w:t>
      </w:r>
      <w:r w:rsidR="00F15E66">
        <w:rPr>
          <w:rFonts w:ascii="Times New Roman" w:eastAsia="Times New Roman" w:hAnsi="Times New Roman" w:cs="Times New Roman"/>
          <w:sz w:val="24"/>
          <w:szCs w:val="24"/>
          <w:lang w:eastAsia="en-ID"/>
        </w:rPr>
        <w:t xml:space="preserve"> </w:t>
      </w:r>
      <w:r w:rsidR="00F15E66">
        <w:rPr>
          <w:rFonts w:ascii="Times New Roman" w:eastAsia="Times New Roman" w:hAnsi="Times New Roman" w:cs="Times New Roman"/>
          <w:sz w:val="24"/>
          <w:szCs w:val="24"/>
          <w:lang w:eastAsia="en-ID"/>
        </w:rPr>
        <w:fldChar w:fldCharType="begin" w:fldLock="1"/>
      </w:r>
      <w:r w:rsidR="00322B7B">
        <w:rPr>
          <w:rFonts w:ascii="Times New Roman" w:eastAsia="Times New Roman" w:hAnsi="Times New Roman" w:cs="Times New Roman"/>
          <w:sz w:val="24"/>
          <w:szCs w:val="24"/>
          <w:lang w:eastAsia="en-ID"/>
        </w:rPr>
        <w:instrText>ADDIN CSL_CITATION {"citationItems":[{"id":"ITEM-1","itemData":{"DOI":"10.1158/2159-8290.CD-21-1059","ISSN":"21598290","PMID":"35022204","abstract":"The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medicine.","author":[{"dropping-particle":"","family":"Hanahan","given":"Douglas","non-dropping-particle":"","parse-names":false,"suffix":""}],"container-title":"Cancer Discovery","id":"ITEM-1","issue":"1","issued":{"date-parts":[["2022"]]},"page":"31-46","title":"Hallmarks of Cancer: New Dimensions","type":"article-journal","volume":"12"},"uris":["http://www.mendeley.com/documents/?uuid=4cc0fb97-eedf-4251-8f6c-72750ec858b6"]},{"id":"ITEM-2","itemData":{"ISSN":"1422-0067","author":[{"dropping-particle":"","family":"Morana","given":"Ornella","non-dropping-particle":"","parse-names":false,"suffix":""},{"dropping-particle":"","family":"Wood","given":"Will","non-dropping-particle":"","parse-names":false,"suffix":""},{"dropping-particle":"","family":"Gregory","given":"Christopher D","non-dropping-particle":"","parse-names":false,"suffix":""}],"container-title":"International journal of molecular sciences","id":"ITEM-2","issue":"3","issued":{"date-parts":[["2022"]]},"page":"1328","publisher":"MDPI","title":"The apoptosis paradox in cancer","type":"article-journal","volume":"23"},"uris":["http://www.mendeley.com/documents/?uuid=b546b58e-8d90-447b-90bf-533c730cd700"]},{"id":"ITEM-3","itemData":{"DOI":"10.18632/aging.100934","ISSN":"19454589","PMID":"27019364","abstract":"Apoptosis is a form of programmed cell death that results in the orderly and efficient removal of damaged cells, such as those resulting from DNA damage or during development. Apoptosis can be triggered by signals from within the cell, such as genotoxic stress, or by extrinsic signals, such as the binding of ligands to cell surface death receptors. Deregulation in apoptotic cell death machinery is an hallmark of cancer. Apoptosis alteration is responsible not only for tumor development and progression but also for tumor resistance to therapies. Most anticancer drugs currently used in clinical oncology exploit the intact apoptotic signaling pathways to trigger cancer cell death. Thus, defects in the death pathways may result in drug resistance so limiting the efficacy of therapies. Therefore, a better understanding of the apoptotic cell death signaling pathways may improve the efficacy of cancer therapy and bypass resistance. This review will highlight the role of the fundamental regulators of apoptosis and how their deregulation, including activation of antiapoptotic factors (i.e., Bcl-2, Bcl-xL, etc) or inactivation of proapoptotic factors (i.e., p53 pathway) ends up in cancer cell resistance to therapies. In addition, therapeutic strategies aimed at modulating apoptotic activity are briefly discussed.","author":[{"dropping-particle":"","family":"Pistritto","given":"Giuseppa","non-dropping-particle":"","parse-names":false,"suffix":""},{"dropping-particle":"","family":"Trisciuoglio","given":"Daniela","non-dropping-particle":"","parse-names":false,"suffix":""},{"dropping-particle":"","family":"Ceci","given":"Claudia","non-dropping-particle":"","parse-names":false,"suffix":""},{"dropping-particle":"","family":"Alessia Garufi","given":"","non-dropping-particle":"","parse-names":false,"suffix":""},{"dropping-particle":"","family":"D'Orazi","given":"Gabriella","non-dropping-particle":"","parse-names":false,"suffix":""}],"container-title":"Aging","id":"ITEM-3","issue":"4","issued":{"date-parts":[["2016"]]},"page":"603-619","title":"Apoptosis as anticancer mechanism: Function and dysfunction of its modulators and targeted therapeutic strategies","type":"article-journal","volume":"8"},"uris":["http://www.mendeley.com/documents/?uuid=26755bc5-72ca-4a82-a5ce-c7ccd53896a9"]}],"mendeley":{"formattedCitation":"(6–8)","plainTextFormattedCitation":"(6–8)","previouslyFormattedCitation":"(6–8)"},"properties":{"noteIndex":0},"schema":"https://github.com/citation-style-language/schema/raw/master/csl-citation.json"}</w:instrText>
      </w:r>
      <w:r w:rsidR="00F15E66">
        <w:rPr>
          <w:rFonts w:ascii="Times New Roman" w:eastAsia="Times New Roman" w:hAnsi="Times New Roman" w:cs="Times New Roman"/>
          <w:sz w:val="24"/>
          <w:szCs w:val="24"/>
          <w:lang w:eastAsia="en-ID"/>
        </w:rPr>
        <w:fldChar w:fldCharType="separate"/>
      </w:r>
      <w:r w:rsidR="00F15E66" w:rsidRPr="00F15E66">
        <w:rPr>
          <w:rFonts w:ascii="Times New Roman" w:eastAsia="Times New Roman" w:hAnsi="Times New Roman" w:cs="Times New Roman"/>
          <w:noProof/>
          <w:sz w:val="24"/>
          <w:szCs w:val="24"/>
          <w:lang w:eastAsia="en-ID"/>
        </w:rPr>
        <w:t>(6–8)</w:t>
      </w:r>
      <w:r w:rsidR="00F15E66">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Dysregulation of apoptotic signaling pathways has been implicated in the pathogenesis of numerous diseases, including cancer, autoimmune disorders, and neurodegenerative conditions, underscoring the importance of understanding the molecular mechanisms governing apoptosis</w:t>
      </w:r>
      <w:r w:rsidR="00065145">
        <w:rPr>
          <w:rFonts w:ascii="Times New Roman" w:eastAsia="Times New Roman" w:hAnsi="Times New Roman" w:cs="Times New Roman"/>
          <w:sz w:val="24"/>
          <w:szCs w:val="24"/>
          <w:lang w:eastAsia="en-ID"/>
        </w:rPr>
        <w:t xml:space="preserve"> </w:t>
      </w:r>
      <w:r w:rsidR="00322B7B">
        <w:rPr>
          <w:rFonts w:ascii="Times New Roman" w:eastAsia="Times New Roman" w:hAnsi="Times New Roman" w:cs="Times New Roman"/>
          <w:sz w:val="24"/>
          <w:szCs w:val="24"/>
          <w:lang w:eastAsia="en-ID"/>
        </w:rPr>
        <w:fldChar w:fldCharType="begin" w:fldLock="1"/>
      </w:r>
      <w:r w:rsidR="00322B7B">
        <w:rPr>
          <w:rFonts w:ascii="Times New Roman" w:eastAsia="Times New Roman" w:hAnsi="Times New Roman" w:cs="Times New Roman"/>
          <w:sz w:val="24"/>
          <w:szCs w:val="24"/>
          <w:lang w:eastAsia="en-ID"/>
        </w:rPr>
        <w:instrText>ADDIN CSL_CITATION {"citationItems":[{"id":"ITEM-1","itemData":{"DOI":"10.1080/01926230701320337","author":[{"dropping-particle":"","family":"Obeng","given":"E","non-dropping-particle":"","parse-names":false,"suffix":""}],"container-title":"Brazilian Journal of Biology","id":"ITEM-1","issue":"4","issued":{"date-parts":[["0"]]},"page":"1133-1143","title":"Apoptosis (programmed cell death) and its signals - A review","type":"article-journal","volume":"81"},"uris":["http://www.mendeley.com/documents/?uuid=1a9cbfcc-73f2-47e9-b6e4-76be1e1ee1f3"]},{"id":"ITEM-2","itemData":{"ISSN":"19447930","PMID":"20040274","abstract":"Increasing evidence suggests an important role for programmed cell death (PCD) pathways in aging phenotypes across species. PCD is critical to the homeostasis of tissues maintained by cell division, for example, the blood and the lining of the gut. During aging, accumulated cellular damage and non-optimal systemic signaling can cause too little cell death (hyperproliferation and cancer), or too much cell death (tissue atrophy and ectopic cell death), thereby limiting tissue function and life span. For these reasons PCD pathways are promising targets for interventions in aging and aging-related diseases: reactivation of PCD may be beneficial in clearing cancerous and senescent cells, whereas inhibiting PCD may help prevent muscle atrophy and nervous system degeneration.","author":[{"dropping-particle":"","family":"Shen","given":"Jie","non-dropping-particle":"","parse-names":false,"suffix":""},{"dropping-particle":"","family":"Tower","given":"John","non-dropping-particle":"","parse-names":false,"suffix":""}],"container-title":"Discovery medicine","id":"ITEM-2","issue":"43","issued":{"date-parts":[["2009"]]},"page":"223-226","title":"Programmed cell death and apoptosis in aging and life span regulation.","type":"article-journal","volume":"8"},"uris":["http://www.mendeley.com/documents/?uuid=b6e27ebf-a298-403d-9ec8-70e47e9ef31c"]},{"id":"ITEM-3","itemData":{"DOI":"10.1016/j.cell.2019.04.024.","author":[{"dropping-particle":"","family":"Green","given":"Douglas R.","non-dropping-particle":"","parse-names":false,"suffix":""}],"container-title":"Cells","id":"ITEM-3","issue":"5","issued":{"date-parts":[["2019"]]},"page":"1094-1107","title":"The Coming Decade of Cell Death Research: Five Riddles Douglas","type":"article-journal","volume":"177"},"uris":["http://www.mendeley.com/documents/?uuid=0d290b86-ce82-48fd-a163-ab54bb4c8ab4"]}],"mendeley":{"formattedCitation":"(9–11)","plainTextFormattedCitation":"(9–11)","previouslyFormattedCitation":"(9–11)"},"properties":{"noteIndex":0},"schema":"https://github.com/citation-style-language/schema/raw/master/csl-citation.json"}</w:instrText>
      </w:r>
      <w:r w:rsidR="00322B7B">
        <w:rPr>
          <w:rFonts w:ascii="Times New Roman" w:eastAsia="Times New Roman" w:hAnsi="Times New Roman" w:cs="Times New Roman"/>
          <w:sz w:val="24"/>
          <w:szCs w:val="24"/>
          <w:lang w:eastAsia="en-ID"/>
        </w:rPr>
        <w:fldChar w:fldCharType="separate"/>
      </w:r>
      <w:r w:rsidR="00322B7B" w:rsidRPr="00322B7B">
        <w:rPr>
          <w:rFonts w:ascii="Times New Roman" w:eastAsia="Times New Roman" w:hAnsi="Times New Roman" w:cs="Times New Roman"/>
          <w:noProof/>
          <w:sz w:val="24"/>
          <w:szCs w:val="24"/>
          <w:lang w:eastAsia="en-ID"/>
        </w:rPr>
        <w:t>(9–11)</w:t>
      </w:r>
      <w:r w:rsidR="00322B7B">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w:t>
      </w:r>
    </w:p>
    <w:p w14:paraId="3E96927E" w14:textId="7B8C8550" w:rsidR="003A1F74" w:rsidRPr="003A1F74" w:rsidRDefault="003A1F74" w:rsidP="00E60374">
      <w:pPr>
        <w:spacing w:after="0" w:line="240" w:lineRule="auto"/>
        <w:ind w:firstLine="720"/>
        <w:jc w:val="both"/>
        <w:rPr>
          <w:rFonts w:ascii="Times New Roman" w:eastAsia="Times New Roman" w:hAnsi="Times New Roman" w:cs="Times New Roman"/>
          <w:sz w:val="24"/>
          <w:szCs w:val="24"/>
          <w:lang w:eastAsia="en-ID"/>
        </w:rPr>
      </w:pPr>
      <w:r w:rsidRPr="003A1F74">
        <w:rPr>
          <w:rFonts w:ascii="Times New Roman" w:eastAsia="Times New Roman" w:hAnsi="Times New Roman" w:cs="Times New Roman"/>
          <w:sz w:val="24"/>
          <w:szCs w:val="24"/>
          <w:lang w:eastAsia="en-ID"/>
        </w:rPr>
        <w:t xml:space="preserve">Curcumin, a naturally occurring polyphenolic compound derived from </w:t>
      </w:r>
      <w:r w:rsidRPr="003A1F74">
        <w:rPr>
          <w:rFonts w:ascii="Times New Roman" w:eastAsia="Times New Roman" w:hAnsi="Times New Roman" w:cs="Times New Roman"/>
          <w:i/>
          <w:iCs/>
          <w:sz w:val="24"/>
          <w:szCs w:val="24"/>
          <w:lang w:eastAsia="en-ID"/>
        </w:rPr>
        <w:t>Curcuma longa</w:t>
      </w:r>
      <w:r w:rsidRPr="003A1F74">
        <w:rPr>
          <w:rFonts w:ascii="Times New Roman" w:eastAsia="Times New Roman" w:hAnsi="Times New Roman" w:cs="Times New Roman"/>
          <w:sz w:val="24"/>
          <w:szCs w:val="24"/>
          <w:lang w:eastAsia="en-ID"/>
        </w:rPr>
        <w:t>, has attracted considerable attention due to its potent anticancer properties and favorable safety profile</w:t>
      </w:r>
      <w:r w:rsidR="00322B7B">
        <w:rPr>
          <w:rFonts w:ascii="Times New Roman" w:eastAsia="Times New Roman" w:hAnsi="Times New Roman" w:cs="Times New Roman"/>
          <w:sz w:val="24"/>
          <w:szCs w:val="24"/>
          <w:lang w:eastAsia="en-ID"/>
        </w:rPr>
        <w:t xml:space="preserve"> </w:t>
      </w:r>
      <w:r w:rsidR="00322B7B">
        <w:rPr>
          <w:rFonts w:ascii="Times New Roman" w:eastAsia="Times New Roman" w:hAnsi="Times New Roman" w:cs="Times New Roman"/>
          <w:sz w:val="24"/>
          <w:szCs w:val="24"/>
          <w:lang w:eastAsia="en-ID"/>
        </w:rPr>
        <w:fldChar w:fldCharType="begin" w:fldLock="1"/>
      </w:r>
      <w:r w:rsidR="00FB63C4">
        <w:rPr>
          <w:rFonts w:ascii="Times New Roman" w:eastAsia="Times New Roman" w:hAnsi="Times New Roman" w:cs="Times New Roman"/>
          <w:sz w:val="24"/>
          <w:szCs w:val="24"/>
          <w:lang w:eastAsia="en-ID"/>
        </w:rPr>
        <w:instrText>ADDIN CSL_CITATION {"citationItems":[{"id":"ITEM-1","itemData":{"DOI":"10.3390/foods6100092","ISBN":"1321377452","ISSN":"23048158","PMID":"29065496","abstract":"Turmeric, a spice that has long been recognized for its medicinal properties, has received interest from both the medical/scientific world and from culinary enthusiasts, as it is the major source of the polyphenol curcumin. It aids in the management of oxidative and inflammatory conditions, metabolic syndrome, arthritis, anxiety, and hyperlipidemia. It may also help in the management of exercise-induced inflammation and muscle soreness, thus enhancing recovery and performance in active people. In addition, a relatively low dose of the complex can provide health benefits for people that do not have diagnosed health conditions. Most of these benefits can be attributed to its antioxidant and anti-inflammatory effects. Ingesting curcumin by itself does not lead to the associated health benefits due to its poor bioavailability, which appears to be primarily due to poor absorption, rapid metabolism, and rapid elimination. There are several components that can increase bioavailability. For example, piperine is the major active component of black pepper and, when combined in a complex with curcumin, has been shown to increase bioavailability by 2000%. Curcumin combined with enhancing agents provides multiple health benefits. The purpose of this review is to provide a brief overview of the plethora of research regarding the health benefits of curcumin.","author":[{"dropping-particle":"","family":"Hewlings","given":"Susan J.","non-dropping-particle":"","parse-names":false,"suffix":""},{"dropping-particle":"","family":"Kalman","given":"Douglas S.","non-dropping-particle":"","parse-names":false,"suffix":""}],"container-title":"Foods","id":"ITEM-1","issue":"10","issued":{"date-parts":[["2017"]]},"page":"1-11","title":"Curcumin: A review of its effects on human health","type":"article-journal","volume":"6"},"uris":["http://www.mendeley.com/documents/?uuid=975d4bcf-d3aa-4b0d-8b81-b90d9e778e29"]}],"mendeley":{"formattedCitation":"(12)","plainTextFormattedCitation":"(12)","previouslyFormattedCitation":"(12)"},"properties":{"noteIndex":0},"schema":"https://github.com/citation-style-language/schema/raw/master/csl-citation.json"}</w:instrText>
      </w:r>
      <w:r w:rsidR="00322B7B">
        <w:rPr>
          <w:rFonts w:ascii="Times New Roman" w:eastAsia="Times New Roman" w:hAnsi="Times New Roman" w:cs="Times New Roman"/>
          <w:sz w:val="24"/>
          <w:szCs w:val="24"/>
          <w:lang w:eastAsia="en-ID"/>
        </w:rPr>
        <w:fldChar w:fldCharType="separate"/>
      </w:r>
      <w:r w:rsidR="00322B7B" w:rsidRPr="00322B7B">
        <w:rPr>
          <w:rFonts w:ascii="Times New Roman" w:eastAsia="Times New Roman" w:hAnsi="Times New Roman" w:cs="Times New Roman"/>
          <w:noProof/>
          <w:sz w:val="24"/>
          <w:szCs w:val="24"/>
          <w:lang w:eastAsia="en-ID"/>
        </w:rPr>
        <w:t>(12)</w:t>
      </w:r>
      <w:r w:rsidR="00322B7B">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Extensive experimental evidence demonstrates that curcumin can induce apoptosis in a wide range of cancer cell lines, including breast cancer, through modulation of multiple signaling pathways</w:t>
      </w:r>
      <w:r w:rsidR="00FB63C4">
        <w:rPr>
          <w:rFonts w:ascii="Times New Roman" w:eastAsia="Times New Roman" w:hAnsi="Times New Roman" w:cs="Times New Roman"/>
          <w:sz w:val="24"/>
          <w:szCs w:val="24"/>
          <w:lang w:eastAsia="en-ID"/>
        </w:rPr>
        <w:t xml:space="preserve"> </w:t>
      </w:r>
      <w:r w:rsidR="00FB63C4">
        <w:rPr>
          <w:rFonts w:ascii="Times New Roman" w:eastAsia="Times New Roman" w:hAnsi="Times New Roman" w:cs="Times New Roman"/>
          <w:sz w:val="24"/>
          <w:szCs w:val="24"/>
          <w:lang w:eastAsia="en-ID"/>
        </w:rPr>
        <w:fldChar w:fldCharType="begin" w:fldLock="1"/>
      </w:r>
      <w:r w:rsidR="00FB63C4">
        <w:rPr>
          <w:rFonts w:ascii="Times New Roman" w:eastAsia="Times New Roman" w:hAnsi="Times New Roman" w:cs="Times New Roman"/>
          <w:sz w:val="24"/>
          <w:szCs w:val="24"/>
          <w:lang w:eastAsia="en-ID"/>
        </w:rPr>
        <w:instrText>ADDIN CSL_CITATION {"citationItems":[{"id":"ITEM-1","itemData":{"DOI":"10.3390/nu11102376","ISSN":"20726643","PMID":"31590362","abstract":"Curcumin, a polyphenol extracted from Curcuma longa in 1815, has gained attention from scientists worldwide for its biological activities (e.g., antioxidant, anti-inflammatory, antimicrobial, antiviral), among which its anticancer potential has been the most described and still remains under investigation. The present review focuses on the cell signaling pathways involved in cancer development and proliferation, and which are targeted by curcumin. Curcumin has been reported to modulate growth factors, enzymes, transcription factors, kinase, inflammatory cytokines, and proapoptotic (by upregulation) and antiapoptotic (by downregulation) proteins. This polyphenol compound, alone or combined with other agents, could represent an effective drug for cancer therapy.","author":[{"dropping-particle":"","family":"Giordano","given":"Antonio","non-dropping-particle":"","parse-names":false,"suffix":""},{"dropping-particle":"","family":"Tommonaro","given":"Giuseppina","non-dropping-particle":"","parse-names":false,"suffix":""}],"container-title":"Nutrients","id":"ITEM-1","issue":"10","issued":{"date-parts":[["2019"]]},"title":"Curcumin and cancer","type":"article-journal","volume":"11"},"uris":["http://www.mendeley.com/documents/?uuid=60be7767-143c-4a88-ae80-37d3ace77019"]},{"id":"ITEM-2","itemData":{"DOI":"10.21294/1814-4861-2022-21-6-91-98","author":[{"dropping-particle":"","family":"Rahmah","given":"Nunung Ainur","non-dropping-particle":"","parse-names":false,"suffix":""},{"dropping-particle":"","family":"Harliansyah","given":"","non-dropping-particle":"","parse-names":false,"suffix":""},{"dropping-particle":"","family":"Suyatna","given":"Fransiscus D.","non-dropping-particle":"","parse-names":false,"suffix":""},{"dropping-particle":"","family":"Kanoko","given":"Mpu","non-dropping-particle":"","parse-names":false,"suffix":""},{"dropping-particle":"","family":"Primariadewi","given":"","non-dropping-particle":"","parse-names":false,"suffix":""},{"dropping-particle":"","family":"Rustamadji","given":"","non-dropping-particle":"","parse-names":false,"suffix":""},{"dropping-particle":"","family":"Prihartono","given":"Joedo","non-dropping-particle":"","parse-names":false,"suffix":""},{"dropping-particle":"","family":"Haryono","given":"","non-dropping-particle":"","parse-names":false,"suffix":""},{"dropping-particle":"","family":"Bustami","given":"Arleni","non-dropping-particle":"","parse-names":false,"suffix":""},{"dropping-particle":"","family":"Johny","given":"Samuel","non-dropping-particle":"","parse-names":false,"suffix":""},{"dropping-particle":"","family":"Hernowo","given":"Bethy Suryawati","non-dropping-particle":"","parse-names":false,"suffix":""}],"container-title":"Siberian Journal of Oncology","id":"ITEM-2","issue":"6","issued":{"date-parts":[["2022"]]},"page":"91-98","title":"Curcumin as an anti-proliferative agent in breast cancer through RASSF1A, Bax, and caspase protein","type":"article-journal","volume":"21"},"uris":["http://www.mendeley.com/documents/?uuid=e4e65bdb-b536-4291-9731-4d5cd23e536e"]}],"mendeley":{"formattedCitation":"(13,14)","plainTextFormattedCitation":"(13,14)","previouslyFormattedCitation":"(13,14)"},"properties":{"noteIndex":0},"schema":"https://github.com/citation-style-language/schema/raw/master/csl-citation.json"}</w:instrText>
      </w:r>
      <w:r w:rsidR="00FB63C4">
        <w:rPr>
          <w:rFonts w:ascii="Times New Roman" w:eastAsia="Times New Roman" w:hAnsi="Times New Roman" w:cs="Times New Roman"/>
          <w:sz w:val="24"/>
          <w:szCs w:val="24"/>
          <w:lang w:eastAsia="en-ID"/>
        </w:rPr>
        <w:fldChar w:fldCharType="separate"/>
      </w:r>
      <w:r w:rsidR="00FB63C4" w:rsidRPr="00FB63C4">
        <w:rPr>
          <w:rFonts w:ascii="Times New Roman" w:eastAsia="Times New Roman" w:hAnsi="Times New Roman" w:cs="Times New Roman"/>
          <w:noProof/>
          <w:sz w:val="24"/>
          <w:szCs w:val="24"/>
          <w:lang w:eastAsia="en-ID"/>
        </w:rPr>
        <w:t>(13,14)</w:t>
      </w:r>
      <w:r w:rsidR="00FB63C4">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xml:space="preserve">. Notably, curcumin has been shown to activate caspase-3 and other apoptotic markers, such as Bax upregulation, Bcl-2 downregulation, cytochrome </w:t>
      </w:r>
      <w:r w:rsidRPr="003A1F74">
        <w:rPr>
          <w:rFonts w:ascii="Times New Roman" w:eastAsia="Times New Roman" w:hAnsi="Times New Roman" w:cs="Times New Roman"/>
          <w:i/>
          <w:iCs/>
          <w:sz w:val="24"/>
          <w:szCs w:val="24"/>
          <w:lang w:eastAsia="en-ID"/>
        </w:rPr>
        <w:t>c</w:t>
      </w:r>
      <w:r w:rsidRPr="003A1F74">
        <w:rPr>
          <w:rFonts w:ascii="Times New Roman" w:eastAsia="Times New Roman" w:hAnsi="Times New Roman" w:cs="Times New Roman"/>
          <w:sz w:val="24"/>
          <w:szCs w:val="24"/>
          <w:lang w:eastAsia="en-ID"/>
        </w:rPr>
        <w:t xml:space="preserve"> release, and PARP cleavage, ultimately promoting apoptotic cell death in malignant cells</w:t>
      </w:r>
      <w:r w:rsidR="00FB63C4">
        <w:rPr>
          <w:rFonts w:ascii="Times New Roman" w:eastAsia="Times New Roman" w:hAnsi="Times New Roman" w:cs="Times New Roman"/>
          <w:sz w:val="24"/>
          <w:szCs w:val="24"/>
          <w:lang w:eastAsia="en-ID"/>
        </w:rPr>
        <w:t xml:space="preserve"> </w:t>
      </w:r>
      <w:r w:rsidR="00FB63C4">
        <w:rPr>
          <w:rFonts w:ascii="Times New Roman" w:eastAsia="Times New Roman" w:hAnsi="Times New Roman" w:cs="Times New Roman"/>
          <w:sz w:val="24"/>
          <w:szCs w:val="24"/>
          <w:lang w:eastAsia="en-ID"/>
        </w:rPr>
        <w:fldChar w:fldCharType="begin" w:fldLock="1"/>
      </w:r>
      <w:r w:rsidR="00C73D06">
        <w:rPr>
          <w:rFonts w:ascii="Times New Roman" w:eastAsia="Times New Roman" w:hAnsi="Times New Roman" w:cs="Times New Roman"/>
          <w:sz w:val="24"/>
          <w:szCs w:val="24"/>
          <w:lang w:eastAsia="en-ID"/>
        </w:rPr>
        <w:instrText>ADDIN CSL_CITATION {"citationItems":[{"id":"ITEM-1","itemData":{"DOI":"10.1016/j.biopha.2023.116034","ISSN":"19506007","PMID":"38141282","abstract":"The curry powder spices turmeric (Curcuma longa L.), which contains curcumin (diferuloylmethane), an orange-yellow chemical. Polyphenols are the most commonly used sources of curcumin. It combats oxidative stress and inflammation in diseases, such as hyperlipidemia, metabolic syndrome, arthritis, and depression. Most of these benefits are due to their anti-inflammatory and antioxidant properties. Curcumin consumption leads to decreased bioavailability, resulting in limited absorption, quick metabolism, and quick excretion, which hinders health improvement. Numerous factors can increase its bioavailability. Piperine enhances bioavailability when combined with curcumin in a complex. When combined with other enhancing agents, curcumin has a wide spectrum of health benefits. This review evaluates the therapeutic potential of curcumin with a specific emphasis on its approach based on molecular signaling pathways. This study investigated its influence on the progression of cancer, inflammation, and many health-related mechanisms, such as cell proliferation, apoptosis, and metastasis. Curcumin has a significant potential for the prevention and treatment of various diseases. Curcumin modulates several biochemical pathways and targets involved in cancer growth. Despite its limited tissue accumulation and bioavailability when administered orally, curcumin has proven useful. This review provides an in-depth analysis of curcumin's therapeutic applications, its molecular signaling pathway-based approach, and its potential for precision medicine in cancer and human health.","author":[{"dropping-particle":"","family":"Islam","given":"Md Rezaul","non-dropping-particle":"","parse-names":false,"suffix":""},{"dropping-particle":"","family":"Rauf","given":"Abdur","non-dropping-particle":"","parse-names":false,"suffix":""},{"dropping-particle":"","family":"Akash","given":"Shopnil","non-dropping-particle":"","parse-names":false,"suffix":""},{"dropping-particle":"","family":"Trisha","given":"Sadiya Islam","non-dropping-particle":"","parse-names":false,"suffix":""},{"dropping-particle":"","family":"Nasim","given":"Akram Hossain","non-dropping-particle":"","parse-names":false,"suffix":""},{"dropping-particle":"","family":"Akter","given":"Muniya","non-dropping-particle":"","parse-names":false,"suffix":""},{"dropping-particle":"","family":"Dhar","given":"Puja Sutro","non-dropping-particle":"","parse-names":false,"suffix":""},{"dropping-particle":"","family":"Ogaly","given":"Hanan A.","non-dropping-particle":"","parse-names":false,"suffix":""},{"dropping-particle":"","family":"Hemeg","given":"Hassan A.","non-dropping-particle":"","parse-names":false,"suffix":""},{"dropping-particle":"","family":"Wilairatana","given":"Polrat","non-dropping-particle":"","parse-names":false,"suffix":""},{"dropping-particle":"","family":"Thiruvengadam","given":"Muthu","non-dropping-particle":"","parse-names":false,"suffix":""}],"container-title":"Biomedicine and Pharmacotherapy","id":"ITEM-1","issued":{"date-parts":[["2024"]]},"page":"116034","publisher":"Elsevier Masson SAS","title":"Targeted therapies of curcumin focus on its therapeutic benefits in cancers and human health: Molecular signaling pathway-based approaches and future perspectives","type":"article-journal","volume":"170"},"uris":["http://www.mendeley.com/documents/?uuid=0a21934b-4335-43a4-acfe-028a50c64dd1"]},{"id":"ITEM-2","itemData":{"DOI":"10.14499/indonesianjcanchemoprev11iss2pp67-74","author":[{"dropping-particle":"","family":"Rahmah","given":"Nunung Ainur","non-dropping-particle":"","parse-names":false,"suffix":""},{"dropping-particle":"","family":"Harliansyah","given":"","non-dropping-particle":"","parse-names":false,"suffix":""},{"dropping-particle":"","family":"Suyatna","given":"Fransiscus D.","non-dropping-particle":"","parse-names":false,"suffix":""},{"dropping-particle":"","family":"Kanoko","given":"Mpu","non-dropping-particle":"","parse-names":false,"suffix":""},{"dropping-particle":"","family":"Rustamadji","given":"Primariadewi","non-dropping-particle":"","parse-names":false,"suffix":""},{"dropping-particle":"","family":"Prihartono","given":"Joedo","non-dropping-particle":"","parse-names":false,"suffix":""},{"dropping-particle":"","family":"Haryono","given":"Samuel Johny","non-dropping-particle":"","parse-names":false,"suffix":""},{"dropping-particle":"","family":"Hernowo","given":"Bethy Suryawati","non-dropping-particle":"","parse-names":false,"suffix":""}],"container-title":"Indonesian Journal of Cancer Chemoprevention","id":"ITEM-2","issue":"2","issued":{"date-parts":[["2020"]]},"page":"67-74","title":"The Role of curcumin on apoptosis through The RASSF1A and Bax pathways in breast cancer","type":"article-journal","volume":"11"},"uris":["http://www.mendeley.com/documents/?uuid=d9436697-137e-4c22-bfdc-b754b83452e6"]},{"id":"ITEM-3","itemData":{"DOI":"10.3390/ijms20051033","ISSN":"14220067","abstract":"Cancer is the second leading cause of death in the world and one of the major public health problems. Despite the great advances in cancer therapy, the incidence and mortality rates of cancer remain high. Therefore, the quest for more efficient and less toxic cancer treatment strategies is still at the forefront of current research. Curcumin, the active ingredient of the Curcuma longa plant, has received great attention over the past two decades as an antioxidant, anti-inflammatory, and anticancer agent. In this review, a summary of the medicinal chemistry and pharmacology of curcumin and its derivatives in regard to anticancer activity, their main mechanisms of action, and cellular targets has been provided based on the literature data from the experimental and clinical evaluation of curcumin in cancer cell lines, animal models, and human subjects. In addition, the recent advances in the drug delivery systems for curcumin delivery to cancer cells have been highlighted.","author":[{"dropping-particle":"","family":"Tomeh","given":"Mhd Anas","non-dropping-particle":"","parse-names":false,"suffix":""},{"dropping-particle":"","family":"Hadianamrei","given":"Roja","non-dropping-particle":"","parse-names":false,"suffix":""},{"dropping-particle":"","family":"Zhao","given":"Xiubo","non-dropping-particle":"","parse-names":false,"suffix":""}],"container-title":"International Journal of Molecular Sciences","id":"ITEM-3","issue":"5","issued":{"date-parts":[["2019"]]},"title":"A review of curcumin and its derivatives as anticancer agents","type":"article-journal","volume":"20"},"uris":["http://www.mendeley.com/documents/?uuid=9dd327a5-8ffb-470c-8488-d2d31142acba"]}],"mendeley":{"formattedCitation":"(15–17)","plainTextFormattedCitation":"(15–17)","previouslyFormattedCitation":"(15–17)"},"properties":{"noteIndex":0},"schema":"https://github.com/citation-style-language/schema/raw/master/csl-citation.json"}</w:instrText>
      </w:r>
      <w:r w:rsidR="00FB63C4">
        <w:rPr>
          <w:rFonts w:ascii="Times New Roman" w:eastAsia="Times New Roman" w:hAnsi="Times New Roman" w:cs="Times New Roman"/>
          <w:sz w:val="24"/>
          <w:szCs w:val="24"/>
          <w:lang w:eastAsia="en-ID"/>
        </w:rPr>
        <w:fldChar w:fldCharType="separate"/>
      </w:r>
      <w:r w:rsidR="00FB63C4" w:rsidRPr="00FB63C4">
        <w:rPr>
          <w:rFonts w:ascii="Times New Roman" w:eastAsia="Times New Roman" w:hAnsi="Times New Roman" w:cs="Times New Roman"/>
          <w:noProof/>
          <w:sz w:val="24"/>
          <w:szCs w:val="24"/>
          <w:lang w:eastAsia="en-ID"/>
        </w:rPr>
        <w:t>(15–17)</w:t>
      </w:r>
      <w:r w:rsidR="00FB63C4">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In addition to its pro-apoptotic effects, curcumin exhibits anti-inflammatory and antioxidant activities that further contribute to its therapeutic potential in oncology</w:t>
      </w:r>
      <w:r w:rsidR="00C73D06">
        <w:rPr>
          <w:rFonts w:ascii="Times New Roman" w:eastAsia="Times New Roman" w:hAnsi="Times New Roman" w:cs="Times New Roman"/>
          <w:sz w:val="24"/>
          <w:szCs w:val="24"/>
          <w:lang w:eastAsia="en-ID"/>
        </w:rPr>
        <w:t xml:space="preserve">  </w:t>
      </w:r>
      <w:r w:rsidR="00C73D06">
        <w:rPr>
          <w:rFonts w:ascii="Times New Roman" w:eastAsia="Times New Roman" w:hAnsi="Times New Roman" w:cs="Times New Roman"/>
          <w:sz w:val="24"/>
          <w:szCs w:val="24"/>
          <w:lang w:eastAsia="en-ID"/>
        </w:rPr>
        <w:fldChar w:fldCharType="begin" w:fldLock="1"/>
      </w:r>
      <w:r w:rsidR="00F045EA">
        <w:rPr>
          <w:rFonts w:ascii="Times New Roman" w:eastAsia="Times New Roman" w:hAnsi="Times New Roman" w:cs="Times New Roman"/>
          <w:sz w:val="24"/>
          <w:szCs w:val="24"/>
          <w:lang w:eastAsia="en-ID"/>
        </w:rPr>
        <w:instrText>ADDIN CSL_CITATION {"citationItems":[{"id":"ITEM-1","itemData":{"DOI":"10.1016/j.biopha.2021.111888","ISSN":"19506007","PMID":"34237598","abstract":"Curcumin, isolated from Curcuma longa L., is a fat-soluble natural compound that can be obtained from ginger plant tuber roots, which accumulative evidences have demonstrated that it can resist viral and microbial infection and has anti-tumor, reduction of blood lipid and blood glucose, antioxidant and removal of free radicals, and is active against numerous disorders various chronic diseases including cardiovascular, pulmonary, neurological and autoimmune diseases. In this article is highlighted the recent evidence of curcuminoids applied in sevral aspects of medical problem particular in COVID-19 pandemics. We have searched several literature databases including MEDLINE (PubMed), EMBASE, the Web of Science, Cochrane Library, Google Scholar, and the ClinicalTrials.gov website via using curcumin and medicinal properties as a keyword. All studies published from the time when the database was established to May 2021 was retrieved. This review article summarizes the growing confirmation for the mechanisms related to curcumin's physiological and pharmacological effects with related target proteins interaction via molecular docking. The purpose is to provide deeper insight and understandings of curcumin's medicinal value in the discovery and development of new drugs. Curcumin could be used in the prevention or therapy of cardiovascular disease, respiratory diseases, cancer, neurodegeneration, infection, and inflammation based on cellular biochemical, physiological regulation, infection suppression and immunomodulation.","author":[{"dropping-particle":"","family":"Fu","given":"Yaw Syan","non-dropping-particle":"","parse-names":false,"suffix":""},{"dropping-particle":"","family":"Chen","given":"Ting Hsu","non-dropping-particle":"","parse-names":false,"suffix":""},{"dropping-particle":"","family":"Weng","given":"Lebin","non-dropping-particle":"","parse-names":false,"suffix":""},{"dropping-particle":"","family":"Huang","given":"Liyue","non-dropping-particle":"","parse-names":false,"suffix":""},{"dropping-particle":"","family":"Lai","given":"Dong","non-dropping-particle":"","parse-names":false,"suffix":""},{"dropping-particle":"","family":"Weng","given":"Ching Feng","non-dropping-particle":"","parse-names":false,"suffix":""}],"container-title":"Biomedicine and Pharmacotherapy","id":"ITEM-1","issue":"July","issued":{"date-parts":[["2021"]]},"page":"111888","publisher":"Elsevier Masson SAS","title":"Pharmacological properties and underlying mechanisms of curcumin and prospects in medicinal potential","type":"article-journal","volume":"141"},"uris":["http://www.mendeley.com/documents/?uuid=8ec04ab7-debc-4966-a3c7-03893ac7860d"]}],"mendeley":{"formattedCitation":"(18)","plainTextFormattedCitation":"(18)","previouslyFormattedCitation":"(18)"},"properties":{"noteIndex":0},"schema":"https://github.com/citation-style-language/schema/raw/master/csl-citation.json"}</w:instrText>
      </w:r>
      <w:r w:rsidR="00C73D06">
        <w:rPr>
          <w:rFonts w:ascii="Times New Roman" w:eastAsia="Times New Roman" w:hAnsi="Times New Roman" w:cs="Times New Roman"/>
          <w:sz w:val="24"/>
          <w:szCs w:val="24"/>
          <w:lang w:eastAsia="en-ID"/>
        </w:rPr>
        <w:fldChar w:fldCharType="separate"/>
      </w:r>
      <w:r w:rsidR="00C73D06" w:rsidRPr="00C73D06">
        <w:rPr>
          <w:rFonts w:ascii="Times New Roman" w:eastAsia="Times New Roman" w:hAnsi="Times New Roman" w:cs="Times New Roman"/>
          <w:noProof/>
          <w:sz w:val="24"/>
          <w:szCs w:val="24"/>
          <w:lang w:eastAsia="en-ID"/>
        </w:rPr>
        <w:t>(18)</w:t>
      </w:r>
      <w:r w:rsidR="00C73D06">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w:t>
      </w:r>
    </w:p>
    <w:p w14:paraId="317EC025" w14:textId="6FF1B4FA" w:rsidR="003A1F74" w:rsidRPr="003A1F74" w:rsidRDefault="003A1F74" w:rsidP="00E60374">
      <w:pPr>
        <w:spacing w:after="0" w:line="240" w:lineRule="auto"/>
        <w:ind w:firstLine="720"/>
        <w:jc w:val="both"/>
        <w:rPr>
          <w:rFonts w:ascii="Times New Roman" w:eastAsia="Times New Roman" w:hAnsi="Times New Roman" w:cs="Times New Roman"/>
          <w:sz w:val="24"/>
          <w:szCs w:val="24"/>
          <w:lang w:eastAsia="en-ID"/>
        </w:rPr>
      </w:pPr>
      <w:r w:rsidRPr="003A1F74">
        <w:rPr>
          <w:rFonts w:ascii="Times New Roman" w:eastAsia="Times New Roman" w:hAnsi="Times New Roman" w:cs="Times New Roman"/>
          <w:sz w:val="24"/>
          <w:szCs w:val="24"/>
          <w:lang w:eastAsia="en-ID"/>
        </w:rPr>
        <w:t>Flow cytometry is a widely used and highly sensitive technique for the quantitative analysis of apoptosis, allowing precise detection of apoptotic markers such as activated caspase-3 through fluorescence-labeled antibodies or substrates</w:t>
      </w:r>
      <w:r w:rsidR="00C73D06">
        <w:rPr>
          <w:rFonts w:ascii="Times New Roman" w:eastAsia="Times New Roman" w:hAnsi="Times New Roman" w:cs="Times New Roman"/>
          <w:sz w:val="24"/>
          <w:szCs w:val="24"/>
          <w:lang w:eastAsia="en-ID"/>
        </w:rPr>
        <w:t xml:space="preserve"> </w:t>
      </w:r>
      <w:r w:rsidR="00F045EA">
        <w:rPr>
          <w:rFonts w:ascii="Times New Roman" w:eastAsia="Times New Roman" w:hAnsi="Times New Roman" w:cs="Times New Roman"/>
          <w:sz w:val="24"/>
          <w:szCs w:val="24"/>
          <w:lang w:eastAsia="en-ID"/>
        </w:rPr>
        <w:fldChar w:fldCharType="begin" w:fldLock="1"/>
      </w:r>
      <w:r w:rsidR="00210788">
        <w:rPr>
          <w:rFonts w:ascii="Times New Roman" w:eastAsia="Times New Roman" w:hAnsi="Times New Roman" w:cs="Times New Roman"/>
          <w:sz w:val="24"/>
          <w:szCs w:val="24"/>
          <w:lang w:eastAsia="en-ID"/>
        </w:rPr>
        <w:instrText>ADDIN CSL_CITATION {"citationItems":[{"id":"ITEM-1","itemData":{"DOI":"10.1007/978-94-017-0623-0_1","ISSN":"10731180","PMID":"9660728","abstract":"Flow cytometry is an innovative technology that measures certain cell parameters as the cells flow in a fluid stream and in single file past an analytical laser light source. Clinical applications of flow cytometry currently utilized in the laboratory include cell surface antigen determinations or immunophenotyping of hematologic cells, DNA analysis of hematopoietic malignancies and solid tumors, and measurement of CD4 (T helper/inducer cell) absolute counts and T helper/T suppressor (CD4/CD8) ratios in the evaluation of immune deficiency. Flow cytometry often offers a more rapid, sensitive, accurate, and quantitative means of analyzing a particular cell population in a heterogeneous cell suspension as compared to more traditional microscopic methods. This article is intended to provide a general understanding of the technological basis of how a flow cytometer functions as well as an overview of both current and future flow cytometric clinical laboratory applications.","author":[{"dropping-particle":"","family":"Villas","given":"B. H.","non-dropping-particle":"","parse-names":false,"suffix":""}],"container-title":"Cell vision : the journal of analytical morphology","id":"ITEM-1","issue":"1","issued":{"date-parts":[["1998"]]},"page":"56-61","title":"Flow cytometry: an overview.","type":"article-journal","volume":"5"},"uris":["http://www.mendeley.com/documents/?uuid=5bd27104-8e6a-4a0f-96a3-8fd0c37aa3eb"]},{"id":"ITEM-2","itemData":{"DOI":"10.1002/cpz1.951","ISSN":"26911299","PMID":"38112058","abstract":"Apoptosis is a mode of programmed cell death that plays important roles in tissue sculpting during development, in the maintenance of tissue homeostasis in the adult, and in the eradication of injured or infected cells during pathological processes. Numerous physiological as well as pathological stimuli trigger apoptosis, such as engagement of plasma-membrane-associated Fas, TRAIL, or TNF receptors, growth factor deprivation, hypoxia, radiation, and exposure to diverse cytotoxic drugs. Apoptosis is coordinated by members of the caspase family of cysteine proteases, which, upon activation, trigger a series of dramatic morphological and biochemical changes including retraction from the substratum, cell shrinkage, extensive and protracted plasma membrane blebbing, chromatin condensation, DNA hydrolysis, nuclear fragmentation, and proteolytic cleavage of numerous caspase substrates. These dramatic structural and biochemical alterations result not only in the controlled dismantling of the cell, but also in the rapid recognition and removal of apoptotic cells by phagocytes through the cell surface display of phagocytotic triggers such as phosphatidylserine. Necrosis, which is typically nonprogrammed or imposed upon the cell by overwhelming membrane or organelle damage, is characterized by high-amplitude cell swelling, followed by rapid plasma membrane rupture and release of cellular contents into the extracellular space. Necrosis is often provoked by infectious agents or severe departure from physiological conditions due to toxins, temperature extremes, or physical injury. However, forms of programmed necrosis (necroptosis, pyroptosis, ferroptosis) can also occur in specific circumstances. Nonprogrammed and programmed necrosis can be distinguished from apoptosis by morphological features, based on the rapid uptake of vital dyes, and through the application of specific inhibitors of key molecules associated with the latter modes of cell death. This unit describes protocols for the measurement of apoptosis and necrosis and for distinguishing apoptosis from programmed as well as conventional necrosis. © 2023 The Authors. Current Protocols published by Wiley Periodicals LLC. Basic Protocol 1: Analysis of cell morphology by phase-contrast microscopy. Alternative Protocol 1: Assessment of morphological changes using eosin-methylene blue staining. Alternative Protocol 2: Analysis of nuclear morphology by fluorescence microscopy. Support Protocol: Preparation of cyto…","author":[{"dropping-particle":"","family":"Costigan","given":"Aoife","non-dropping-particle":"","parse-names":false,"suffix":""},{"dropping-particle":"","family":"Hollville","given":"Emilie","non-dropping-particle":"","parse-names":false,"suffix":""},{"dropping-particle":"","family":"Martin","given":"Seamus J.","non-dropping-particle":"","parse-names":false,"suffix":""}],"container-title":"Current Protocols","id":"ITEM-2","issue":"12","issued":{"date-parts":[["2023"]]},"page":"1-31","title":"Discriminating Between Apoptosis, Necrosis, Necroptosis, and Ferroptosis by Microscopy and Flow Cytometry","type":"article-journal","volume":"3"},"uris":["http://www.mendeley.com/documents/?uuid=0d099844-9053-42ee-b19b-9ecad406c9a4"]}],"mendeley":{"formattedCitation":"(19,20)","plainTextFormattedCitation":"(19,20)","previouslyFormattedCitation":"(19,20)"},"properties":{"noteIndex":0},"schema":"https://github.com/citation-style-language/schema/raw/master/csl-citation.json"}</w:instrText>
      </w:r>
      <w:r w:rsidR="00F045EA">
        <w:rPr>
          <w:rFonts w:ascii="Times New Roman" w:eastAsia="Times New Roman" w:hAnsi="Times New Roman" w:cs="Times New Roman"/>
          <w:sz w:val="24"/>
          <w:szCs w:val="24"/>
          <w:lang w:eastAsia="en-ID"/>
        </w:rPr>
        <w:fldChar w:fldCharType="separate"/>
      </w:r>
      <w:r w:rsidR="00F045EA" w:rsidRPr="00F045EA">
        <w:rPr>
          <w:rFonts w:ascii="Times New Roman" w:eastAsia="Times New Roman" w:hAnsi="Times New Roman" w:cs="Times New Roman"/>
          <w:noProof/>
          <w:sz w:val="24"/>
          <w:szCs w:val="24"/>
          <w:lang w:eastAsia="en-ID"/>
        </w:rPr>
        <w:t>(19,20)</w:t>
      </w:r>
      <w:r w:rsidR="00F045EA">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xml:space="preserve">. This method enables objective and reproducible measurement of apoptotic responses following exposure to anticancer agents, including curcumin (25). In parallel, the dual staining method using acridine orange (AO) and ethidium bromide (EB) remains a practical and well-established approach for distinguishing viable, apoptotic, and necrotic cells based on membrane integrity and nuclear morphology </w:t>
      </w:r>
      <w:r w:rsidR="00210788">
        <w:rPr>
          <w:rFonts w:ascii="Times New Roman" w:eastAsia="Times New Roman" w:hAnsi="Times New Roman" w:cs="Times New Roman"/>
          <w:sz w:val="24"/>
          <w:szCs w:val="24"/>
          <w:lang w:eastAsia="en-ID"/>
        </w:rPr>
        <w:fldChar w:fldCharType="begin" w:fldLock="1"/>
      </w:r>
      <w:r w:rsidR="00584B84">
        <w:rPr>
          <w:rFonts w:ascii="Times New Roman" w:eastAsia="Times New Roman" w:hAnsi="Times New Roman" w:cs="Times New Roman"/>
          <w:sz w:val="24"/>
          <w:szCs w:val="24"/>
          <w:lang w:eastAsia="en-ID"/>
        </w:rPr>
        <w:instrText>ADDIN CSL_CITATION {"citationItems":[{"id":"ITEM-1","itemData":{"DOI":"10.12659/msmbr.893327","author":[{"dropping-particle":"","family":"Wu","given":"Xing","non-dropping-particle":"","parse-names":false,"suffix":""}],"container-title":"Medical Science Monitor Basic Research","id":"ITEM-1","issued":{"date-parts":[["2015"]]},"title":"Dual AO/EB Staining to Detect Apoptosis in Osteosarcoma Cells Compared With Flow Cytometry","type":"article-journal"},"uris":["http://www.mendeley.com/documents/?uuid=257aa71e-c19b-41ae-b136-c8ee3a84c211"]}],"mendeley":{"formattedCitation":"(21)","plainTextFormattedCitation":"(21)","previouslyFormattedCitation":"(21)"},"properties":{"noteIndex":0},"schema":"https://github.com/citation-style-language/schema/raw/master/csl-citation.json"}</w:instrText>
      </w:r>
      <w:r w:rsidR="00210788">
        <w:rPr>
          <w:rFonts w:ascii="Times New Roman" w:eastAsia="Times New Roman" w:hAnsi="Times New Roman" w:cs="Times New Roman"/>
          <w:sz w:val="24"/>
          <w:szCs w:val="24"/>
          <w:lang w:eastAsia="en-ID"/>
        </w:rPr>
        <w:fldChar w:fldCharType="separate"/>
      </w:r>
      <w:r w:rsidR="00210788" w:rsidRPr="00210788">
        <w:rPr>
          <w:rFonts w:ascii="Times New Roman" w:eastAsia="Times New Roman" w:hAnsi="Times New Roman" w:cs="Times New Roman"/>
          <w:noProof/>
          <w:sz w:val="24"/>
          <w:szCs w:val="24"/>
          <w:lang w:eastAsia="en-ID"/>
        </w:rPr>
        <w:t>(21)</w:t>
      </w:r>
      <w:r w:rsidR="00210788">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xml:space="preserve">. AO permeates both viable and non-viable cells, emitting green fluorescence when bound to DNA, whereas EB selectively enters cells with compromised membranes and emits orange to red fluorescence upon intercalation with nucleic acids </w:t>
      </w:r>
      <w:r w:rsidR="00584B84">
        <w:rPr>
          <w:rFonts w:ascii="Times New Roman" w:eastAsia="Times New Roman" w:hAnsi="Times New Roman" w:cs="Times New Roman"/>
          <w:sz w:val="24"/>
          <w:szCs w:val="24"/>
          <w:lang w:eastAsia="en-ID"/>
        </w:rPr>
        <w:fldChar w:fldCharType="begin" w:fldLock="1"/>
      </w:r>
      <w:r w:rsidR="00E60374">
        <w:rPr>
          <w:rFonts w:ascii="Times New Roman" w:eastAsia="Times New Roman" w:hAnsi="Times New Roman" w:cs="Times New Roman"/>
          <w:sz w:val="24"/>
          <w:szCs w:val="24"/>
          <w:lang w:eastAsia="en-ID"/>
        </w:rPr>
        <w:instrText>ADDIN CSL_CITATION {"citationItems":[{"id":"ITEM-1","itemData":{"DOI":"10.1038/s41420-025-02662-y","ISSN":"20587716","abstract":"Regulated cell death plays a central role in tissue homeostasis, disease progression, and therapeutic responses. However, tools to study these processes with high spatiotemporal resolution in physiologically relevant systems remain limited. Here, we present a fluorescent reporter cell system that enables real-time visualization of caspase-3/-7 activity via a DEVD-based biosensor, alongside a constitutive fluorescent marker for assessing successful transduction and cell presence. We generated stable cell lines expressing this reporter and adapted them to both 2D and 3D culture systems, including organoids. This platform allowed dynamic tracking of apoptotic events and viability loss at single-cell resolution. Using a proliferation dye, we also detected apoptosis-induced proliferation in neighboring cells. Furthermore, the system enabled simultaneous detection of immunogenic cell death via an endpoint measurement of surface calreticulin exposure by flow cytometry, supporting its application in studying immunogenic signaling. By measuring and integrating multiple cell death readouts by live-cell imaging, our system is well-suited for high-content screening and mechanistic dissection of different modes of cell death. When combined with complementary markers of pyroptosis and necroptosis, this platform may also be extended to investigate more complex, integrated forms of cell death.","author":[{"dropping-particle":"","family":"Selcen","given":"Selen","non-dropping-particle":"","parse-names":false,"suffix":""},{"dropping-particle":"","family":"Wieland","given":"Lena","non-dropping-particle":"","parse-names":false,"suffix":""},{"dropping-particle":"","family":"Oliveira","given":"Tiago","non-dropping-particle":"De","parse-names":false,"suffix":""},{"dropping-particle":"","family":"Ghadimi","given":"Michael","non-dropping-particle":"","parse-names":false,"suffix":""},{"dropping-particle":"","family":"Conradi","given":"Lena Christin","non-dropping-particle":"","parse-names":false,"suffix":""},{"dropping-particle":"","family":"Schneider","given":"Günter","non-dropping-particle":"","parse-names":false,"suffix":""},{"dropping-particle":"","family":"Witte","given":"Leonie","non-dropping-particle":"","parse-names":false,"suffix":""},{"dropping-particle":"","family":"Wirth","given":"Matthias","non-dropping-particle":"","parse-names":false,"suffix":""}],"container-title":"Cell Death Discovery","id":"ITEM-1","issue":"1","issued":{"date-parts":[["2025"]]},"publisher":"Springer US","title":"Integrated real-time imaging of executioner caspase dynamics, apoptosis-induced proliferation, and immunogenic cell death using a stable fluorescent reporter platform","type":"article-journal","volume":"11"},"uris":["http://www.mendeley.com/documents/?uuid=11a36c19-16ad-473d-8724-ecf46a3dc47d"]}],"mendeley":{"formattedCitation":"(22)","plainTextFormattedCitation":"(22)","previouslyFormattedCitation":"(22)"},"properties":{"noteIndex":0},"schema":"https://github.com/citation-style-language/schema/raw/master/csl-citation.json"}</w:instrText>
      </w:r>
      <w:r w:rsidR="00584B84">
        <w:rPr>
          <w:rFonts w:ascii="Times New Roman" w:eastAsia="Times New Roman" w:hAnsi="Times New Roman" w:cs="Times New Roman"/>
          <w:sz w:val="24"/>
          <w:szCs w:val="24"/>
          <w:lang w:eastAsia="en-ID"/>
        </w:rPr>
        <w:fldChar w:fldCharType="separate"/>
      </w:r>
      <w:r w:rsidR="00584B84" w:rsidRPr="00584B84">
        <w:rPr>
          <w:rFonts w:ascii="Times New Roman" w:eastAsia="Times New Roman" w:hAnsi="Times New Roman" w:cs="Times New Roman"/>
          <w:noProof/>
          <w:sz w:val="24"/>
          <w:szCs w:val="24"/>
          <w:lang w:eastAsia="en-ID"/>
        </w:rPr>
        <w:t>(22)</w:t>
      </w:r>
      <w:r w:rsidR="00584B84">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w:t>
      </w:r>
    </w:p>
    <w:p w14:paraId="669E1325" w14:textId="29643D9E" w:rsidR="003A1F74" w:rsidRPr="003A1F74" w:rsidRDefault="003A1F74" w:rsidP="00E60374">
      <w:pPr>
        <w:spacing w:after="0" w:line="240" w:lineRule="auto"/>
        <w:ind w:firstLine="720"/>
        <w:jc w:val="both"/>
        <w:rPr>
          <w:rFonts w:ascii="Times New Roman" w:eastAsia="Times New Roman" w:hAnsi="Times New Roman" w:cs="Times New Roman"/>
          <w:sz w:val="24"/>
          <w:szCs w:val="24"/>
          <w:lang w:eastAsia="en-ID"/>
        </w:rPr>
      </w:pPr>
      <w:r w:rsidRPr="003A1F74">
        <w:rPr>
          <w:rFonts w:ascii="Times New Roman" w:eastAsia="Times New Roman" w:hAnsi="Times New Roman" w:cs="Times New Roman"/>
          <w:sz w:val="24"/>
          <w:szCs w:val="24"/>
          <w:lang w:eastAsia="en-ID"/>
        </w:rPr>
        <w:t>Using AO/EB staining, cells can be morphologically classified into distinct states: viable cells exhibiting uniform green nuclei, early apoptotic cells showing condensed or fragmented green nuclei, late apoptotic cells displaying orange or red fragmented nuclei, and necrotic cells characterized by uniformly orange or red nuclei</w:t>
      </w:r>
      <w:r w:rsidR="00584B84">
        <w:rPr>
          <w:rFonts w:ascii="Times New Roman" w:eastAsia="Times New Roman" w:hAnsi="Times New Roman" w:cs="Times New Roman"/>
          <w:sz w:val="24"/>
          <w:szCs w:val="24"/>
          <w:lang w:eastAsia="en-ID"/>
        </w:rPr>
        <w:t xml:space="preserve"> </w:t>
      </w:r>
      <w:r w:rsidR="00E60374">
        <w:rPr>
          <w:rFonts w:ascii="Times New Roman" w:eastAsia="Times New Roman" w:hAnsi="Times New Roman" w:cs="Times New Roman"/>
          <w:sz w:val="24"/>
          <w:szCs w:val="24"/>
          <w:lang w:eastAsia="en-ID"/>
        </w:rPr>
        <w:fldChar w:fldCharType="begin" w:fldLock="1"/>
      </w:r>
      <w:r w:rsidR="00E60374">
        <w:rPr>
          <w:rFonts w:ascii="Times New Roman" w:eastAsia="Times New Roman" w:hAnsi="Times New Roman" w:cs="Times New Roman"/>
          <w:sz w:val="24"/>
          <w:szCs w:val="24"/>
          <w:lang w:eastAsia="en-ID"/>
        </w:rPr>
        <w:instrText>ADDIN CSL_CITATION {"citationItems":[{"id":"ITEM-1","itemData":{"DOI":"10.1177/0192623315625859","ISSN":"15331601","PMID":"26879688","abstract":"Historically, there has been confusion relating to the diagnostic nomenclature for individual cell death. Toxicologic pathologists have generally used the terms \"single cell necrosis\" and \"apoptosis\" interchangeably. Increased research on the mechanisms of cell death in recent years has led to the understanding that apoptosis and necrosis involve different cellular pathways and that these differences can have important implications when considering overall mechanisms of toxicity, and, for these reasons, the separate terms of apoptosis and necrosis should be used whenever differentiation is possible. However, it is also recognized that differentiation of the precise pathway of cell death may not be important, necessary, or possible in routine toxicity studies and so a more general term to indicate cell death is warranted in these situations. Morphological distinction between these two forms of cell death can sometimes be straightforward but can also be challenging. This article provides a brief discussion of the cellular mechanisms and morphological features of apoptosis and necrosis as well as guidance on when the pathologist should use these terms. It provides recommended nomenclature along with diagnostic criteria (in hematoxylin and eosin [H&amp;E]-stained sections) for the most common forms of cell death (apoptosis and necrosis). This document is intended to serve as current guidance for the nomenclature of cell death for the International Harmonization of Nomenclature and Diagnostic Criteria Organ Working Groups and the toxicologic pathology community at large. The specific recommendations are: Use necrosis and apoptosis as separate diagnostic terms. Use modifiers to denote the distribution of necrosis (e.g., necrosis, single cell; necrosis, focal; necrosis, diffuse; etc.). Use the combined term apoptosis/single cell necrosis when There is no requirement or need to split the processes, or When the nature of cell death cannot be determined with certainty, or When both processes are present together. The diagnosis should be based primarily on the morphological features in H&amp;E-stained sections. When needed, additional, special techniques to identify and characterize apoptosis can also be used.","author":[{"dropping-particle":"","family":"Elmore","given":"Susan A.","non-dropping-particle":"","parse-names":false,"suffix":""},{"dropping-particle":"","family":"Dixon","given":"Darlene","non-dropping-particle":"","parse-names":false,"suffix":""},{"dropping-particle":"","family":"Hailey","given":"James R.","non-dropping-particle":"","parse-names":false,"suffix":""},{"dropping-particle":"","family":"Harada","given":"Takanori","non-dropping-particle":"","parse-names":false,"suffix":""},{"dropping-particle":"","family":"Herbert","given":"Ronald A.","non-dropping-particle":"","parse-names":false,"suffix":""},{"dropping-particle":"","family":"Maronpot","given":"Robert R.","non-dropping-particle":"","parse-names":false,"suffix":""},{"dropping-particle":"","family":"Nolte","given":"Thomas","non-dropping-particle":"","parse-names":false,"suffix":""},{"dropping-particle":"","family":"Rehg","given":"Jerold E.","non-dropping-particle":"","parse-names":false,"suffix":""},{"dropping-particle":"","family":"Rittinghausen","given":"Susanne","non-dropping-particle":"","parse-names":false,"suffix":""},{"dropping-particle":"","family":"Rosol","given":"Thomas J.","non-dropping-particle":"","parse-names":false,"suffix":""},{"dropping-particle":"","family":"Satoh","given":"Hiroshi","non-dropping-particle":"","parse-names":false,"suffix":""},{"dropping-particle":"","family":"Vidal","given":"Justin D.","non-dropping-particle":"","parse-names":false,"suffix":""},{"dropping-particle":"","family":"Willard-Mack","given":"Cynthia L.","non-dropping-particle":"","parse-names":false,"suffix":""},{"dropping-particle":"","family":"Creasy","given":"Dianne M.","non-dropping-particle":"","parse-names":false,"suffix":""}],"container-title":"Toxicologic Pathology","id":"ITEM-1","issue":"2","issued":{"date-parts":[["2016"]]},"page":"173-188","title":"Recommendations from the INHAND Apoptosis/Necrosis Working Group","type":"article-journal","volume":"44"},"uris":["http://www.mendeley.com/documents/?uuid=3053abd5-f6a8-4cdb-a778-c04805c026df"]},{"id":"ITEM-2","itemData":{"DOI":"10.1038/s41418-017-0012-4","ISSN":"14765403","PMID":"29362479","abstract":"Over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author":[{"dropping-particle":"","family":"Galluzzi","given":"Lorenzo","non-dropping-particle":"","parse-names":false,"suffix":""},{"dropping-particle":"","family":"Vitale","given":"Ilio","non-dropping-particle":"","parse-names":false,"suffix":""},{"dropping-particle":"","family":"Aaronson","given":"Stuart A.","non-dropping-particle":"","parse-names":false,"suffix":""},{"dropping-particle":"","family":"Abrams","given":"John M.","non-dropping-particle":"","parse-names":false,"suffix":""},{"dropping-particle":"","family":"Adam","given":"Dieter","non-dropping-particle":"","parse-names":false,"suffix":""},{"dropping-particle":"","family":"Agostinis","given":"Patrizia","non-dropping-particle":"","parse-names":false,"suffix":""},{"dropping-particle":"","family":"Alnemri","given":"Emad S.","non-dropping-particle":"","parse-names":false,"suffix":""},{"dropping-particle":"","family":"Altucci","given":"Lucia","non-dropping-particle":"","parse-names":false,"suffix":""},{"dropping-particle":"","family":"Amelio","given":"Ivano","non-dropping-particle":"","parse-names":false,"suffix":""},{"dropping-particle":"","family":"Andrews","given":"David W.","non-dropping-particle":"","parse-names":false,"suffix":""},{"dropping-particle":"","family":"Annicchiarico-Petruzzelli","given":"Margherita","non-dropping-particle":"","parse-names":false,"suffix":""},{"dropping-particle":"V.","family":"Antonov","given":"Alexey","non-dropping-particle":"","parse-names":false,"suffix":""},{"dropping-particle":"","family":"Arama","given":"Eli","non-dropping-particle":"","parse-names":false,"suffix":""},{"dropping-particle":"","family":"Baehrecke","given":"Eric H.","non-dropping-particle":"","parse-names":false,"suffix":""},{"dropping-particle":"","family":"Barlev","given":"Nickolai A.","non-dropping-particle":"","parse-names":false,"suffix":""},{"dropping-particle":"","family":"Bazan","given":"Nicolas G.","non-dropping-particle":"","parse-names":false,"suffix":""},{"dropping-particle":"","family":"Bernassola","given":"Francesca","non-dropping-particle":"","parse-names":false,"suffix":""},{"dropping-particle":"","family":"Bertrand","given":"Mathieu J.M.","non-dropping-particle":"","parse-names":false,"suffix":""},{"dropping-particle":"","family":"Bianchi","given":"Katiuscia","non-dropping-particle":"","parse-names":false,"suffix":""},{"dropping-particle":"V.","family":"Blagosklonny","given":"Mikhail","non-dropping-particle":"","parse-names":false,"suffix":""},{"dropping-particle":"","family":"Blomgren","given":"Klas","non-dropping-particle":"","parse-names":false,"suffix":""},{"dropping-particle":"","family":"Borner","given":"Christoph","non-dropping-particle":"","parse-names":false,"suffix":""},{"dropping-particle":"","family":"Boya","given":"Patricia","non-dropping-particle":"","parse-names":false,"suffix":""},{"dropping-particle":"","family":"Brenner","given":"Catherine","non-dropping-particle":"","parse-names":false,"suffix":""},{"dropping-particle":"","family":"Campanella","given":"Michelangelo","non-dropping-particle":"","parse-names":false,"suffix":""},{"dropping-particle":"","family":"Candi","given":"Eleonora","non-dropping-particle":"","parse-names":false,"suffix":""},{"dropping-particle":"","family":"Carmona-Gutierrez","given":"Didac","non-dropping-particle":"","parse-names":false,"suffix":""},{"dropping-particle":"","family":"Cecconi","given":"Francesco","non-dropping-particle":"","parse-names":false,"suffix":""},{"dropping-particle":"","family":"Chan","given":"Francis K.M.","non-dropping-particle":"","parse-names":false,"suffix":""},{"dropping-particle":"","family":"Chandel","given":"Navdeep S.","non-dropping-particle":"","parse-names":false,"suffix":""},{"dropping-particle":"","family":"Cheng","given":"Emily H.","non-dropping-particle":"","parse-names":false,"suffix":""},{"dropping-particle":"","family":"Chipuk","given":"Jerry E.","non-dropping-particle":"","parse-names":false,"suffix":""},{"dropping-particle":"","family":"Cidlowski","given":"John A.","non-dropping-particle":"","parse-names":false,"suffix":""},{"dropping-particle":"","family":"Ciechanover","given":"Aaron","non-dropping-particle":"","parse-names":false,"suffix":""},{"dropping-particle":"","family":"Cohen","given":"Gerald M.","non-dropping-particle":"","parse-names":false,"suffix":""},{"dropping-particle":"","family":"Conrad","given":"Marcus","non-dropping-particle":"","parse-names":false,"suffix":""},{"dropping-particle":"","family":"Cubillos-Ruiz","given":"Juan R.","non-dropping-particle":"","parse-names":false,"suffix":""},{"dropping-particle":"","family":"Czabotar","given":"Peter E.","non-dropping-particle":"","parse-names":false,"suffix":""},{"dropping-particle":"","family":"D'Angiolella","given":"Vincenzo","non-dropping-particle":"","parse-names":false,"suffix":""},{"dropping-particle":"","family":"Dawson","given":"Ted M.","non-dropping-particle":"","parse-names":false,"suffix":""},{"dropping-particle":"","family":"Dawson","given":"Valina L.","non-dropping-particle":"","parse-names":false,"suffix":""},{"dropping-particle":"","family":"Laurenzi","given":"Vincenzo","non-dropping-particle":"De","parse-names":false,"suffix":""},{"dropping-particle":"","family":"Maria","given":"Ruggero","non-dropping-particle":"De","parse-names":false,"suffix":""},{"dropping-particle":"","family":"Debatin","given":"Klaus Michael","non-dropping-particle":"","parse-names":false,"suffix":""},{"dropping-particle":"","family":"Deberardinis","given":"Ralph J.","non-dropping-particle":"","parse-names":false,"suffix":""},{"dropping-particle":"","family":"Deshmukh","given":"Mohanish","non-dropping-particle":"","parse-names":false,"suffix":""},{"dropping-particle":"","family":"Daniele","given":"Nicola","non-dropping-particle":"Di","parse-names":false,"suffix":""},{"dropping-particle":"","family":"Virgilio","given":"Francesco","non-dropping-particle":"Di","parse-names":false,"suffix":""},{"dropping-particle":"","family":"Dixit","given":"Vishva M.","non-dropping-particle":"","parse-names":false,"suffix":""},{"dropping-particle":"","family":"Dixon","given":"Scott J.","non-dropping-particle":"","parse-names":false,"suffix":""},{"dropping-particle":"","family":"Duckett","given":"Colin S.","non-dropping-particle":"","parse-names":false,"suffix":""},{"dropping-particle":"","family":"Dynlacht","given":"Brian D.","non-dropping-particle":"","parse-names":false,"suffix":""},{"dropping-particle":"","family":"El-Deiry","given":"Wafik S.","non-dropping-particle":"","parse-names":false,"suffix":""},{"dropping-particle":"","family":"Elrod","given":"John W.","non-dropping-particle":"","parse-names":false,"suffix":""},{"dropping-particle":"","family":"Fimia","given":"Gian Maria","non-dropping-particle":"","parse-names":false,"suffix":""},{"dropping-particle":"","family":"Fulda","given":"Simone","non-dropping-particle":"","parse-names":false,"suffix":""},{"dropping-particle":"","family":"García-Sáez","given":"Ana J.","non-dropping-particle":"","parse-names":false,"suffix":""},{"dropping-particle":"","family":"Garg","given":"Abhishek D.","non-dropping-particle":"","parse-names":false,"suffix":""},{"dropping-particle":"","family":"Garrido","given":"Carmen","non-dropping-particle":"","parse-names":false,"suffix":""},{"dropping-particle":"","family":"Gavathiotis","given":"Evripidis","non-dropping-particle":"","parse-names":false,"suffix":""},{"dropping-particle":"","family":"Golstein","given":"Pierre","non-dropping-particle":"","parse-names":false,"suffix":""},{"dropping-particle":"","family":"Gottlieb","given":"Eyal","non-dropping-particle":"","parse-names":false,"suffix":""},{"dropping-particle":"","family":"Green","given":"Douglas R.","non-dropping-particle":"","parse-names":false,"suffix":""},{"dropping-particle":"","family":"Greene","given":"Lloyd A.","non-dropping-particle":"","parse-names":false,"suffix":""},{"dropping-particle":"","family":"Gronemeyer","given":"Hinrich","non-dropping-particle":"","parse-names":false,"suffix":""},{"dropping-particle":"","family":"Gross","given":"Atan","non-dropping-particle":"","parse-names":false,"suffix":""},{"dropping-particle":"","family":"Hajnoczky","given":"Gyorgy","non-dropping-particle":"","parse-names":false,"suffix":""},{"dropping-particle":"","family":"Hardwick","given":"J. Marie","non-dropping-particle":"","parse-names":false,"suffix":""},{"dropping-particle":"","family":"Harris","given":"Isaac S.","non-dropping-particle":"","parse-names":false,"suffix":""},{"dropping-particle":"","family":"Hengartner","given":"Michael O.","non-dropping-particle":"","parse-names":false,"suffix":""},{"dropping-particle":"","family":"Hetz","given":"Claudio","non-dropping-particle":"","parse-names":false,"suffix":""},{"dropping-particle":"","family":"Ichijo","given":"Hidenori","non-dropping-particle":"","parse-names":false,"suffix":""},{"dropping-particle":"","family":"Jäättelä","given":"Marja","non-dropping-particle":"","parse-names":false,"suffix":""},{"dropping-particle":"","family":"Joseph","given":"Bertrand","non-dropping-particle":"","parse-names":false,"suffix":""},{"dropping-particle":"","family":"Jost","given":"Philipp J.","non-dropping-particle":"","parse-names":false,"suffix":""},{"dropping-particle":"","family":"Juin","given":"Philippe P.","non-dropping-particle":"","parse-names":false,"suffix":""},{"dropping-particle":"","family":"Kaiser","given":"William J.","non-dropping-particle":"","parse-names":false,"suffix":""},{"dropping-particle":"","family":"Karin","given":"Michael","non-dropping-particle":"","parse-names":false,"suffix":""},{"dropping-particle":"","family":"Kaufmann","given":"Thomas","non-dropping-particle":"","parse-names":false,"suffix":""},{"dropping-particle":"","family":"Kepp","given":"Oliver","non-dropping-particle":"","parse-names":false,"suffix":""},{"dropping-particle":"","family":"Kimchi","given":"Adi","non-dropping-particle":"","parse-names":false,"suffix":""},{"dropping-particle":"","family":"Kitsis","given":"Richard N.","non-dropping-particle":"","parse-names":false,"suffix":""},{"dropping-particle":"","family":"Klionsky","given":"Daniel J.","non-dropping-particle":"","parse-names":false,"suffix":""},{"dropping-particle":"","family":"Knight","given":"Richard A.","non-dropping-particle":"","parse-names":false,"suffix":""},{"dropping-particle":"","family":"Kumar","given":"Sharad","non-dropping-particle":"","parse-names":false,"suffix":""},{"dropping-particle":"","family":"Lee","given":"Sam W.","non-dropping-particle":"","parse-names":false,"suffix":""},{"dropping-particle":"","family":"Lemasters","given":"John J.","non-dropping-particle":"","parse-names":false,"suffix":""},{"dropping-particle":"","family":"Levine","given":"Beth","non-dropping-particle":"","parse-names":false,"suffix":""},{"dropping-particle":"","family":"Linkermann","given":"Andreas","non-dropping-particle":"","parse-names":false,"suffix":""},{"dropping-particle":"","family":"Lipton","given":"Stuart A.","non-dropping-particle":"","parse-names":false,"suffix":""},{"dropping-particle":"","family":"Lockshin","given":"Richard A.","non-dropping-particle":"","parse-names":false,"suffix":""},{"dropping-particle":"","family":"López-Otín","given":"Carlos","non-dropping-particle":"","parse-names":false,"suffix":""},{"dropping-particle":"","family":"Lowe","given":"Scott W.","non-dropping-particle":"","parse-names":false,"suffix":""},{"dropping-particle":"","family":"Luedde","given":"Tom","non-dropping-particle":"","parse-names":false,"suffix":""},{"dropping-particle":"","family":"Lugli","given":"Enrico","non-dropping-particle":"","parse-names":false,"suffix":""},{"dropping-particle":"","family":"MacFarlane","given":"Marion","non-dropping-particle":"","parse-names":false,"suffix":""},{"dropping-particle":"","family":"Madeo","given":"Frank","non-dropping-particle":"","parse-names":false,"suffix":""},{"dropping-particle":"","family":"Malewicz","given":"Michal","non-dropping-particle":"","parse-names":false,"suffix":""},{"dropping-particle":"","family":"Malorni","given":"Walter","non-dropping-particle":"","parse-names":false,"suffix":""},{"dropping-particle":"","family":"Manic","given":"Gwenola","non-dropping-particle":"","parse-names":false,"suffix":""},{"dropping-particle":"","family":"Marine","given":"Jean Christophe","non-dropping-particle":"","parse-names":false,"suffix":""},{"dropping-particle":"","family":"Martin","given":"Seamus J.","non-dropping-particle":"","parse-names":false,"suffix":""},{"dropping-particle":"","family":"Martinou","given":"Jean Claude","non-dropping-particle":"","parse-names":false,"suffix":""},{"dropping-particle":"","family":"Medema","given":"Jan Paul","non-dropping-particle":"","parse-names":false,"suffix":""},{"dropping-particle":"","family":"Mehlen","given":"Patrick","non-dropping-particle":"","parse-names":false,"suffix":""},{"dropping-particle":"","family":"Meier","given":"Pascal","non-dropping-particle":"","parse-names":false,"suffix":""},{"dropping-particle":"","family":"Melino","given":"Sonia","non-dropping-particle":"","parse-names":false,"suffix":""},{"dropping-particle":"","family":"Miao","given":"Edward A.","non-dropping-particle":"","parse-names":false,"suffix":""},{"dropping-particle":"","family":"Molkentin","given":"Jeffery D.","non-dropping-particle":"","parse-names":false,"suffix":""},{"dropping-particle":"","family":"Moll","given":"Ute M.","non-dropping-particle":"","parse-names":false,"suffix":""},{"dropping-particle":"","family":"Muñoz-Pinedo","given":"Cristina","non-dropping-particle":"","parse-names":false,"suffix":""},{"dropping-particle":"","family":"Nagata","given":"Shigekazu","non-dropping-particle":"","parse-names":false,"suffix":""},{"dropping-particle":"","family":"Nuñez","given":"Gabriel","non-dropping-particle":"","parse-names":false,"suffix":""},{"dropping-particle":"","family":"Oberst","given":"Andrew","non-dropping-particle":"","parse-names":false,"suffix":""},{"dropping-particle":"","family":"Oren","given":"Moshe","non-dropping-particle":"","parse-names":false,"suffix":""},{"dropping-particle":"","family":"Overholtzer","given":"Michael","non-dropping-particle":"","parse-names":false,"suffix":""},{"dropping-particle":"","family":"Pagano","given":"Michele","non-dropping-particle":"","parse-names":false,"suffix":""},{"dropping-particle":"","family":"Panaretakis","given":"Theocharis","non-dropping-particle":"","parse-names":false,"suffix":""},{"dropping-particle":"","family":"Pasparakis","given":"Manolis","non-dropping-particle":"","parse-names":false,"suffix":""},{"dropping-particle":"","family":"Penninger","given":"Josef M.","non-dropping-particle":"","parse-names":false,"suffix":""},{"dropping-particle":"","family":"Pereira","given":"David M.","non-dropping-particle":"","parse-names":false,"suffix":""},{"dropping-particle":"","family":"Pervaiz","given":"Shazib","non-dropping-particle":"","parse-names":false,"suffix":""},{"dropping-particle":"","family":"Peter","given":"Marcus E.","non-dropping-particle":"","parse-names":false,"suffix":""},{"dropping-particle":"","family":"Piacentini","given":"Mauro","non-dropping-particle":"","parse-names":false,"suffix":""},{"dropping-particle":"","family":"Pinton","given":"Paolo","non-dropping-particle":"","parse-names":false,"suffix":""},{"dropping-particle":"","family":"Prehn","given":"Jochen H.M.","non-dropping-particle":"","parse-names":false,"suffix":""},{"dropping-particle":"","family":"Puthalakath","given":"Hamsa","non-dropping-particle":"","parse-names":false,"suffix":""},{"dropping-particle":"","family":"Rabinovich","given":"Gabriel A.","non-dropping-particle":"","parse-names":false,"suffix":""},{"dropping-particle":"","family":"Rehm","given":"Markus","non-dropping-particle":"","parse-names":false,"suffix":""},{"dropping-particle":"","family":"Rizzuto","given":"Rosario","non-dropping-particle":"","parse-names":false,"suffix":""},{"dropping-particle":"","family":"Rodrigues","given":"Cecilia M.P.","non-dropping-particle":"","parse-names":false,"suffix":""},{"dropping-particle":"","family":"Rubinsztein","given":"David C.","non-dropping-particle":"","parse-names":false,"suffix":""},{"dropping-particle":"","family":"Rudel","given":"Thomas","non-dropping-particle":"","parse-names":false,"suffix":""},{"dropping-particle":"","family":"Ryan","given":"Kevin M.","non-dropping-particle":"","parse-names":false,"suffix":""},{"dropping-particle":"","family":"Sayan","given":"Emre","non-dropping-particle":"","parse-names":false,"suffix":""},{"dropping-particle":"","family":"Scorrano","given":"Luca","non-dropping-particle":"","parse-names":false,"suffix":""},{"dropping-particle":"","family":"Shao","given":"Feng","non-dropping-particle":"","parse-names":false,"suffix":""},{"dropping-particle":"","family":"Shi","given":"Yufang","non-dropping-particle":"","parse-names":false,"suffix":""},{"dropping-particle":"","family":"Silke","given":"John","non-dropping-particle":"","parse-names":false,"suffix":""},{"dropping-particle":"","family":"Simon","given":"Hans Uwe","non-dropping-particle":"","parse-names":false,"suffix":""},{"dropping-particle":"","family":"Sistigu","given":"Antonella","non-dropping-particle":"","parse-names":false,"suffix":""},{"dropping-particle":"","family":"Stockwell","given":"Brent R.","non-dropping-particle":"","parse-names":false,"suffix":""},{"dropping-particle":"","family":"Strasser","given":"Andreas","non-dropping-particle":"","parse-names":false,"suffix":""},{"dropping-particle":"","family":"Szabadkai","given":"Gyorgy","non-dropping-particle":"","parse-names":false,"suffix":""},{"dropping-particle":"","family":"Tait","given":"Stephen W.G.","non-dropping-particle":"","parse-names":false,"suffix":""},{"dropping-particle":"","family":"Tang","given":"Daolin","non-dropping-particle":"","parse-names":false,"suffix":""},{"dropping-particle":"","family":"Tavernarakis","given":"Nektarios","non-dropping-particle":"","parse-names":false,"suffix":""},{"dropping-particle":"","family":"Thorburn","given":"Andrew","non-dropping-particle":"","parse-names":false,"suffix":""},{"dropping-particle":"","family":"Tsujimoto","given":"Yoshihide","non-dropping-particle":"","parse-names":false,"suffix":""},{"dropping-particle":"","family":"Turk","given":"Boris","non-dropping-particle":"","parse-names":false,"suffix":""},{"dropping-particle":"","family":"Berghe","given":"Tom","non-dropping-particle":"Vanden","parse-names":false,"suffix":""},{"dropping-particle":"","family":"Vandenabeele","given":"Peter","non-dropping-particle":"","parse-names":false,"suffix":""},{"dropping-particle":"","family":"Heiden","given":"Matthew G.","non-dropping-particle":"Vander","parse-names":false,"suffix":""},{"dropping-particle":"","family":"Villunger","given":"Andreas","non-dropping-particle":"","parse-names":false,"suffix":""},{"dropping-particle":"","family":"Virgin","given":"Herbert W.","non-dropping-particle":"","parse-names":false,"suffix":""},{"dropping-particle":"","family":"Vousden","given":"Karen H.","non-dropping-particle":"","parse-names":false,"suffix":""},{"dropping-particle":"","family":"Vucic","given":"Domagoj","non-dropping-particle":"","parse-names":false,"suffix":""},{"dropping-particle":"","family":"Wagner","given":"Erwin F.","non-dropping-particle":"","parse-names":false,"suffix":""},{"dropping-particle":"","family":"Walczak","given":"Henning","non-dropping-particle":"","parse-names":false,"suffix":""},{"dropping-particle":"","family":"Wallach","given":"David","non-dropping-particle":"","parse-names":false,"suffix":""},{"dropping-particle":"","family":"Wang","given":"Ying","non-dropping-particle":"","parse-names":false,"suffix":""},{"dropping-particle":"","family":"Wells","given":"James A.","non-dropping-particle":"","parse-names":false,"suffix":""},{"dropping-particle":"","family":"Wood","given":"Will","non-dropping-particle":"","parse-names":false,"suffix":""},{"dropping-particle":"","family":"Yuan","given":"Junying","non-dropping-particle":"","parse-names":false,"suffix":""},{"dropping-particle":"","family":"Zakeri","given":"Zahra","non-dropping-particle":"","parse-names":false,"suffix":""},{"dropping-particle":"","family":"Zhivotovsky","given":"Boris","non-dropping-particle":"","parse-names":false,"suffix":""},{"dropping-particle":"","family":"Zitvogel","given":"Laurence","non-dropping-particle":"","parse-names":false,"suffix":""},{"dropping-particle":"","family":"Melino","given":"Gerry","non-dropping-particle":"","parse-names":false,"suffix":""},{"dropping-particle":"","family":"Kroemer","given":"Guido","non-dropping-particle":"","parse-names":false,"suffix":""}],"container-title":"Cell Death and Differentiation","id":"ITEM-2","issue":"3","issued":{"date-parts":[["2018"]]},"page":"486-541","title":"Molecular mechanisms of cell death: Recommendations of the Nomenclature Committee on Cell Death 2018","type":"article-journal","volume":"25"},"uris":["http://www.mendeley.com/documents/?uuid=3e97f9ad-a1af-40ae-9347-8f9cdb9e96b4"]}],"mendeley":{"formattedCitation":"(23,24)","plainTextFormattedCitation":"(23,24)","previouslyFormattedCitation":"(23,24)"},"properties":{"noteIndex":0},"schema":"https://github.com/citation-style-language/schema/raw/master/csl-citation.json"}</w:instrText>
      </w:r>
      <w:r w:rsidR="00E60374">
        <w:rPr>
          <w:rFonts w:ascii="Times New Roman" w:eastAsia="Times New Roman" w:hAnsi="Times New Roman" w:cs="Times New Roman"/>
          <w:sz w:val="24"/>
          <w:szCs w:val="24"/>
          <w:lang w:eastAsia="en-ID"/>
        </w:rPr>
        <w:fldChar w:fldCharType="separate"/>
      </w:r>
      <w:r w:rsidR="00E60374" w:rsidRPr="00E60374">
        <w:rPr>
          <w:rFonts w:ascii="Times New Roman" w:eastAsia="Times New Roman" w:hAnsi="Times New Roman" w:cs="Times New Roman"/>
          <w:noProof/>
          <w:sz w:val="24"/>
          <w:szCs w:val="24"/>
          <w:lang w:eastAsia="en-ID"/>
        </w:rPr>
        <w:t>(23,24)</w:t>
      </w:r>
      <w:r w:rsidR="00E60374">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xml:space="preserve">. Despite its advantages, EB is known to be toxic and mutagenic, necessitating strict handling procedures and limiting its application in </w:t>
      </w:r>
      <w:r w:rsidRPr="003A1F74">
        <w:rPr>
          <w:rFonts w:ascii="Times New Roman" w:eastAsia="Times New Roman" w:hAnsi="Times New Roman" w:cs="Times New Roman"/>
          <w:i/>
          <w:iCs/>
          <w:sz w:val="24"/>
          <w:szCs w:val="24"/>
          <w:lang w:eastAsia="en-ID"/>
        </w:rPr>
        <w:t>in vivo</w:t>
      </w:r>
      <w:r w:rsidRPr="003A1F74">
        <w:rPr>
          <w:rFonts w:ascii="Times New Roman" w:eastAsia="Times New Roman" w:hAnsi="Times New Roman" w:cs="Times New Roman"/>
          <w:sz w:val="24"/>
          <w:szCs w:val="24"/>
          <w:lang w:eastAsia="en-ID"/>
        </w:rPr>
        <w:t xml:space="preserve"> studies</w:t>
      </w:r>
      <w:r w:rsidR="00E60374">
        <w:rPr>
          <w:rFonts w:ascii="Times New Roman" w:eastAsia="Times New Roman" w:hAnsi="Times New Roman" w:cs="Times New Roman"/>
          <w:sz w:val="24"/>
          <w:szCs w:val="24"/>
          <w:lang w:eastAsia="en-ID"/>
        </w:rPr>
        <w:t xml:space="preserve"> </w:t>
      </w:r>
      <w:r w:rsidR="00E60374">
        <w:rPr>
          <w:rFonts w:ascii="Times New Roman" w:eastAsia="Times New Roman" w:hAnsi="Times New Roman" w:cs="Times New Roman"/>
          <w:sz w:val="24"/>
          <w:szCs w:val="24"/>
          <w:lang w:eastAsia="en-ID"/>
        </w:rPr>
        <w:fldChar w:fldCharType="begin" w:fldLock="1"/>
      </w:r>
      <w:r w:rsidR="00E60374">
        <w:rPr>
          <w:rFonts w:ascii="Times New Roman" w:eastAsia="Times New Roman" w:hAnsi="Times New Roman" w:cs="Times New Roman"/>
          <w:sz w:val="24"/>
          <w:szCs w:val="24"/>
          <w:lang w:eastAsia="en-ID"/>
        </w:rPr>
        <w:instrText>ADDIN CSL_CITATION {"citationItems":[{"id":"ITEM-1","itemData":{"ISSN":"2349-5138","abstract":"Ethidium bromide is a popular fluorescent dye widely used in research laboratories for nucleic acid staining. It is a highly toxic chemical and a potent mutagen. As the molecular biology research area has grown in last few decades, the use of Ethidium bromide has also been increased tremendously, which in turn has posed a threat to the different components of environment because of its toxicological and mutagenic properties. There is still confusion and lack of concrete guidelines over disposal and degradation methodology for ethidium bromide. This article deals with the imperative need to boost research and innovation for development of new and cost effective technologies for treatment of EtBr waste. In this article we have bring forth the story of the origin of this stain and its becoming a pollutant. The past and present applications of EtBr, its degradation methods and future aspects have been discussed. Additionally we have also addressed the challenges in the monitoring of its waste, complete disposal technologies and eco-toxicological risk associated with its release in the environment.","author":[{"dropping-particle":"","family":"Singh","given":"Siril","non-dropping-particle":"","parse-names":false,"suffix":""},{"dropping-particle":"","family":"Singh","given":"Narain","non-dropping-particle":"","parse-names":false,"suffix":""},{"dropping-particle":"","family":"Singh","given":"A N","non-dropping-particle":"","parse-names":false,"suffix":""}],"container-title":"International Journal of Research and Analytical Reviews","id":"ITEM-1","issue":"4","issued":{"date-parts":[["2018"]]},"page":"226-233","title":"Ethidium bromide: Is a stain turning into a pollutant? A synthesis on its status, waste management, monitoring challenges and ecological risks to the environment","type":"article-journal","volume":"5"},"uris":["http://www.mendeley.com/documents/?uuid=92981274-3dc9-4e86-aa15-9b1aab43db31"]}],"mendeley":{"formattedCitation":"(25)","plainTextFormattedCitation":"(25)","previouslyFormattedCitation":"(25)"},"properties":{"noteIndex":0},"schema":"https://github.com/citation-style-language/schema/raw/master/csl-citation.json"}</w:instrText>
      </w:r>
      <w:r w:rsidR="00E60374">
        <w:rPr>
          <w:rFonts w:ascii="Times New Roman" w:eastAsia="Times New Roman" w:hAnsi="Times New Roman" w:cs="Times New Roman"/>
          <w:sz w:val="24"/>
          <w:szCs w:val="24"/>
          <w:lang w:eastAsia="en-ID"/>
        </w:rPr>
        <w:fldChar w:fldCharType="separate"/>
      </w:r>
      <w:r w:rsidR="00E60374" w:rsidRPr="00E60374">
        <w:rPr>
          <w:rFonts w:ascii="Times New Roman" w:eastAsia="Times New Roman" w:hAnsi="Times New Roman" w:cs="Times New Roman"/>
          <w:noProof/>
          <w:sz w:val="24"/>
          <w:szCs w:val="24"/>
          <w:lang w:eastAsia="en-ID"/>
        </w:rPr>
        <w:t>(25)</w:t>
      </w:r>
      <w:r w:rsidR="00E60374">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Consequently, in the present study, AO/EB staining was applied primarily to distinguish living and dead cells based on membrane integrity, where green fluorescence indicated viable cells and orange or yellowish fluorescence indicated non-viable cells.</w:t>
      </w:r>
    </w:p>
    <w:p w14:paraId="59516C20" w14:textId="405DC9B2" w:rsidR="003A1F74" w:rsidRPr="003A1F74" w:rsidRDefault="003A1F74" w:rsidP="00E60374">
      <w:pPr>
        <w:spacing w:after="0" w:line="240" w:lineRule="auto"/>
        <w:ind w:firstLine="720"/>
        <w:jc w:val="both"/>
        <w:rPr>
          <w:rFonts w:ascii="Times New Roman" w:eastAsia="Times New Roman" w:hAnsi="Times New Roman" w:cs="Times New Roman"/>
          <w:sz w:val="24"/>
          <w:szCs w:val="24"/>
          <w:lang w:eastAsia="en-ID"/>
        </w:rPr>
      </w:pPr>
      <w:r w:rsidRPr="003A1F74">
        <w:rPr>
          <w:rFonts w:ascii="Times New Roman" w:eastAsia="Times New Roman" w:hAnsi="Times New Roman" w:cs="Times New Roman"/>
          <w:sz w:val="24"/>
          <w:szCs w:val="24"/>
          <w:lang w:eastAsia="en-ID"/>
        </w:rPr>
        <w:t>While flow cytometry provides superior quantitative accuracy and sensitivity for apoptosis detection, AO/EB staining offers a rapid, cost-effective, and visually interpretable alternative that does not require sophisticated instrumentation</w:t>
      </w:r>
      <w:r w:rsidR="00E60374">
        <w:rPr>
          <w:rFonts w:ascii="Times New Roman" w:eastAsia="Times New Roman" w:hAnsi="Times New Roman" w:cs="Times New Roman"/>
          <w:sz w:val="24"/>
          <w:szCs w:val="24"/>
          <w:lang w:eastAsia="en-ID"/>
        </w:rPr>
        <w:t xml:space="preserve"> </w:t>
      </w:r>
      <w:r w:rsidR="00E60374">
        <w:rPr>
          <w:rFonts w:ascii="Times New Roman" w:eastAsia="Times New Roman" w:hAnsi="Times New Roman" w:cs="Times New Roman"/>
          <w:sz w:val="24"/>
          <w:szCs w:val="24"/>
          <w:lang w:eastAsia="en-ID"/>
        </w:rPr>
        <w:fldChar w:fldCharType="begin" w:fldLock="1"/>
      </w:r>
      <w:r w:rsidR="00023068">
        <w:rPr>
          <w:rFonts w:ascii="Times New Roman" w:eastAsia="Times New Roman" w:hAnsi="Times New Roman" w:cs="Times New Roman"/>
          <w:sz w:val="24"/>
          <w:szCs w:val="24"/>
          <w:lang w:eastAsia="en-ID"/>
        </w:rPr>
        <w:instrText>ADDIN CSL_CITATION {"citationItems":[{"id":"ITEM-1","itemData":{"DOI":"10.1007/s10495-022-01735-y","ISSN":"1573675X","PMID":"35713779","abstract":"Programmed cell death is considered a key player in a variety of cellular processes that helps to regulate tissue growth, embryogenesis, cell turnover, immune response, and other biological processes. Among different types of cell death, apoptosis has been studied widely, especially in the field of cancer research to understand and analyse cellular mechanisms, and signaling pathways that control cell cycle arrest. Hallmarks of different types of cell death have been identified by following the patterns and events through microscopy. Identified biomarkers have also supported drug development to induce cell death in cancerous cells. There are various serological and microscopic techniques with advantages and limitations, that are available and are being utilized to detect and study the mechanism of cell death. The complexity of the mechanism and difficulties in distinguishing among different types of programmed cell death make it challenging to carry out the interventions and delay its progression. In this review, mechanisms of different forms of programmed cell death along with their conventional and unconventional methods of detection of have been critically reviewed systematically and categorized on the basis of morphological hallmarks and biomarkers to understand the principle, mechanism, application, advantages and disadvantages of each method. Furthermore, a very comprehensive comparative analysis has been drawn to highlight the most efficient and effective methods of detection of programmed cell death, helping researchers to make a reliable and prudent selection among the available methods of cell death assay. Conclusively, how programmed cell death detection methods can be improved and can provide information about distinctive stages of cell death detection have been discussed.","author":[{"dropping-particle":"","family":"Kari","given":"Sana","non-dropping-particle":"","parse-names":false,"suffix":""},{"dropping-particle":"","family":"Subramanian","given":"Kumar","non-dropping-particle":"","parse-names":false,"suffix":""},{"dropping-particle":"","family":"Altomonte","given":"Ilenia Agata","non-dropping-particle":"","parse-names":false,"suffix":""},{"dropping-particle":"","family":"Murugesan","given":"Akshaya","non-dropping-particle":"","parse-names":false,"suffix":""},{"dropping-particle":"","family":"Yli-Harja","given":"Olli","non-dropping-particle":"","parse-names":false,"suffix":""},{"dropping-particle":"","family":"Kandhavelu","given":"Meenakshisundaram","non-dropping-particle":"","parse-names":false,"suffix":""}],"container-title":"Apoptosis","id":"ITEM-1","issue":"7-8","issued":{"date-parts":[["2022"]]},"page":"482-508","publisher":"Springer US","title":"Programmed cell death detection methods: a systematic review and a categorical comparison","type":"article-journal","volume":"27"},"uris":["http://www.mendeley.com/documents/?uuid=209e2cc1-496f-4bc8-b8c9-aa0aa781f3d5"]},{"id":"ITEM-2","itemData":{"DOI":"10.1038/s41418-023-01153-w","ISBN":"4141802301","ISSN":"14765403","PMID":"37100955","abstract":"Apoptosis is a form of regulated cell death (RCD) that involves proteases of the caspase family. Pharmacological and genetic strategies that experimentally inhibit or delay apoptosis in mammalian systems have elucidated the key contribution of this process not only to (post-)embryonic development and adult tissue homeostasis, but also to the etiology of multiple human disorders. Consistent with this notion, while defects in the molecular machinery for apoptotic cell death impair organismal development and promote oncogenesis, the unwarranted activation of apoptosis promotes cell loss and tissue damage in the context of various neurological, cardiovascular, renal, hepatic, infectious, neoplastic and inflammatory conditions. Here, the Nomenclature Committee on Cell Death (NCCD) gathered to critically summarize an abundant pre-clinical literature mechanistically linking the core apoptotic apparatus to organismal homeostasis in the context of disease.","author":[{"dropping-particle":"","family":"Vitale","given":"Ilio","non-dropping-particle":"","parse-names":false,"suffix":""},{"dropping-particle":"","family":"Pietrocola","given":"Federico","non-dropping-particle":"","parse-names":false,"suffix":""},{"dropping-particle":"","family":"Guilbaud","given":"Emma","non-dropping-particle":"","parse-names":false,"suffix":""},{"dropping-particle":"","family":"Aaronson","given":"Stuart A.","non-dropping-particle":"","parse-names":false,"suffix":""},{"dropping-particle":"","family":"Abrams","given":"John M.","non-dropping-particle":"","parse-names":false,"suffix":""},{"dropping-particle":"","family":"Adam","given":"Dieter","non-dropping-particle":"","parse-names":false,"suffix":""},{"dropping-particle":"","family":"Agostini","given":"Massimiliano","non-dropping-particle":"","parse-names":false,"suffix":""},{"dropping-particle":"","family":"Agostinis","given":"Patrizia","non-dropping-particle":"","parse-names":false,"suffix":""},{"dropping-particle":"","family":"Alnemri","given":"Emad S.","non-dropping-particle":"","parse-names":false,"suffix":""},{"dropping-particle":"","family":"Altucci","given":"Lucia","non-dropping-particle":"","parse-names":false,"suffix":""},{"dropping-particle":"","family":"Amelio","given":"Ivano","non-dropping-particle":"","parse-names":false,"suffix":""},{"dropping-particle":"","family":"Andrews","given":"David W.","non-dropping-particle":"","parse-names":false,"suffix":""},{"dropping-particle":"","family":"Aqeilan","given":"Rami I.","non-dropping-particle":"","parse-names":false,"suffix":""},{"dropping-particle":"","family":"Arama","given":"Eli","non-dropping-particle":"","parse-names":false,"suffix":""},{"dropping-particle":"","family":"Baehrecke","given":"Eric H.","non-dropping-particle":"","parse-names":false,"suffix":""},{"dropping-particle":"","family":"Balachandran","given":"Siddharth","non-dropping-particle":"","parse-names":false,"suffix":""},{"dropping-particle":"","family":"Bano","given":"Daniele","non-dropping-particle":"","parse-names":false,"suffix":""},{"dropping-particle":"","family":"Barlev","given":"Nickolai A.","non-dropping-particle":"","parse-names":false,"suffix":""},{"dropping-particle":"","family":"Bartek","given":"Jiri","non-dropping-particle":"","parse-names":false,"suffix":""},{"dropping-particle":"","family":"Bazan","given":"Nicolas G.","non-dropping-particle":"","parse-names":false,"suffix":""},{"dropping-particle":"","family":"Becker","given":"Christoph","non-dropping-particle":"","parse-names":false,"suffix":""},{"dropping-particle":"","family":"Bernassola","given":"Francesca","non-dropping-particle":"","parse-names":false,"suffix":""},{"dropping-particle":"","family":"Bertrand","given":"Mathieu J.M.","non-dropping-particle":"","parse-names":false,"suffix":""},{"dropping-particle":"","family":"Bianchi","given":"Marco E.","non-dropping-particle":"","parse-names":false,"suffix":""},{"dropping-particle":"V.","family":"Blagosklonny","given":"Mikhail","non-dropping-particle":"","parse-names":false,"suffix":""},{"dropping-particle":"","family":"Blander","given":"J. Magarian","non-dropping-particle":"","parse-names":false,"suffix":""},{"dropping-particle":"","family":"Blandino","given":"Giovanni","non-dropping-particle":"","parse-names":false,"suffix":""},{"dropping-particle":"","family":"Blomgren","given":"Klas","non-dropping-particle":"","parse-names":false,"suffix":""},{"dropping-particle":"","family":"Borner","given":"Christoph","non-dropping-particle":"","parse-names":false,"suffix":""},{"dropping-particle":"","family":"Bortner","given":"Carl D.","non-dropping-particle":"","parse-names":false,"suffix":""},{"dropping-particle":"","family":"Bove","given":"Pierluigi","non-dropping-particle":"","parse-names":false,"suffix":""},{"dropping-particle":"","family":"Boya","given":"Patricia","non-dropping-particle":"","parse-names":false,"suffix":""},{"dropping-particle":"","family":"Brenner","given":"Catherine","non-dropping-particle":"","parse-names":false,"suffix":""},{"dropping-particle":"","family":"Broz","given":"Petr","non-dropping-particle":"","parse-names":false,"suffix":""},{"dropping-particle":"","family":"Brunner","given":"Thomas","non-dropping-particle":"","parse-names":false,"suffix":""},{"dropping-particle":"","family":"Damgaard","given":"Rune Busk","non-dropping-particle":"","parse-names":false,"suffix":""},{"dropping-particle":"","family":"Calin","given":"George A.","non-dropping-particle":"","parse-names":false,"suffix":""},{"dropping-particle":"","family":"Campanella","given":"Michelangelo","non-dropping-particle":"","parse-names":false,"suffix":""},{"dropping-particle":"","family":"Candi","given":"Eleonora","non-dropping-particle":"","parse-names":false,"suffix":""},{"dropping-particle":"","family":"Carbone","given":"Michele","non-dropping-particle":"","parse-names":false,"suffix":""},{"dropping-particle":"","family":"Carmona-Gutierrez","given":"Didac","non-dropping-particle":"","parse-names":false,"suffix":""},{"dropping-particle":"","family":"Cecconi","given":"Francesco","non-dropping-particle":"","parse-names":false,"suffix":""},{"dropping-particle":"","family":"Chan","given":"Francis K.M.","non-dropping-particle":"","parse-names":false,"suffix":""},{"dropping-particle":"","family":"Chen","given":"Guo Qiang","non-dropping-particle":"","parse-names":false,"suffix":""},{"dropping-particle":"","family":"Chen","given":"Quan","non-dropping-particle":"","parse-names":false,"suffix":""},{"dropping-particle":"","family":"Chen","given":"Youhai H.","non-dropping-particle":"","parse-names":false,"suffix":""},{"dropping-particle":"","family":"Cheng","given":"Emily H.","non-dropping-particle":"","parse-names":false,"suffix":""},{"dropping-particle":"","family":"Chipuk","given":"Jerry E.","non-dropping-particle":"","parse-names":false,"suffix":""},{"dropping-particle":"","family":"Cidlowski","given":"John A.","non-dropping-particle":"","parse-names":false,"suffix":""},{"dropping-particle":"","family":"Ciechanover","given":"Aaron","non-dropping-particle":"","parse-names":false,"suffix":""},{"dropping-particle":"","family":"Ciliberto","given":"Gennaro","non-dropping-particle":"","parse-names":false,"suffix":""},{"dropping-particle":"","family":"Conrad","given":"Marcus","non-dropping-particle":"","parse-names":false,"suffix":""},{"dropping-particle":"","family":"Cubillos-Ruiz","given":"Juan R.","non-dropping-particle":"","parse-names":false,"suffix":""},{"dropping-particle":"","family":"Czabotar","given":"Peter E.","non-dropping-particle":"","parse-names":false,"suffix":""},{"dropping-particle":"","family":"D’Angiolella","given":"Vincenzo","non-dropping-particle":"","parse-names":false,"suffix":""},{"dropping-particle":"","family":"Daugaard","given":"Mads","non-dropping-particle":"","parse-names":false,"suffix":""},{"dropping-particle":"","family":"Dawson","given":"Ted M.","non-dropping-particle":"","parse-names":false,"suffix":""},{"dropping-particle":"","family":"Dawson","given":"Valina L.","non-dropping-particle":"","parse-names":false,"suffix":""},{"dropping-particle":"","family":"Maria","given":"Ruggero","non-dropping-particle":"De","parse-names":false,"suffix":""},{"dropping-particle":"","family":"Strooper","given":"Bart","non-dropping-particle":"De","parse-names":false,"suffix":""},{"dropping-particle":"","family":"Debatin","given":"Klaus Michael","non-dropping-particle":"","parse-names":false,"suffix":""},{"dropping-particle":"","family":"Deberardinis","given":"Ralph J.","non-dropping-particle":"","parse-names":false,"suffix":""},{"dropping-particle":"","family":"Degterev","given":"Alexei","non-dropping-particle":"","parse-names":false,"suffix":""},{"dropping-particle":"","family":"Sal","given":"Giannino","non-dropping-particle":"Del","parse-names":false,"suffix":""},{"dropping-particle":"","family":"Deshmukh","given":"Mohanish","non-dropping-particle":"","parse-names":false,"suffix":""},{"dropping-particle":"","family":"Virgilio","given":"Francesco","non-dropping-particle":"Di","parse-names":false,"suffix":""},{"dropping-particle":"","family":"Diederich","given":"Marc","non-dropping-particle":"","parse-names":false,"suffix":""},{"dropping-particle":"","family":"Dixon","given":"Scott J.","non-dropping-particle":"","parse-names":false,"suffix":""},{"dropping-particle":"","family":"Dynlacht","given":"Brian D.","non-dropping-particle":"","parse-names":false,"suffix":""},{"dropping-particle":"","family":"El-Deiry","given":"Wafik S.","non-dropping-particle":"","parse-names":false,"suffix":""},{"dropping-particle":"","family":"Elrod","given":"John W.","non-dropping-particle":"","parse-names":false,"suffix":""},{"dropping-particle":"","family":"Engeland","given":"Kurt","non-dropping-particle":"","parse-names":false,"suffix":""},{"dropping-particle":"","family":"Fimia","given":"Gian Maria","non-dropping-particle":"","parse-names":false,"suffix":""},{"dropping-particle":"","family":"Galassi","given":"Claudia","non-dropping-particle":"","parse-names":false,"suffix":""},{"dropping-particle":"","family":"Ganini","given":"Carlo","non-dropping-particle":"","parse-names":false,"suffix":""},{"dropping-particle":"","family":"Garcia-Saez","given":"Ana J.","non-dropping-particle":"","parse-names":false,"suffix":""},{"dropping-particle":"","family":"Garg","given":"Abhishek D.","non-dropping-particle":"","parse-names":false,"suffix":""},{"dropping-particle":"","family":"Garrido","given":"Carmen","non-dropping-particle":"","parse-names":false,"suffix":""},{"dropping-particle":"","family":"Gavathiotis","given":"Evripidis","non-dropping-particle":"","parse-names":false,"suffix":""},{"dropping-particle":"","family":"Gerlic","given":"Motti","non-dropping-particle":"","parse-names":false,"suffix":""},{"dropping-particle":"","family":"Ghosh","given":"Sourav","non-dropping-particle":"","parse-names":false,"suffix":""},{"dropping-particle":"","family":"Green","given":"Douglas R.","non-dropping-particle":"","parse-names":false,"suffix":""},{"dropping-particle":"","family":"Greene","given":"Lloyd A.","non-dropping-particle":"","parse-names":false,"suffix":""},{"dropping-particle":"","family":"Gronemeyer","given":"Hinrich","non-dropping-particle":"","parse-names":false,"suffix":""},{"dropping-particle":"","family":"Häcker","given":"Georg","non-dropping-particle":"","parse-names":false,"suffix":""},{"dropping-particle":"","family":"Hajnóczky","given":"György","non-dropping-particle":"","parse-names":false,"suffix":""},{"dropping-particle":"","family":"Hardwick","given":"J. Marie","non-dropping-particle":"","parse-names":false,"suffix":""},{"dropping-particle":"","family":"Haupt","given":"Ygal","non-dropping-particle":"","parse-names":false,"suffix":""},{"dropping-particle":"","family":"He","given":"Sudan","non-dropping-particle":"","parse-names":false,"suffix":""},{"dropping-particle":"","family":"Heery","given":"David M.","non-dropping-particle":"","parse-names":false,"suffix":""},{"dropping-particle":"","family":"Hengartner","given":"Michael O.","non-dropping-particle":"","parse-names":false,"suffix":""},{"dropping-particle":"","family":"Hetz","given":"Claudio","non-dropping-particle":"","parse-names":false,"suffix":""},{"dropping-particle":"","family":"Hildeman","given":"David A.","non-dropping-particle":"","parse-names":false,"suffix":""},{"dropping-particle":"","family":"Ichijo","given":"Hidenori","non-dropping-particle":"","parse-names":false,"suffix":""},{"dropping-particle":"","family":"Inoue","given":"Satoshi","non-dropping-particle":"","parse-names":false,"suffix":""},{"dropping-particle":"","family":"Jäättelä","given":"Marja","non-dropping-particle":"","parse-names":false,"suffix":""},{"dropping-particle":"","family":"Janic","given":"Ana","non-dropping-particle":"","parse-names":false,"suffix":""},{"dropping-particle":"","family":"Joseph","given":"Bertrand","non-dropping-particle":"","parse-names":false,"suffix":""},{"dropping-particle":"","family":"Jost","given":"Philipp J.","non-dropping-particle":"","parse-names":false,"suffix":""},{"dropping-particle":"","family":"Kanneganti","given":"Thirumala Devi","non-dropping-particle":"","parse-names":false,"suffix":""},{"dropping-particle":"","family":"Karin","given":"Michael","non-dropping-particle":"","parse-names":false,"suffix":""},{"dropping-particle":"","family":"Kashkar","given":"Hamid","non-dropping-particle":"","parse-names":false,"suffix":""},{"dropping-particle":"","family":"Kaufmann","given":"Thomas","non-dropping-particle":"","parse-names":false,"suffix":""},{"dropping-particle":"","family":"Kelly","given":"Gemma L.","non-dropping-particle":"","parse-names":false,"suffix":""},{"dropping-particle":"","family":"Kepp","given":"Oliver","non-dropping-particle":"","parse-names":false,"suffix":""},{"dropping-particle":"","family":"Kimchi","given":"Adi","non-dropping-particle":"","parse-names":false,"suffix":""},{"dropping-particle":"","family":"Kitsis","given":"Richard N.","non-dropping-particle":"","parse-names":false,"suffix":""},{"dropping-particle":"","family":"Klionsky","given":"Daniel J.","non-dropping-particle":"","parse-names":false,"suffix":""},{"dropping-particle":"","family":"Kluck","given":"Ruth","non-dropping-particle":"","parse-names":false,"suffix":""},{"dropping-particle":"V.","family":"Krysko","given":"Dmitri","non-dropping-particle":"","parse-names":false,"suffix":""},{"dropping-particle":"","family":"Kulms","given":"Dagmar","non-dropping-particle":"","parse-names":false,"suffix":""},{"dropping-particle":"","family":"Kumar","given":"Sharad","non-dropping-particle":"","parse-names":false,"suffix":""},{"dropping-particle":"","family":"Lavandero","given":"Sergio","non-dropping-particle":"","parse-names":false,"suffix":""},{"dropping-particle":"","family":"Lavrik","given":"Inna N.","non-dropping-particle":"","parse-names":false,"suffix":""},{"dropping-particle":"","family":"Lemasters","given":"John J.","non-dropping-particle":"","parse-names":false,"suffix":""},{"dropping-particle":"","family":"Liccardi","given":"Gianmaria","non-dropping-particle":"","parse-names":false,"suffix":""},{"dropping-particle":"","family":"Linkermann","given":"Andreas","non-dropping-particle":"","parse-names":false,"suffix":""},{"dropping-particle":"","family":"Lipton","given":"Stuart A.","non-dropping-particle":"","parse-names":false,"suffix":""},{"dropping-particle":"","family":"Lockshin","given":"Richard A.","non-dropping-particle":"","parse-names":false,"suffix":""},{"dropping-particle":"","family":"López-Otín","given":"Carlos","non-dropping-particle":"","parse-names":false,"suffix":""},{"dropping-particle":"","family":"Luedde","given":"Tom","non-dropping-particle":"","parse-names":false,"suffix":""},{"dropping-particle":"","family":"MacFarlane","given":"Marion","non-dropping-particle":"","parse-names":false,"suffix":""},{"dropping-particle":"","family":"Madeo","given":"Frank","non-dropping-particle":"","parse-names":false,"suffix":""},{"dropping-particle":"","family":"Malorni","given":"Walter","non-dropping-particle":"","parse-names":false,"suffix":""},{"dropping-particle":"","family":"Manic","given":"Gwenola","non-dropping-particle":"","parse-names":false,"suffix":""},{"dropping-particle":"","family":"Mantovani","given":"Roberto","non-dropping-particle":"","parse-names":false,"suffix":""},{"dropping-particle":"","family":"Marchi","given":"Saverio","non-dropping-particle":"","parse-names":false,"suffix":""},{"dropping-particle":"","family":"Marine","given":"Jean Christophe","non-dropping-particle":"","parse-names":false,"suffix":""},{"dropping-particle":"","family":"Martin","given":"Seamus J.","non-dropping-particle":"","parse-names":false,"suffix":""},{"dropping-particle":"","family":"Martinou","given":"Jean Claude","non-dropping-particle":"","parse-names":false,"suffix":""},{"dropping-particle":"","family":"Mastroberardino","given":"Pier G.","non-dropping-particle":"","parse-names":false,"suffix":""},{"dropping-particle":"","family":"Medema","given":"Jan Paul","non-dropping-particle":"","parse-names":false,"suffix":""},{"dropping-particle":"","family":"Mehlen","given":"Patrick","non-dropping-particle":"","parse-names":false,"suffix":""},{"dropping-particle":"","family":"Meier","given":"Pascal","non-dropping-particle":"","parse-names":false,"suffix":""},{"dropping-particle":"","family":"Melino","given":"Gerry","non-dropping-particle":"","parse-names":false,"suffix":""},{"dropping-particle":"","family":"Melino","given":"Sonia","non-dropping-particle":"","parse-names":false,"suffix":""},{"dropping-particle":"","family":"Miao","given":"Edward A.","non-dropping-particle":"","parse-names":false,"suffix":""},{"dropping-particle":"","family":"Moll","given":"Ute M.","non-dropping-particle":"","parse-names":false,"suffix":""},{"dropping-particle":"","family":"Muñoz-Pinedo","given":"Cristina","non-dropping-particle":"","parse-names":false,"suffix":""},{"dropping-particle":"","family":"Murphy","given":"Daniel J.","non-dropping-particle":"","parse-names":false,"suffix":""},{"dropping-particle":"","family":"Niklison-Chirou","given":"Maria Victoria","non-dropping-particle":"","parse-names":false,"suffix":""},{"dropping-particle":"","family":"Novelli","given":"Flavia","non-dropping-particle":"","parse-names":false,"suffix":""},{"dropping-particle":"","family":"Núñez","given":"Gabriel","non-dropping-particle":"","parse-names":false,"suffix":""},{"dropping-particle":"","family":"Oberst","given":"Andrew","non-dropping-particle":"","parse-names":false,"suffix":""},{"dropping-particle":"","family":"Ofengeim","given":"Dimitry","non-dropping-particle":"","parse-names":false,"suffix":""},{"dropping-particle":"","family":"Opferman","given":"Joseph T.","non-dropping-particle":"","parse-names":false,"suffix":""},{"dropping-particle":"","family":"Oren","given":"Moshe","non-dropping-particle":"","parse-names":false,"suffix":""},{"dropping-particle":"","family":"Pagano","given":"Michele","non-dropping-particle":"","parse-names":false,"suffix":""},{"dropping-particle":"","family":"Panaretakis","given":"Theocharis","non-dropping-particle":"","parse-names":false,"suffix":""},{"dropping-particle":"","family":"Pasparakis","given":"Manolis","non-dropping-particle":"","parse-names":false,"suffix":""},{"dropping-particle":"","family":"Penninger","given":"Josef M.","non-dropping-particle":"","parse-names":false,"suffix":""},{"dropping-particle":"","family":"Pentimalli","given":"Francesca","non-dropping-particle":"","parse-names":false,"suffix":""},{"dropping-particle":"","family":"Pereira","given":"David M.","non-dropping-particle":"","parse-names":false,"suffix":""},{"dropping-particle":"","family":"Pervaiz","given":"Shazib","non-dropping-particle":"","parse-names":false,"suffix":""},{"dropping-particle":"","family":"Peter","given":"Marcus E.","non-dropping-particle":"","parse-names":false,"suffix":""},{"dropping-particle":"","family":"Pinton","given":"Paolo","non-dropping-particle":"","parse-names":false,"suffix":""},{"dropping-particle":"","family":"Porta","given":"Giovanni","non-dropping-particle":"","parse-names":false,"suffix":""},{"dropping-particle":"","family":"Prehn","given":"Jochen H.M.","non-dropping-particle":"","parse-names":false,"suffix":""},{"dropping-particle":"","family":"Puthalakath","given":"Hamsa","non-dropping-particle":"","parse-names":false,"suffix":""},{"dropping-particle":"","family":"Rabinovich","given":"Gabriel A.","non-dropping-particle":"","parse-names":false,"suffix":""},{"dropping-particle":"","family":"Rajalingam","given":"Krishnaraj","non-dropping-particle":"","parse-names":false,"suffix":""},{"dropping-particle":"","family":"Ravichandran","given":"Kodi S.","non-dropping-particle":"","parse-names":false,"suffix":""},{"dropping-particle":"","family":"Rehm","given":"Markus","non-dropping-particle":"","parse-names":false,"suffix":""},{"dropping-particle":"","family":"Ricci","given":"Jean Ehrland","non-dropping-particle":"","parse-names":false,"suffix":""},{"dropping-particle":"","family":"Rizzuto","given":"Rosario","non-dropping-particle":"","parse-names":false,"suffix":""},{"dropping-particle":"","family":"Robinson","given":"Nirmal","non-dropping-particle":"","parse-names":false,"suffix":""},{"dropping-particle":"","family":"Rodrigues","given":"Cecilia M.P.","non-dropping-particle":"","parse-names":false,"suffix":""},{"dropping-particle":"","family":"Rotblat","given":"Barak","non-dropping-particle":"","parse-names":false,"suffix":""},{"dropping-particle":"V.","family":"Rothlin","given":"Carla","non-dropping-particle":"","parse-names":false,"suffix":""},{"dropping-particle":"","family":"Rubinsztein","given":"David C.","non-dropping-particle":"","parse-names":false,"suffix":""},{"dropping-particle":"","family":"Rudel","given":"Thomas","non-dropping-particle":"","parse-names":false,"suffix":""},{"dropping-particle":"","family":"Rufini","given":"Alessandro","non-dropping-particle":"","parse-names":false,"suffix":""},{"dropping-particle":"","family":"Ryan","given":"Kevin M.","non-dropping-particle":"","parse-names":false,"suffix":""},{"dropping-particle":"","family":"Sarosiek","given":"Kristopher A.","non-dropping-particle":"","parse-names":false,"suffix":""},{"dropping-particle":"","family":"Sawa","given":"Akira","non-dropping-particle":"","parse-names":false,"suffix":""},{"dropping-particle":"","family":"Sayan","given":"Emre","non-dropping-particle":"","parse-names":false,"suffix":""},{"dropping-particle":"","family":"Schroder","given":"Kate","non-dropping-particle":"","parse-names":false,"suffix":""},{"dropping-particle":"","family":"Scorrano","given":"Luca","non-dropping-particle":"","parse-names":false,"suffix":""},{"dropping-particle":"","family":"Sesti","given":"Federico","non-dropping-particle":"","parse-names":false,"suffix":""},{"dropping-particle":"","family":"Shao","given":"Feng","non-dropping-particle":"","parse-names":false,"suffix":""},{"dropping-particle":"","family":"Shi","given":"Yufang","non-dropping-particle":"","parse-names":false,"suffix":""},{"dropping-particle":"","family":"Sica","given":"Giuseppe S.","non-dropping-particle":"","parse-names":false,"suffix":""},{"dropping-particle":"","family":"Silke","given":"John","non-dropping-particle":"","parse-names":false,"suffix":""},{"dropping-particle":"","family":"Simon","given":"Hans Uwe","non-dropping-particle":"","parse-names":false,"suffix":""},{"dropping-particle":"","family":"Sistigu","given":"Antonella","non-dropping-particle":"","parse-names":false,"suffix":""},{"dropping-particle":"","family":"Stephanou","given":"Anastasis","non-dropping-particle":"","parse-names":false,"suffix":""},{"dropping-particle":"","family":"Stockwell","given":"Brent R.","non-dropping-particle":"","parse-names":false,"suffix":""},{"dropping-particle":"","family":"Strapazzon","given":"Flavie","non-dropping-particle":"","parse-names":false,"suffix":""},{"dropping-particle":"","family":"Strasser","given":"Andreas","non-dropping-particle":"","parse-names":false,"suffix":""},{"dropping-particle":"","family":"Sun","given":"Liming","non-dropping-particle":"","parse-names":false,"suffix":""},{"dropping-particle":"","family":"Sun","given":"Erwei","non-dropping-particle":"","parse-names":false,"suffix":""},{"dropping-particle":"","family":"Sun","given":"Qiang","non-dropping-particle":"","parse-names":false,"suffix":""},{"dropping-particle":"","family":"Szabadkai","given":"Gyorgy","non-dropping-particle":"","parse-names":false,"suffix":""},{"dropping-particle":"","family":"Tait","given":"Stephen W.G.","non-dropping-particle":"","parse-names":false,"suffix":""},{"dropping-particle":"","family":"Tang","given":"Daolin","non-dropping-particle":"","parse-names":false,"suffix":""},{"dropping-particle":"","family":"Tavernarakis","given":"Nektarios","non-dropping-particle":"","parse-names":false,"suffix":""},{"dropping-particle":"","family":"Troy","given":"Carol M.","non-dropping-particle":"","parse-names":false,"suffix":""},{"dropping-particle":"","family":"Turk","given":"Boris","non-dropping-particle":"","parse-names":false,"suffix":""},{"dropping-particle":"","family":"Urbano","given":"Nicoletta","non-dropping-particle":"","parse-names":false,"suffix":""},{"dropping-particle":"","family":"Vandenabeele","given":"Peter","non-dropping-particle":"","parse-names":false,"suffix":""},{"dropping-particle":"","family":"Berghe","given":"Tom","non-dropping-particle":"Vanden","parse-names":false,"suffix":""},{"dropping-particle":"","family":"Heiden","given":"Matthew G.","non-dropping-particle":"Vander","parse-names":false,"suffix":""},{"dropping-particle":"","family":"Vanderluit","given":"Jacqueline L.","non-dropping-particle":"","parse-names":false,"suffix":""},{"dropping-particle":"","family":"Verkhratsky","given":"Alexei","non-dropping-particle":"","parse-names":false,"suffix":""},{"dropping-particle":"","family":"Villunger","given":"Andreas","non-dropping-particle":"","parse-names":false,"suffix":""},{"dropping-particle":"","family":"Karstedt","given":"Silvia","non-dropping-particle":"von","parse-names":false,"suffix":""},{"dropping-particle":"","family":"Voss","given":"Anne K.","non-dropping-particle":"","parse-names":false,"suffix":""},{"dropping-particle":"","family":"Vousden","given":"Karen H.","non-dropping-particle":"","parse-names":false,"suffix":""},{"dropping-particle":"","family":"Vucic","given":"Domagoj","non-dropping-particle":"","parse-names":false,"suffix":""},{"dropping-particle":"","family":"Vuri","given":"Daniela","non-dropping-particle":"","parse-names":false,"suffix":""},{"dropping-particle":"","family":"Wagner","given":"Erwin F.","non-dropping-particle":"","parse-names":false,"suffix":""},{"dropping-particle":"","family":"Walczak","given":"Henning","non-dropping-particle":"","parse-names":false,"suffix":""},{"dropping-particle":"","family":"Wallach","given":"David","non-dropping-particle":"","parse-names":false,"suffix":""},{"dropping-particle":"","family":"Wang","given":"Ruoning","non-dropping-particle":"","parse-names":false,"suffix":""},{"dropping-particle":"","family":"Wang","given":"Ying","non-dropping-particle":"","parse-names":false,"suffix":""},{"dropping-particle":"","family":"Weber","given":"Achim","non-dropping-particle":"","parse-names":false,"suffix":""},{"dropping-particle":"","family":"Wood","given":"Will","non-dropping-particle":"","parse-names":false,"suffix":""},{"dropping-particle":"","family":"Yamazaki","given":"Takahiro","non-dropping-particle":"","parse-names":false,"suffix":""},{"dropping-particle":"","family":"Yang","given":"Huang Tian","non-dropping-particle":"","parse-names":false,"suffix":""},{"dropping-particle":"","family":"Zakeri","given":"Zahra","non-dropping-particle":"","parse-names":false,"suffix":""},{"dropping-particle":"","family":"Zawacka-Pankau","given":"Joanna E.","non-dropping-particle":"","parse-names":false,"suffix":""},{"dropping-particle":"","family":"Zhang","given":"Lin","non-dropping-particle":"","parse-names":false,"suffix":""},{"dropping-particle":"","family":"Zhang","given":"Haibing","non-dropping-particle":"","parse-names":false,"suffix":""},{"dropping-particle":"","family":"Zhivotovsky","given":"Boris","non-dropping-particle":"","parse-names":false,"suffix":""},{"dropping-particle":"","family":"Zhou","given":"Wenzhao","non-dropping-particle":"","parse-names":false,"suffix":""},{"dropping-particle":"","family":"Piacentini","given":"Mauro","non-dropping-particle":"","parse-names":false,"suffix":""},{"dropping-particle":"","family":"Kroemer","given":"Guido","non-dropping-particle":"","parse-names":false,"suffix":""},{"dropping-particle":"","family":"Galluzzi","given":"Lorenzo","non-dropping-particle":"","parse-names":false,"suffix":""}],"container-title":"Cell Death and Differentiation","id":"ITEM-2","issue":"5","issued":{"date-parts":[["2023"]]},"number-of-pages":"1097-1154","title":"Apoptotic cell death in disease—Current understanding of the NCCD 2023","type":"book","volume":"30"},"uris":["http://www.mendeley.com/documents/?uuid=f48bafa8-c580-4338-b855-9d74623b5f43"]}],"mendeley":{"formattedCitation":"(26,27)","plainTextFormattedCitation":"(26,27)","previouslyFormattedCitation":"(26,27)"},"properties":{"noteIndex":0},"schema":"https://github.com/citation-style-language/schema/raw/master/csl-citation.json"}</w:instrText>
      </w:r>
      <w:r w:rsidR="00E60374">
        <w:rPr>
          <w:rFonts w:ascii="Times New Roman" w:eastAsia="Times New Roman" w:hAnsi="Times New Roman" w:cs="Times New Roman"/>
          <w:sz w:val="24"/>
          <w:szCs w:val="24"/>
          <w:lang w:eastAsia="en-ID"/>
        </w:rPr>
        <w:fldChar w:fldCharType="separate"/>
      </w:r>
      <w:r w:rsidR="00E60374" w:rsidRPr="00E60374">
        <w:rPr>
          <w:rFonts w:ascii="Times New Roman" w:eastAsia="Times New Roman" w:hAnsi="Times New Roman" w:cs="Times New Roman"/>
          <w:noProof/>
          <w:sz w:val="24"/>
          <w:szCs w:val="24"/>
          <w:lang w:eastAsia="en-ID"/>
        </w:rPr>
        <w:t>(26,27)</w:t>
      </w:r>
      <w:r w:rsidR="00E60374">
        <w:rPr>
          <w:rFonts w:ascii="Times New Roman" w:eastAsia="Times New Roman" w:hAnsi="Times New Roman" w:cs="Times New Roman"/>
          <w:sz w:val="24"/>
          <w:szCs w:val="24"/>
          <w:lang w:eastAsia="en-ID"/>
        </w:rPr>
        <w:fldChar w:fldCharType="end"/>
      </w:r>
      <w:r w:rsidRPr="003A1F74">
        <w:rPr>
          <w:rFonts w:ascii="Times New Roman" w:eastAsia="Times New Roman" w:hAnsi="Times New Roman" w:cs="Times New Roman"/>
          <w:sz w:val="24"/>
          <w:szCs w:val="24"/>
          <w:lang w:eastAsia="en-ID"/>
        </w:rPr>
        <w:t>. Therefore, this study was conducted to evaluate the effect of curcumin on caspase-3 activation in MCF-7 breast cancer cells using flow cytometry as the primary quantitative method, with AO/EB staining employed as a complementary technique to confirm apoptotic morphology. This dual-method approach aims to demonstrate that AO/EB staining can reliably support flow cytometric findings and serve as a feasible alternative for apoptosis assessment in laboratories with limited access to advanced cytometry equipment. We hypothesize that curcumin induces apoptosis in MCF-7 cells through caspase-3 activation and that apoptotic changes detected by flow cytometry can be consistently confirmed using AO/EB staining.</w:t>
      </w:r>
    </w:p>
    <w:p w14:paraId="23ADE0DE" w14:textId="44C572FB" w:rsidR="003A1F74" w:rsidRDefault="003A1F74" w:rsidP="00E60374">
      <w:pPr>
        <w:spacing w:after="0" w:line="240" w:lineRule="auto"/>
        <w:ind w:firstLine="720"/>
        <w:jc w:val="both"/>
        <w:rPr>
          <w:rFonts w:ascii="Times New Roman" w:eastAsia="Times New Roman" w:hAnsi="Times New Roman" w:cs="Times New Roman"/>
          <w:sz w:val="24"/>
          <w:szCs w:val="24"/>
          <w:lang w:eastAsia="en-ID"/>
        </w:rPr>
      </w:pPr>
      <w:r w:rsidRPr="003A1F74">
        <w:rPr>
          <w:rFonts w:ascii="Times New Roman" w:eastAsia="Times New Roman" w:hAnsi="Times New Roman" w:cs="Times New Roman"/>
          <w:sz w:val="24"/>
          <w:szCs w:val="24"/>
          <w:lang w:eastAsia="en-ID"/>
        </w:rPr>
        <w:t xml:space="preserve">The novelty of this study lies in the integrated application of flow cytometry and AO/EB staining to evaluate curcumin-induced caspase-3 activation in breast cancer cells. By validating a simple staining technique against a gold-standard quantitative method, this </w:t>
      </w:r>
      <w:r w:rsidRPr="003A1F74">
        <w:rPr>
          <w:rFonts w:ascii="Times New Roman" w:eastAsia="Times New Roman" w:hAnsi="Times New Roman" w:cs="Times New Roman"/>
          <w:sz w:val="24"/>
          <w:szCs w:val="24"/>
          <w:lang w:eastAsia="en-ID"/>
        </w:rPr>
        <w:lastRenderedPageBreak/>
        <w:t>research expands the practicality of apoptosis detection in resource-constrained settings while contributing to a deeper understanding of the pro-apoptotic mechanisms of curcumin.</w:t>
      </w:r>
    </w:p>
    <w:p w14:paraId="65D8F34E" w14:textId="4EFAD54C" w:rsidR="00436AC3" w:rsidRDefault="00436AC3" w:rsidP="00436AC3">
      <w:pPr>
        <w:spacing w:after="0" w:line="240" w:lineRule="auto"/>
        <w:jc w:val="both"/>
        <w:rPr>
          <w:rFonts w:ascii="Times New Roman" w:eastAsia="Times New Roman" w:hAnsi="Times New Roman" w:cs="Times New Roman"/>
          <w:sz w:val="24"/>
          <w:szCs w:val="24"/>
          <w:lang w:eastAsia="en-ID"/>
        </w:rPr>
      </w:pPr>
    </w:p>
    <w:p w14:paraId="27E4C232" w14:textId="77777777" w:rsidR="00436AC3" w:rsidRPr="00436AC3" w:rsidRDefault="00436AC3" w:rsidP="00436AC3">
      <w:pPr>
        <w:rPr>
          <w:rFonts w:ascii="Times New Roman" w:hAnsi="Times New Roman" w:cs="Times New Roman"/>
          <w:b/>
          <w:sz w:val="24"/>
          <w:szCs w:val="24"/>
        </w:rPr>
      </w:pPr>
      <w:r w:rsidRPr="00436AC3">
        <w:rPr>
          <w:rFonts w:ascii="Times New Roman" w:hAnsi="Times New Roman" w:cs="Times New Roman"/>
          <w:b/>
          <w:sz w:val="24"/>
          <w:szCs w:val="24"/>
        </w:rPr>
        <w:t>METHODS</w:t>
      </w:r>
    </w:p>
    <w:p w14:paraId="0DFAB4A2" w14:textId="77777777" w:rsidR="00436AC3" w:rsidRPr="00436AC3" w:rsidRDefault="00436AC3" w:rsidP="00436AC3">
      <w:pPr>
        <w:spacing w:after="0"/>
        <w:jc w:val="both"/>
        <w:rPr>
          <w:rFonts w:ascii="Times New Roman" w:hAnsi="Times New Roman" w:cs="Times New Roman"/>
          <w:sz w:val="24"/>
          <w:szCs w:val="24"/>
        </w:rPr>
      </w:pPr>
      <w:r w:rsidRPr="00436AC3">
        <w:rPr>
          <w:rFonts w:ascii="Times New Roman" w:hAnsi="Times New Roman" w:cs="Times New Roman"/>
          <w:sz w:val="24"/>
          <w:szCs w:val="24"/>
        </w:rPr>
        <w:t xml:space="preserve">This research was designed as an experimental laboratory study conducted from January to March 2024 at the integrated laboratory, Faculty of Medicine, University of YARSI, Jakarta, Indonesia, and the integrated laboratory, Faculty of Medicine, University of Indonesia, Jakarta, Indonesia. A total of nine experimental samples were analyzed, consisting of three curcumin concentration groups (0, 70, and 80 μg/mL) with three independent replicates per group. </w:t>
      </w:r>
    </w:p>
    <w:p w14:paraId="65F074BB" w14:textId="77777777" w:rsidR="00436AC3" w:rsidRPr="00436AC3" w:rsidRDefault="00436AC3" w:rsidP="00436AC3">
      <w:pPr>
        <w:spacing w:after="0"/>
        <w:jc w:val="both"/>
        <w:rPr>
          <w:rFonts w:ascii="Times New Roman" w:hAnsi="Times New Roman" w:cs="Times New Roman"/>
          <w:b/>
          <w:bCs/>
          <w:sz w:val="24"/>
          <w:szCs w:val="24"/>
        </w:rPr>
      </w:pPr>
    </w:p>
    <w:p w14:paraId="54BB0785" w14:textId="77777777" w:rsidR="00436AC3" w:rsidRPr="00436AC3" w:rsidRDefault="00436AC3" w:rsidP="00436AC3">
      <w:pPr>
        <w:spacing w:after="0"/>
        <w:jc w:val="both"/>
        <w:rPr>
          <w:rFonts w:ascii="Times New Roman" w:hAnsi="Times New Roman" w:cs="Times New Roman"/>
          <w:b/>
          <w:bCs/>
          <w:sz w:val="24"/>
          <w:szCs w:val="24"/>
        </w:rPr>
      </w:pPr>
      <w:r w:rsidRPr="00436AC3">
        <w:rPr>
          <w:rFonts w:ascii="Times New Roman" w:hAnsi="Times New Roman" w:cs="Times New Roman"/>
          <w:b/>
          <w:bCs/>
          <w:sz w:val="24"/>
          <w:szCs w:val="24"/>
        </w:rPr>
        <w:t xml:space="preserve">Materials </w:t>
      </w:r>
    </w:p>
    <w:p w14:paraId="261C4E23" w14:textId="77777777" w:rsidR="00436AC3" w:rsidRPr="00436AC3" w:rsidRDefault="00436AC3" w:rsidP="00436AC3">
      <w:pPr>
        <w:jc w:val="both"/>
        <w:rPr>
          <w:rFonts w:ascii="Times New Roman" w:hAnsi="Times New Roman" w:cs="Times New Roman"/>
          <w:sz w:val="24"/>
          <w:szCs w:val="24"/>
        </w:rPr>
      </w:pPr>
      <w:r w:rsidRPr="00436AC3">
        <w:rPr>
          <w:rFonts w:ascii="Times New Roman" w:hAnsi="Times New Roman" w:cs="Times New Roman"/>
          <w:sz w:val="24"/>
          <w:szCs w:val="24"/>
        </w:rPr>
        <w:t xml:space="preserve"> </w:t>
      </w:r>
      <w:r w:rsidRPr="00436AC3">
        <w:rPr>
          <w:rFonts w:ascii="Times New Roman" w:hAnsi="Times New Roman" w:cs="Times New Roman"/>
          <w:sz w:val="24"/>
          <w:szCs w:val="24"/>
        </w:rPr>
        <w:tab/>
        <w:t>The MTS kit was obtained from the Promega (Madison, USA). The caspase-3 activity was determined using PE Active Caspase-3 Apoptosis Kit, BD Pharmingen™, BD Biosciences</w:t>
      </w:r>
    </w:p>
    <w:p w14:paraId="26EE5FDF" w14:textId="77777777" w:rsidR="00436AC3" w:rsidRPr="00436AC3" w:rsidRDefault="00436AC3" w:rsidP="00436AC3">
      <w:pPr>
        <w:spacing w:after="0"/>
        <w:jc w:val="both"/>
        <w:rPr>
          <w:rFonts w:ascii="Times New Roman" w:hAnsi="Times New Roman" w:cs="Times New Roman"/>
          <w:b/>
          <w:bCs/>
          <w:sz w:val="24"/>
          <w:szCs w:val="24"/>
        </w:rPr>
      </w:pPr>
      <w:r w:rsidRPr="00436AC3">
        <w:rPr>
          <w:rFonts w:ascii="Times New Roman" w:hAnsi="Times New Roman" w:cs="Times New Roman"/>
          <w:b/>
          <w:bCs/>
          <w:sz w:val="24"/>
          <w:szCs w:val="24"/>
        </w:rPr>
        <w:t xml:space="preserve">Cell Culture </w:t>
      </w:r>
    </w:p>
    <w:p w14:paraId="21E0A89C"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 xml:space="preserve">Breast cancer cell lines MCF-7 </w:t>
      </w:r>
      <w:r w:rsidRPr="00436AC3">
        <w:rPr>
          <w:rFonts w:ascii="Times New Roman" w:hAnsi="Times New Roman" w:cs="Times New Roman"/>
          <w:bCs/>
          <w:sz w:val="24"/>
          <w:szCs w:val="24"/>
        </w:rPr>
        <w:t>(ATCC</w:t>
      </w:r>
      <w:r w:rsidRPr="00436AC3">
        <w:rPr>
          <w:rFonts w:ascii="Times New Roman" w:hAnsi="Times New Roman" w:cs="Times New Roman"/>
          <w:bCs/>
          <w:sz w:val="24"/>
          <w:szCs w:val="24"/>
          <w:vertAlign w:val="superscript"/>
        </w:rPr>
        <w:t>®</w:t>
      </w:r>
      <w:r w:rsidRPr="00436AC3">
        <w:rPr>
          <w:rFonts w:ascii="Times New Roman" w:hAnsi="Times New Roman" w:cs="Times New Roman"/>
          <w:bCs/>
          <w:sz w:val="24"/>
          <w:szCs w:val="24"/>
        </w:rPr>
        <w:t xml:space="preserve"> HTB-22</w:t>
      </w:r>
      <w:r w:rsidRPr="00436AC3">
        <w:rPr>
          <w:rFonts w:ascii="Times New Roman" w:hAnsi="Times New Roman" w:cs="Times New Roman"/>
          <w:bCs/>
          <w:sz w:val="24"/>
          <w:szCs w:val="24"/>
          <w:vertAlign w:val="superscript"/>
        </w:rPr>
        <w:t>™</w:t>
      </w:r>
      <w:r w:rsidRPr="00436AC3">
        <w:rPr>
          <w:rFonts w:ascii="Times New Roman" w:hAnsi="Times New Roman" w:cs="Times New Roman"/>
          <w:bCs/>
          <w:sz w:val="24"/>
          <w:szCs w:val="24"/>
        </w:rPr>
        <w:t>)</w:t>
      </w:r>
      <w:r w:rsidRPr="00436AC3">
        <w:rPr>
          <w:rFonts w:ascii="Times New Roman" w:hAnsi="Times New Roman" w:cs="Times New Roman"/>
          <w:sz w:val="24"/>
          <w:szCs w:val="24"/>
        </w:rPr>
        <w:t xml:space="preserve"> were purchased from ATCC (Manassas, VA, USA) at the second passage. Breast cancer MCF-7 cells were routinely cultured in tissue flask containing Dubelco’s minimum essential medium (DMEM) (Gibco, New York, USA) with 10% fetal bovine serum (FBS from Biowest, Riverside, USA), 5% penicillin/streptomycin, and 5% amphotericin (Biosciences, San Jose, USA) at 37℃ in a humidified atmosphere with 5% CO</w:t>
      </w:r>
      <w:r w:rsidRPr="00436AC3">
        <w:rPr>
          <w:rFonts w:ascii="Times New Roman" w:hAnsi="Times New Roman" w:cs="Times New Roman"/>
          <w:sz w:val="24"/>
          <w:szCs w:val="24"/>
          <w:vertAlign w:val="subscript"/>
        </w:rPr>
        <w:t>2</w:t>
      </w:r>
      <w:r w:rsidRPr="00436AC3">
        <w:rPr>
          <w:rFonts w:ascii="Times New Roman" w:hAnsi="Times New Roman" w:cs="Times New Roman"/>
          <w:sz w:val="24"/>
          <w:szCs w:val="24"/>
        </w:rPr>
        <w:t>. Cell culture media were changed every 2 days in a sterile manner. To determine the effects of curcumin on cell proliferation, cells from stock plates were harvested with 0.25% trypsin, buffered with 0.2% EDTA (pH 7.3), and counted using a haemocytometer. Cells were adjusted to a density of 1x10</w:t>
      </w:r>
      <w:r w:rsidRPr="00436AC3">
        <w:rPr>
          <w:rFonts w:ascii="Times New Roman" w:hAnsi="Times New Roman" w:cs="Times New Roman"/>
          <w:sz w:val="24"/>
          <w:szCs w:val="24"/>
          <w:vertAlign w:val="superscript"/>
        </w:rPr>
        <w:t>6</w:t>
      </w:r>
      <w:r w:rsidRPr="00436AC3">
        <w:rPr>
          <w:rFonts w:ascii="Times New Roman" w:hAnsi="Times New Roman" w:cs="Times New Roman"/>
          <w:sz w:val="24"/>
          <w:szCs w:val="24"/>
        </w:rPr>
        <w:t xml:space="preserve"> cells/well to the required volume of plating medium supplemented with 10% PBS and curcumin was dissolved in dimethyl sulfoxide (DMSO) before use.</w:t>
      </w:r>
    </w:p>
    <w:p w14:paraId="42B11DCC" w14:textId="77777777" w:rsidR="00436AC3" w:rsidRPr="00436AC3" w:rsidRDefault="00436AC3" w:rsidP="00436AC3">
      <w:pPr>
        <w:spacing w:after="0"/>
        <w:jc w:val="both"/>
        <w:rPr>
          <w:rFonts w:ascii="Times New Roman" w:hAnsi="Times New Roman" w:cs="Times New Roman"/>
          <w:b/>
          <w:sz w:val="24"/>
          <w:szCs w:val="24"/>
        </w:rPr>
      </w:pPr>
    </w:p>
    <w:p w14:paraId="1FD0ECA2" w14:textId="77777777" w:rsidR="00436AC3" w:rsidRPr="00436AC3" w:rsidRDefault="00436AC3" w:rsidP="00436AC3">
      <w:pPr>
        <w:spacing w:after="0"/>
        <w:jc w:val="both"/>
        <w:rPr>
          <w:rFonts w:ascii="Times New Roman" w:hAnsi="Times New Roman" w:cs="Times New Roman"/>
          <w:b/>
          <w:sz w:val="24"/>
          <w:szCs w:val="24"/>
        </w:rPr>
      </w:pPr>
      <w:r w:rsidRPr="00436AC3">
        <w:rPr>
          <w:rFonts w:ascii="Times New Roman" w:hAnsi="Times New Roman" w:cs="Times New Roman"/>
          <w:b/>
          <w:sz w:val="24"/>
          <w:szCs w:val="24"/>
        </w:rPr>
        <w:t>Sample Preparation</w:t>
      </w:r>
    </w:p>
    <w:p w14:paraId="2D12CE4E"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 xml:space="preserve">Curcumin was purchased from Sigma Chemical Co. (St. Louis, MO, USA). Curcumin is dissolved in DMSO. </w:t>
      </w:r>
      <w:r w:rsidRPr="00436AC3">
        <w:rPr>
          <w:rFonts w:ascii="Times New Roman" w:hAnsi="Times New Roman" w:cs="Times New Roman"/>
          <w:sz w:val="24"/>
          <w:szCs w:val="24"/>
        </w:rPr>
        <w:t xml:space="preserve">In the </w:t>
      </w:r>
      <w:r w:rsidRPr="00436AC3">
        <w:rPr>
          <w:rFonts w:ascii="Times New Roman" w:hAnsi="Times New Roman" w:cs="Times New Roman"/>
          <w:i/>
          <w:sz w:val="24"/>
          <w:szCs w:val="24"/>
        </w:rPr>
        <w:t xml:space="preserve">well plate </w:t>
      </w:r>
      <w:r w:rsidRPr="00436AC3">
        <w:rPr>
          <w:rFonts w:ascii="Times New Roman" w:hAnsi="Times New Roman" w:cs="Times New Roman"/>
          <w:iCs/>
          <w:sz w:val="24"/>
          <w:szCs w:val="24"/>
        </w:rPr>
        <w:t>96</w:t>
      </w:r>
      <w:r w:rsidRPr="00436AC3">
        <w:rPr>
          <w:rFonts w:ascii="Times New Roman" w:hAnsi="Times New Roman" w:cs="Times New Roman"/>
          <w:sz w:val="24"/>
          <w:szCs w:val="24"/>
        </w:rPr>
        <w:t>, the total number of cells 5x10^3/well is inserted.</w:t>
      </w:r>
      <w:r w:rsidRPr="00436AC3">
        <w:rPr>
          <w:rFonts w:ascii="Times New Roman" w:hAnsi="Times New Roman" w:cs="Times New Roman"/>
          <w:sz w:val="24"/>
          <w:szCs w:val="24"/>
        </w:rPr>
        <w:t xml:space="preserve"> The sample was divided into 3 groups: control (0 μg/mL), 70 μg/mL, and 80 μg/mL of curcumin.  Then, a solution of curcumin concentration (0, 70, and 80 μg/mL) and a complete culture medium was added so that the final volume of each concentration series for treatment was 100 μL/</w:t>
      </w:r>
      <w:r w:rsidRPr="00436AC3">
        <w:rPr>
          <w:rFonts w:ascii="Times New Roman" w:hAnsi="Times New Roman" w:cs="Times New Roman"/>
          <w:i/>
          <w:sz w:val="24"/>
          <w:szCs w:val="24"/>
        </w:rPr>
        <w:t>well</w:t>
      </w:r>
      <w:r w:rsidRPr="00436AC3">
        <w:rPr>
          <w:rFonts w:ascii="Times New Roman" w:hAnsi="Times New Roman" w:cs="Times New Roman"/>
          <w:sz w:val="24"/>
          <w:szCs w:val="24"/>
        </w:rPr>
        <w:t xml:space="preserve">. The cells in </w:t>
      </w:r>
      <w:r w:rsidRPr="00436AC3">
        <w:rPr>
          <w:rFonts w:ascii="Times New Roman" w:hAnsi="Times New Roman" w:cs="Times New Roman"/>
          <w:i/>
          <w:sz w:val="24"/>
          <w:szCs w:val="24"/>
        </w:rPr>
        <w:t>the well plate</w:t>
      </w:r>
      <w:r w:rsidRPr="00436AC3">
        <w:rPr>
          <w:rFonts w:ascii="Times New Roman" w:hAnsi="Times New Roman" w:cs="Times New Roman"/>
          <w:sz w:val="24"/>
          <w:szCs w:val="24"/>
        </w:rPr>
        <w:t xml:space="preserve"> 96 were stored in an incubator at 37°C with a humidity of 5% CO</w:t>
      </w:r>
      <w:r w:rsidRPr="00436AC3">
        <w:rPr>
          <w:rFonts w:ascii="Times New Roman" w:hAnsi="Times New Roman" w:cs="Times New Roman"/>
          <w:sz w:val="24"/>
          <w:szCs w:val="24"/>
          <w:vertAlign w:val="superscript"/>
        </w:rPr>
        <w:t>2</w:t>
      </w:r>
      <w:r w:rsidRPr="00436AC3">
        <w:rPr>
          <w:rFonts w:ascii="Times New Roman" w:hAnsi="Times New Roman" w:cs="Times New Roman"/>
          <w:sz w:val="24"/>
          <w:szCs w:val="24"/>
        </w:rPr>
        <w:t xml:space="preserve"> for 24 hours. </w:t>
      </w:r>
    </w:p>
    <w:p w14:paraId="45815CCE" w14:textId="77777777" w:rsidR="00436AC3" w:rsidRPr="00436AC3" w:rsidRDefault="00436AC3" w:rsidP="00436AC3">
      <w:pPr>
        <w:spacing w:after="0"/>
        <w:jc w:val="both"/>
        <w:rPr>
          <w:rFonts w:ascii="Times New Roman" w:hAnsi="Times New Roman" w:cs="Times New Roman"/>
          <w:b/>
          <w:iCs/>
          <w:sz w:val="24"/>
          <w:szCs w:val="24"/>
        </w:rPr>
      </w:pPr>
    </w:p>
    <w:p w14:paraId="0ED215D8" w14:textId="77777777" w:rsidR="00436AC3" w:rsidRPr="00436AC3" w:rsidRDefault="00436AC3" w:rsidP="00436AC3">
      <w:pPr>
        <w:spacing w:after="0"/>
        <w:jc w:val="both"/>
        <w:rPr>
          <w:rFonts w:ascii="Times New Roman" w:hAnsi="Times New Roman" w:cs="Times New Roman"/>
          <w:b/>
          <w:iCs/>
          <w:sz w:val="24"/>
          <w:szCs w:val="24"/>
        </w:rPr>
      </w:pPr>
      <w:r w:rsidRPr="00436AC3">
        <w:rPr>
          <w:rFonts w:ascii="Times New Roman" w:hAnsi="Times New Roman" w:cs="Times New Roman"/>
          <w:b/>
          <w:iCs/>
          <w:sz w:val="24"/>
          <w:szCs w:val="24"/>
        </w:rPr>
        <w:t>Cytotoxicity (IC50) Assay</w:t>
      </w:r>
    </w:p>
    <w:p w14:paraId="2C9CAC21"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Previously, the IC50 of curcumin was tested on MCF-7 cells using the MTS kit. MTS and PMS were removed 90 minutes before use. The required solution mixture was calculated using the following formula:</w:t>
      </w:r>
    </w:p>
    <w:p w14:paraId="11842B5C" w14:textId="77777777" w:rsidR="00436AC3" w:rsidRPr="00436AC3" w:rsidRDefault="00436AC3" w:rsidP="00436AC3">
      <w:pPr>
        <w:spacing w:after="0"/>
        <w:jc w:val="both"/>
        <w:rPr>
          <w:rFonts w:ascii="Times New Roman" w:hAnsi="Times New Roman" w:cs="Times New Roman"/>
          <w:sz w:val="24"/>
          <w:szCs w:val="24"/>
        </w:rPr>
      </w:pPr>
      <w:r w:rsidRPr="00436AC3">
        <w:rPr>
          <w:rFonts w:ascii="Times New Roman" w:hAnsi="Times New Roman" w:cs="Times New Roman"/>
          <w:sz w:val="24"/>
          <w:szCs w:val="24"/>
        </w:rPr>
        <w:t>MTS = {(number of wells to be treated + 2) x 20 µL} + PMS {(number of wells to be treated x 2)}</w:t>
      </w:r>
    </w:p>
    <w:p w14:paraId="168012D6" w14:textId="77777777" w:rsidR="00436AC3" w:rsidRPr="00436AC3" w:rsidRDefault="00436AC3" w:rsidP="00436AC3">
      <w:pPr>
        <w:spacing w:after="0"/>
        <w:jc w:val="both"/>
        <w:rPr>
          <w:rFonts w:ascii="Times New Roman" w:hAnsi="Times New Roman" w:cs="Times New Roman"/>
          <w:sz w:val="24"/>
          <w:szCs w:val="24"/>
        </w:rPr>
      </w:pPr>
      <w:r w:rsidRPr="00436AC3">
        <w:rPr>
          <w:rFonts w:ascii="Times New Roman" w:hAnsi="Times New Roman" w:cs="Times New Roman"/>
          <w:sz w:val="24"/>
          <w:szCs w:val="24"/>
        </w:rPr>
        <w:t xml:space="preserve">To cultivate cells in each well of a 96-well plate, the total number of cells required was 5 x 10^3/well. Then, 10 µL of curcumin concentration solution and complete culture medium were added, bringing the final volume of each treatment concentration series to 100 µL/well. Blank wells (complete culture medium without cells and without curcumin) and cells without curcumin were also added as negative controls. The cells in the 96-well plate were kept in an </w:t>
      </w:r>
      <w:r w:rsidRPr="00436AC3">
        <w:rPr>
          <w:rFonts w:ascii="Times New Roman" w:hAnsi="Times New Roman" w:cs="Times New Roman"/>
          <w:sz w:val="24"/>
          <w:szCs w:val="24"/>
        </w:rPr>
        <w:lastRenderedPageBreak/>
        <w:t>incubator at 37°C with 5% CO2 humidity for 48 hours. Next, 20 µL of MTS and PMS solution were added to the biosafety cabinet (BSC) with the lights turned off. After being wrapped in aluminum foil, the 96-well plate was placed back in an incubator at 37°C with 5% CO2 humidity for 2 hours. The optical density was then determined using a microplate reader set to 490 nm.</w:t>
      </w:r>
    </w:p>
    <w:p w14:paraId="4A5F47E0" w14:textId="77777777" w:rsidR="00436AC3" w:rsidRPr="00436AC3" w:rsidRDefault="00436AC3" w:rsidP="00436AC3">
      <w:pPr>
        <w:spacing w:after="0"/>
        <w:jc w:val="both"/>
        <w:rPr>
          <w:rFonts w:ascii="Times New Roman" w:hAnsi="Times New Roman" w:cs="Times New Roman"/>
          <w:b/>
          <w:iCs/>
          <w:sz w:val="24"/>
          <w:szCs w:val="24"/>
        </w:rPr>
      </w:pPr>
    </w:p>
    <w:p w14:paraId="445535B1" w14:textId="77777777" w:rsidR="00436AC3" w:rsidRPr="00436AC3" w:rsidRDefault="00436AC3" w:rsidP="00436AC3">
      <w:pPr>
        <w:spacing w:after="0"/>
        <w:jc w:val="both"/>
        <w:rPr>
          <w:rFonts w:ascii="Times New Roman" w:hAnsi="Times New Roman" w:cs="Times New Roman"/>
          <w:b/>
          <w:iCs/>
          <w:sz w:val="24"/>
          <w:szCs w:val="24"/>
        </w:rPr>
      </w:pPr>
      <w:r w:rsidRPr="00436AC3">
        <w:rPr>
          <w:rFonts w:ascii="Times New Roman" w:hAnsi="Times New Roman" w:cs="Times New Roman"/>
          <w:b/>
          <w:iCs/>
          <w:sz w:val="24"/>
          <w:szCs w:val="24"/>
        </w:rPr>
        <w:t>Caspase-3 Examination</w:t>
      </w:r>
    </w:p>
    <w:p w14:paraId="13F98E90" w14:textId="77777777" w:rsidR="00436AC3" w:rsidRPr="00436AC3" w:rsidRDefault="00436AC3" w:rsidP="00436AC3">
      <w:pPr>
        <w:spacing w:after="0"/>
        <w:jc w:val="both"/>
        <w:rPr>
          <w:rFonts w:ascii="Times New Roman" w:hAnsi="Times New Roman" w:cs="Times New Roman"/>
          <w:i/>
          <w:iCs/>
          <w:sz w:val="24"/>
          <w:szCs w:val="24"/>
        </w:rPr>
      </w:pPr>
      <w:r w:rsidRPr="00436AC3">
        <w:rPr>
          <w:rFonts w:ascii="Times New Roman" w:hAnsi="Times New Roman" w:cs="Times New Roman"/>
          <w:i/>
          <w:iCs/>
          <w:sz w:val="24"/>
          <w:szCs w:val="24"/>
        </w:rPr>
        <w:t xml:space="preserve">Flow cytometry </w:t>
      </w:r>
    </w:p>
    <w:p w14:paraId="67DED3D2"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The caspase-3 activity was determined using flow cytometry according to the manufacturer’s instructions (catalog No. 550914 from BD PharMingen). Cells were washed twice with ice-cold PBS, then resuspended in Cytofix/Cytoperm™ solution at a concentration of 1x10</w:t>
      </w:r>
      <w:r w:rsidRPr="00436AC3">
        <w:rPr>
          <w:rFonts w:ascii="Times New Roman" w:hAnsi="Times New Roman" w:cs="Times New Roman"/>
          <w:sz w:val="24"/>
          <w:szCs w:val="24"/>
          <w:vertAlign w:val="superscript"/>
        </w:rPr>
        <w:t>6</w:t>
      </w:r>
      <w:r w:rsidRPr="00436AC3">
        <w:rPr>
          <w:rFonts w:ascii="Times New Roman" w:hAnsi="Times New Roman" w:cs="Times New Roman"/>
          <w:sz w:val="24"/>
          <w:szCs w:val="24"/>
        </w:rPr>
        <w:t xml:space="preserve"> cells/0.5 mL. The cells were incubated for 20 minutes on ice. The cell pellet, aspirate, and Cytofix/Cytoperm™ solution were washed twice with Perm/Wash™ buffer at a volume of 0.5 mL buffer/1x10</w:t>
      </w:r>
      <w:r w:rsidRPr="00436AC3">
        <w:rPr>
          <w:rFonts w:ascii="Times New Roman" w:hAnsi="Times New Roman" w:cs="Times New Roman"/>
          <w:sz w:val="24"/>
          <w:szCs w:val="24"/>
          <w:vertAlign w:val="superscript"/>
        </w:rPr>
        <w:t>6</w:t>
      </w:r>
      <w:r w:rsidRPr="00436AC3">
        <w:rPr>
          <w:rFonts w:ascii="Times New Roman" w:hAnsi="Times New Roman" w:cs="Times New Roman"/>
          <w:sz w:val="24"/>
          <w:szCs w:val="24"/>
        </w:rPr>
        <w:t xml:space="preserve"> cells at room temperature. The cells, Perm/Wash™ buffer, and antibody were resuspended and incubated for 30 minutes at room temperature. Each test was washed in 1 mL of Perm/Wash™ buffer, then resuspended in 0.5 mL of Perm/Wash™ buffer. The analysis was then performed using a flow cytometer. Cisplatin was used as the positive control and the untreated sample was used as the negative control. Fold-increase in caspase activity was determined by comparing the results of treated samples with the level of the untreated control. Calculation of the number of caspase3 using the formula: The number of cells showing an autofluorescent pattern is divided by the total number of cells multiplied by 100%.</w:t>
      </w:r>
    </w:p>
    <w:p w14:paraId="6A711141" w14:textId="77777777" w:rsidR="00436AC3" w:rsidRPr="00436AC3" w:rsidRDefault="00436AC3" w:rsidP="00436AC3">
      <w:pPr>
        <w:spacing w:after="0"/>
        <w:jc w:val="both"/>
        <w:rPr>
          <w:rFonts w:ascii="Times New Roman" w:hAnsi="Times New Roman" w:cs="Times New Roman"/>
          <w:bCs/>
          <w:i/>
          <w:sz w:val="24"/>
          <w:szCs w:val="24"/>
        </w:rPr>
      </w:pPr>
    </w:p>
    <w:p w14:paraId="0EAFCF05" w14:textId="77777777" w:rsidR="00436AC3" w:rsidRPr="00436AC3" w:rsidRDefault="00436AC3" w:rsidP="00436AC3">
      <w:pPr>
        <w:spacing w:after="0"/>
        <w:jc w:val="both"/>
        <w:rPr>
          <w:rFonts w:ascii="Times New Roman" w:hAnsi="Times New Roman" w:cs="Times New Roman"/>
          <w:bCs/>
          <w:i/>
          <w:sz w:val="24"/>
          <w:szCs w:val="24"/>
        </w:rPr>
      </w:pPr>
      <w:r w:rsidRPr="00436AC3">
        <w:rPr>
          <w:rFonts w:ascii="Times New Roman" w:hAnsi="Times New Roman" w:cs="Times New Roman"/>
          <w:bCs/>
          <w:i/>
          <w:sz w:val="24"/>
          <w:szCs w:val="24"/>
        </w:rPr>
        <w:t>Acridine Orange/Ethidium Bromide (AO/EB) Staining</w:t>
      </w:r>
    </w:p>
    <w:p w14:paraId="09A5B595" w14:textId="77777777" w:rsidR="00436AC3" w:rsidRPr="00436AC3" w:rsidRDefault="00436AC3" w:rsidP="00436AC3">
      <w:pPr>
        <w:spacing w:after="0"/>
        <w:jc w:val="both"/>
        <w:rPr>
          <w:rFonts w:ascii="Times New Roman" w:hAnsi="Times New Roman" w:cs="Times New Roman"/>
          <w:sz w:val="24"/>
          <w:szCs w:val="24"/>
        </w:rPr>
      </w:pPr>
      <w:r w:rsidRPr="00436AC3">
        <w:rPr>
          <w:rFonts w:ascii="Times New Roman" w:hAnsi="Times New Roman" w:cs="Times New Roman"/>
          <w:sz w:val="24"/>
          <w:szCs w:val="24"/>
        </w:rPr>
        <w:t>Cells of 1x10</w:t>
      </w:r>
      <w:r w:rsidRPr="00436AC3">
        <w:rPr>
          <w:rFonts w:ascii="Times New Roman" w:hAnsi="Times New Roman" w:cs="Times New Roman"/>
          <w:sz w:val="24"/>
          <w:szCs w:val="24"/>
          <w:vertAlign w:val="superscript"/>
        </w:rPr>
        <w:t>6</w:t>
      </w:r>
      <w:r w:rsidRPr="00436AC3">
        <w:rPr>
          <w:rFonts w:ascii="Times New Roman" w:hAnsi="Times New Roman" w:cs="Times New Roman"/>
          <w:sz w:val="24"/>
          <w:szCs w:val="24"/>
        </w:rPr>
        <w:t xml:space="preserve"> cells/mL were washed 2 times with cold phosphate buffer. A double staining solution (10 μL) containing 100 μg/mL AO and 100 μg/mL EB is added to each suspension. Incubate the cells for 5 minutes. Then the cell suspension (10 μL) is transferred to the slide glass and covered with a lid. The double staining method of AO/EB was repeated 3 times. Cell morphology is examined and 100 cells are counted using a fluorescent microscope. The assessment of AO/EB staining was divided into two groups: living cells and dead cells (apoptosis and necrotic) by observing chromatin condensation or nuclear fragmentation and changes in fluorescence colour. Cell morphology was read by two observers in a double-blind manner. Acridin orange/ethidium bromide staining was carried out as confirmation of cytotoxicity and caspase-3 activity by assessing changes in cell morphology using a fluorescent microscope. Living cells are green and dead cells are orange or yellowish. The calculation uses the AO/EB staining method by assessing cell death (apoptotic and necrotic) because it is difficult to assess between late apoptotic cells and necrotic cells because the color of the cells is similar, namely orange/red nuclei. Calculation of the number of dead cells using the formula: Percentage of dead cells = number of dead cells divided by 100 cells multiplied by 100%</w:t>
      </w:r>
    </w:p>
    <w:p w14:paraId="3533C289" w14:textId="77777777" w:rsidR="00436AC3" w:rsidRPr="00436AC3" w:rsidRDefault="00436AC3" w:rsidP="00436AC3">
      <w:pPr>
        <w:spacing w:after="0"/>
        <w:ind w:firstLine="720"/>
        <w:jc w:val="both"/>
        <w:rPr>
          <w:rFonts w:ascii="Times New Roman" w:hAnsi="Times New Roman" w:cs="Times New Roman"/>
          <w:b/>
          <w:bCs/>
          <w:sz w:val="24"/>
          <w:szCs w:val="24"/>
        </w:rPr>
      </w:pPr>
    </w:p>
    <w:p w14:paraId="1DBADE75"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The average growth rate (delta) is calculated using the formula:</w:t>
      </w:r>
    </w:p>
    <w:p w14:paraId="24F4FC6E" w14:textId="77777777" w:rsidR="00436AC3" w:rsidRPr="00436AC3" w:rsidRDefault="00436AC3" w:rsidP="00436AC3">
      <w:pPr>
        <w:spacing w:after="0"/>
        <w:ind w:firstLine="720"/>
        <w:jc w:val="both"/>
        <w:rPr>
          <w:rFonts w:ascii="Times New Roman" w:hAnsi="Times New Roman" w:cs="Times New Roman"/>
          <w:sz w:val="24"/>
          <w:szCs w:val="24"/>
        </w:rPr>
      </w:pPr>
      <m:oMath>
        <m:r>
          <w:rPr>
            <w:rFonts w:ascii="Cambria Math" w:hAnsi="Cambria Math" w:cs="Times New Roman"/>
            <w:sz w:val="24"/>
            <w:szCs w:val="24"/>
          </w:rPr>
          <m:t xml:space="preserve">Growt rate </m:t>
        </m:r>
        <m:d>
          <m:dPr>
            <m:ctrlPr>
              <w:rPr>
                <w:rFonts w:ascii="Cambria Math" w:hAnsi="Cambria Math" w:cs="Times New Roman"/>
                <w:i/>
                <w:sz w:val="24"/>
                <w:szCs w:val="24"/>
              </w:rPr>
            </m:ctrlPr>
          </m:dPr>
          <m:e>
            <m:r>
              <w:rPr>
                <w:rFonts w:ascii="Cambria Math" w:hAnsi="Cambria Math" w:cs="Times New Roman"/>
                <w:sz w:val="24"/>
                <w:szCs w:val="24"/>
              </w:rPr>
              <m:t>delta</m:t>
            </m:r>
          </m:e>
        </m:d>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post exposure data-without exposure data</m:t>
                </m:r>
              </m:e>
            </m:d>
          </m:num>
          <m:den>
            <m:r>
              <w:rPr>
                <w:rFonts w:ascii="Cambria Math" w:hAnsi="Cambria Math" w:cs="Times New Roman"/>
                <w:sz w:val="24"/>
                <w:szCs w:val="24"/>
              </w:rPr>
              <m:t>without exposure data</m:t>
            </m:r>
          </m:den>
        </m:f>
        <m:r>
          <w:rPr>
            <w:rFonts w:ascii="Cambria Math" w:hAnsi="Cambria Math" w:cs="Times New Roman"/>
            <w:sz w:val="24"/>
            <w:szCs w:val="24"/>
          </w:rPr>
          <m:t>x100%</m:t>
        </m:r>
      </m:oMath>
      <w:r w:rsidRPr="00436AC3">
        <w:rPr>
          <w:rFonts w:ascii="Times New Roman" w:hAnsi="Times New Roman" w:cs="Times New Roman"/>
          <w:sz w:val="24"/>
          <w:szCs w:val="24"/>
        </w:rPr>
        <w:t xml:space="preserve"> (1) </w:t>
      </w:r>
    </w:p>
    <w:p w14:paraId="6584DE34" w14:textId="77777777" w:rsidR="00436AC3" w:rsidRPr="00436AC3" w:rsidRDefault="00436AC3" w:rsidP="00436AC3">
      <w:pPr>
        <w:spacing w:after="0"/>
        <w:jc w:val="both"/>
        <w:rPr>
          <w:rFonts w:ascii="Times New Roman" w:hAnsi="Times New Roman" w:cs="Times New Roman"/>
          <w:b/>
          <w:bCs/>
          <w:sz w:val="24"/>
          <w:szCs w:val="24"/>
        </w:rPr>
      </w:pPr>
    </w:p>
    <w:p w14:paraId="354D4D5A" w14:textId="77777777" w:rsidR="00436AC3" w:rsidRPr="00436AC3" w:rsidRDefault="00436AC3" w:rsidP="00436AC3">
      <w:pPr>
        <w:spacing w:after="0"/>
        <w:jc w:val="both"/>
        <w:rPr>
          <w:rFonts w:ascii="Times New Roman" w:hAnsi="Times New Roman" w:cs="Times New Roman"/>
          <w:b/>
          <w:bCs/>
          <w:sz w:val="24"/>
          <w:szCs w:val="24"/>
        </w:rPr>
      </w:pPr>
      <w:r w:rsidRPr="00436AC3">
        <w:rPr>
          <w:rFonts w:ascii="Times New Roman" w:hAnsi="Times New Roman" w:cs="Times New Roman"/>
          <w:b/>
          <w:bCs/>
          <w:sz w:val="24"/>
          <w:szCs w:val="24"/>
        </w:rPr>
        <w:t>Statistical analysis</w:t>
      </w:r>
    </w:p>
    <w:p w14:paraId="719D5514"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 xml:space="preserve">Data are expressed as mean±standard deviation (SD) from at least three independent experiments. The results of the normality test of caspase-3 examination using flow cytometry and AO/EB staining showed that the data distribution was not normal, so the Kruskal-Wallis </w:t>
      </w:r>
      <w:r w:rsidRPr="00436AC3">
        <w:rPr>
          <w:rFonts w:ascii="Times New Roman" w:hAnsi="Times New Roman" w:cs="Times New Roman"/>
          <w:sz w:val="24"/>
          <w:szCs w:val="24"/>
        </w:rPr>
        <w:lastRenderedPageBreak/>
        <w:t>statistical test was performed, followed by the Mann-Whitney Post hoc test for differences among multiple groups. The correlation test between flow cytometry and AO/EB staining used the Spearman non-parametric test. Significance was assigned for p values &lt; 0.05 using the SPSS 20.0 statistical software for Windows.</w:t>
      </w:r>
    </w:p>
    <w:p w14:paraId="3BD5C2DF" w14:textId="77777777" w:rsidR="00436AC3" w:rsidRPr="00436AC3" w:rsidRDefault="00436AC3" w:rsidP="00436AC3">
      <w:pPr>
        <w:spacing w:after="0"/>
        <w:ind w:firstLine="720"/>
        <w:jc w:val="both"/>
        <w:rPr>
          <w:rFonts w:ascii="Times New Roman" w:hAnsi="Times New Roman" w:cs="Times New Roman"/>
          <w:sz w:val="24"/>
          <w:szCs w:val="24"/>
        </w:rPr>
      </w:pPr>
    </w:p>
    <w:p w14:paraId="12A1C05A" w14:textId="77777777" w:rsidR="00436AC3" w:rsidRPr="00436AC3" w:rsidRDefault="00436AC3" w:rsidP="00436AC3">
      <w:pPr>
        <w:rPr>
          <w:rFonts w:ascii="Times New Roman" w:hAnsi="Times New Roman" w:cs="Times New Roman"/>
          <w:b/>
          <w:sz w:val="24"/>
          <w:szCs w:val="24"/>
        </w:rPr>
      </w:pPr>
      <w:r w:rsidRPr="00436AC3">
        <w:rPr>
          <w:rFonts w:ascii="Times New Roman" w:hAnsi="Times New Roman" w:cs="Times New Roman"/>
          <w:b/>
          <w:sz w:val="24"/>
          <w:szCs w:val="24"/>
        </w:rPr>
        <w:t>RESULTS</w:t>
      </w:r>
    </w:p>
    <w:p w14:paraId="625D0047" w14:textId="77777777" w:rsidR="00436AC3" w:rsidRPr="00436AC3" w:rsidRDefault="00436AC3" w:rsidP="00436AC3">
      <w:pPr>
        <w:spacing w:after="0"/>
        <w:jc w:val="both"/>
        <w:rPr>
          <w:rFonts w:ascii="Times New Roman" w:hAnsi="Times New Roman" w:cs="Times New Roman"/>
          <w:b/>
          <w:iCs/>
          <w:sz w:val="24"/>
          <w:szCs w:val="24"/>
        </w:rPr>
      </w:pPr>
      <w:r w:rsidRPr="00436AC3">
        <w:rPr>
          <w:rFonts w:ascii="Times New Roman" w:hAnsi="Times New Roman" w:cs="Times New Roman"/>
          <w:b/>
          <w:iCs/>
          <w:sz w:val="24"/>
          <w:szCs w:val="24"/>
        </w:rPr>
        <w:t>Cytotoxicity (IC50) Assay</w:t>
      </w:r>
    </w:p>
    <w:p w14:paraId="24E09DDA"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The IC50 results for curcumin in MCF-7 cells were 75.73 µg/mL, so the curcumin concentrations to be used for this study were 70 µg/mL and 80 µg/mL.</w:t>
      </w:r>
    </w:p>
    <w:p w14:paraId="581489EA" w14:textId="77777777" w:rsidR="00436AC3" w:rsidRPr="00436AC3" w:rsidRDefault="00436AC3" w:rsidP="00436AC3">
      <w:pPr>
        <w:spacing w:after="0"/>
        <w:ind w:firstLine="720"/>
        <w:jc w:val="both"/>
        <w:rPr>
          <w:rFonts w:ascii="Times New Roman" w:hAnsi="Times New Roman" w:cs="Times New Roman"/>
          <w:sz w:val="24"/>
          <w:szCs w:val="24"/>
        </w:rPr>
      </w:pPr>
    </w:p>
    <w:p w14:paraId="26FBA80E" w14:textId="77777777" w:rsidR="00436AC3" w:rsidRPr="00436AC3" w:rsidRDefault="00436AC3" w:rsidP="00436AC3">
      <w:pPr>
        <w:spacing w:after="0"/>
        <w:jc w:val="both"/>
        <w:rPr>
          <w:rFonts w:ascii="Times New Roman" w:hAnsi="Times New Roman" w:cs="Times New Roman"/>
          <w:b/>
          <w:sz w:val="24"/>
          <w:szCs w:val="24"/>
        </w:rPr>
      </w:pPr>
      <w:r w:rsidRPr="00436AC3">
        <w:rPr>
          <w:rFonts w:ascii="Times New Roman" w:hAnsi="Times New Roman" w:cs="Times New Roman"/>
          <w:b/>
          <w:bCs/>
          <w:sz w:val="24"/>
          <w:szCs w:val="24"/>
        </w:rPr>
        <w:t xml:space="preserve">Caspase-3 examination using Flow Cytometry and </w:t>
      </w:r>
      <w:r w:rsidRPr="00436AC3">
        <w:rPr>
          <w:rFonts w:ascii="Times New Roman" w:hAnsi="Times New Roman" w:cs="Times New Roman"/>
          <w:b/>
          <w:iCs/>
          <w:sz w:val="24"/>
          <w:szCs w:val="24"/>
        </w:rPr>
        <w:t>Acridine Orange/Ethidium Bromide</w:t>
      </w:r>
      <w:r w:rsidRPr="00436AC3">
        <w:rPr>
          <w:rFonts w:ascii="Times New Roman" w:hAnsi="Times New Roman" w:cs="Times New Roman"/>
          <w:b/>
          <w:i/>
          <w:sz w:val="24"/>
          <w:szCs w:val="24"/>
        </w:rPr>
        <w:t xml:space="preserve"> </w:t>
      </w:r>
      <w:r w:rsidRPr="00436AC3">
        <w:rPr>
          <w:rFonts w:ascii="Times New Roman" w:hAnsi="Times New Roman" w:cs="Times New Roman"/>
          <w:b/>
          <w:sz w:val="24"/>
          <w:szCs w:val="24"/>
        </w:rPr>
        <w:t>(AO/EB) Staining</w:t>
      </w:r>
    </w:p>
    <w:p w14:paraId="1F6AF6F5"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The percentage of caspase-3 activity was increased significantly in both breast cancer cells after curcumin exposure compared to controls. The results of the Kruskal-Wallis test showed a result</w:t>
      </w:r>
      <w:r w:rsidRPr="00436AC3">
        <w:rPr>
          <w:rFonts w:ascii="Times New Roman" w:hAnsi="Times New Roman" w:cs="Times New Roman"/>
          <w:i/>
          <w:iCs/>
          <w:sz w:val="24"/>
          <w:szCs w:val="24"/>
        </w:rPr>
        <w:t xml:space="preserve"> of p=</w:t>
      </w:r>
      <w:r w:rsidRPr="00436AC3">
        <w:rPr>
          <w:rFonts w:ascii="Times New Roman" w:hAnsi="Times New Roman" w:cs="Times New Roman"/>
          <w:sz w:val="24"/>
          <w:szCs w:val="24"/>
        </w:rPr>
        <w:t>0.011 for caspase-3 examination using flow cytometry and</w:t>
      </w:r>
      <w:r w:rsidRPr="00436AC3">
        <w:rPr>
          <w:rFonts w:ascii="Times New Roman" w:hAnsi="Times New Roman" w:cs="Times New Roman"/>
          <w:i/>
          <w:iCs/>
          <w:sz w:val="24"/>
          <w:szCs w:val="24"/>
        </w:rPr>
        <w:t xml:space="preserve"> p&lt;0.</w:t>
      </w:r>
      <w:r w:rsidRPr="00436AC3">
        <w:rPr>
          <w:rFonts w:ascii="Times New Roman" w:hAnsi="Times New Roman" w:cs="Times New Roman"/>
          <w:sz w:val="24"/>
          <w:szCs w:val="24"/>
        </w:rPr>
        <w:t>001 for caspase-3 examination using</w:t>
      </w:r>
      <w:r w:rsidRPr="00436AC3">
        <w:rPr>
          <w:rFonts w:ascii="Times New Roman" w:hAnsi="Times New Roman" w:cs="Times New Roman"/>
          <w:i/>
          <w:iCs/>
          <w:sz w:val="24"/>
          <w:szCs w:val="24"/>
        </w:rPr>
        <w:t xml:space="preserve"> </w:t>
      </w:r>
      <w:r w:rsidRPr="00436AC3">
        <w:rPr>
          <w:rFonts w:ascii="Times New Roman" w:hAnsi="Times New Roman" w:cs="Times New Roman"/>
          <w:bCs/>
          <w:sz w:val="24"/>
          <w:szCs w:val="24"/>
        </w:rPr>
        <w:t>AO/EB staining (Table 1)</w:t>
      </w:r>
      <w:r w:rsidRPr="00436AC3">
        <w:rPr>
          <w:rFonts w:ascii="Times New Roman" w:hAnsi="Times New Roman" w:cs="Times New Roman"/>
          <w:sz w:val="24"/>
          <w:szCs w:val="24"/>
        </w:rPr>
        <w:t xml:space="preserve">. </w:t>
      </w:r>
    </w:p>
    <w:p w14:paraId="6590CE9F" w14:textId="77777777" w:rsidR="00436AC3" w:rsidRPr="00436AC3" w:rsidRDefault="00436AC3" w:rsidP="00436AC3">
      <w:pPr>
        <w:spacing w:after="0"/>
        <w:ind w:firstLine="720"/>
        <w:jc w:val="both"/>
        <w:rPr>
          <w:rFonts w:ascii="Times New Roman" w:hAnsi="Times New Roman" w:cs="Times New Roman"/>
          <w:sz w:val="24"/>
          <w:szCs w:val="24"/>
        </w:rPr>
      </w:pPr>
    </w:p>
    <w:p w14:paraId="7F539DBF" w14:textId="77777777" w:rsidR="00436AC3" w:rsidRPr="00436AC3" w:rsidRDefault="00436AC3" w:rsidP="00436AC3">
      <w:pPr>
        <w:spacing w:after="360"/>
        <w:jc w:val="center"/>
        <w:rPr>
          <w:rFonts w:ascii="Times New Roman" w:hAnsi="Times New Roman" w:cs="Times New Roman"/>
          <w:b/>
          <w:sz w:val="24"/>
          <w:szCs w:val="24"/>
        </w:rPr>
      </w:pPr>
      <w:r w:rsidRPr="00436AC3">
        <w:rPr>
          <w:rFonts w:ascii="Times New Roman" w:hAnsi="Times New Roman" w:cs="Times New Roman"/>
          <w:b/>
          <w:sz w:val="24"/>
          <w:szCs w:val="24"/>
        </w:rPr>
        <w:t>Table 1. Caspase-3 Activity by Flow Cytometry and Acridine Orange/Ethidium Bromide Staining Based on Curcumin Concentration Group Given to MCF-7 Breast Cancer Cells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417"/>
        <w:gridCol w:w="2951"/>
        <w:gridCol w:w="2057"/>
        <w:gridCol w:w="1229"/>
        <w:gridCol w:w="929"/>
      </w:tblGrid>
      <w:tr w:rsidR="00436AC3" w:rsidRPr="00436AC3" w14:paraId="14C63041" w14:textId="77777777" w:rsidTr="00A34C5B">
        <w:trPr>
          <w:trHeight w:val="950"/>
          <w:jc w:val="center"/>
        </w:trPr>
        <w:tc>
          <w:tcPr>
            <w:tcW w:w="1418" w:type="dxa"/>
            <w:tcBorders>
              <w:top w:val="single" w:sz="4" w:space="0" w:color="auto"/>
              <w:bottom w:val="single" w:sz="4" w:space="0" w:color="auto"/>
            </w:tcBorders>
            <w:vAlign w:val="center"/>
          </w:tcPr>
          <w:p w14:paraId="45D7AF7B" w14:textId="77777777" w:rsidR="00436AC3" w:rsidRPr="00436AC3" w:rsidRDefault="00436AC3" w:rsidP="00A34C5B">
            <w:pPr>
              <w:jc w:val="center"/>
              <w:rPr>
                <w:sz w:val="24"/>
                <w:szCs w:val="24"/>
              </w:rPr>
            </w:pPr>
            <w:r w:rsidRPr="00436AC3">
              <w:rPr>
                <w:sz w:val="24"/>
                <w:szCs w:val="24"/>
              </w:rPr>
              <w:t>Examination</w:t>
            </w:r>
          </w:p>
        </w:tc>
        <w:tc>
          <w:tcPr>
            <w:tcW w:w="425" w:type="dxa"/>
            <w:tcBorders>
              <w:top w:val="single" w:sz="4" w:space="0" w:color="auto"/>
              <w:bottom w:val="single" w:sz="4" w:space="0" w:color="auto"/>
            </w:tcBorders>
            <w:vAlign w:val="center"/>
          </w:tcPr>
          <w:p w14:paraId="7E73EEB3" w14:textId="77777777" w:rsidR="00436AC3" w:rsidRPr="00436AC3" w:rsidRDefault="00436AC3" w:rsidP="00A34C5B">
            <w:pPr>
              <w:jc w:val="center"/>
              <w:rPr>
                <w:sz w:val="24"/>
                <w:szCs w:val="24"/>
              </w:rPr>
            </w:pPr>
            <w:r w:rsidRPr="00436AC3">
              <w:rPr>
                <w:sz w:val="24"/>
                <w:szCs w:val="24"/>
              </w:rPr>
              <w:t>n</w:t>
            </w:r>
          </w:p>
        </w:tc>
        <w:tc>
          <w:tcPr>
            <w:tcW w:w="3085" w:type="dxa"/>
            <w:tcBorders>
              <w:top w:val="single" w:sz="4" w:space="0" w:color="auto"/>
              <w:bottom w:val="single" w:sz="4" w:space="0" w:color="auto"/>
            </w:tcBorders>
            <w:vAlign w:val="center"/>
          </w:tcPr>
          <w:p w14:paraId="4099543F" w14:textId="77777777" w:rsidR="00436AC3" w:rsidRPr="00436AC3" w:rsidRDefault="00436AC3" w:rsidP="00A34C5B">
            <w:pPr>
              <w:jc w:val="center"/>
              <w:rPr>
                <w:sz w:val="24"/>
                <w:szCs w:val="24"/>
              </w:rPr>
            </w:pPr>
            <w:r w:rsidRPr="00436AC3">
              <w:rPr>
                <w:sz w:val="24"/>
                <w:szCs w:val="24"/>
              </w:rPr>
              <w:t>Curcu</w:t>
            </w:r>
            <w:r w:rsidRPr="00436AC3">
              <w:rPr>
                <w:sz w:val="24"/>
                <w:szCs w:val="24"/>
                <w:lang w:val="id-ID"/>
              </w:rPr>
              <w:t>m</w:t>
            </w:r>
            <w:r w:rsidRPr="00436AC3">
              <w:rPr>
                <w:sz w:val="24"/>
                <w:szCs w:val="24"/>
              </w:rPr>
              <w:t>in</w:t>
            </w:r>
          </w:p>
        </w:tc>
        <w:tc>
          <w:tcPr>
            <w:tcW w:w="2126" w:type="dxa"/>
            <w:tcBorders>
              <w:top w:val="single" w:sz="4" w:space="0" w:color="auto"/>
              <w:bottom w:val="single" w:sz="4" w:space="0" w:color="auto"/>
            </w:tcBorders>
            <w:vAlign w:val="center"/>
          </w:tcPr>
          <w:p w14:paraId="5541BB3E" w14:textId="77777777" w:rsidR="00436AC3" w:rsidRPr="00436AC3" w:rsidRDefault="00436AC3" w:rsidP="00A34C5B">
            <w:pPr>
              <w:jc w:val="center"/>
              <w:rPr>
                <w:sz w:val="24"/>
                <w:szCs w:val="24"/>
              </w:rPr>
            </w:pPr>
            <w:r w:rsidRPr="00436AC3">
              <w:rPr>
                <w:sz w:val="24"/>
                <w:szCs w:val="24"/>
              </w:rPr>
              <w:t xml:space="preserve">Median </w:t>
            </w:r>
          </w:p>
          <w:p w14:paraId="55B928DE" w14:textId="77777777" w:rsidR="00436AC3" w:rsidRPr="00436AC3" w:rsidRDefault="00436AC3" w:rsidP="00A34C5B">
            <w:pPr>
              <w:jc w:val="center"/>
              <w:rPr>
                <w:sz w:val="24"/>
                <w:szCs w:val="24"/>
              </w:rPr>
            </w:pPr>
            <w:r w:rsidRPr="00436AC3">
              <w:rPr>
                <w:sz w:val="24"/>
                <w:szCs w:val="24"/>
              </w:rPr>
              <w:t>(minimum–maximum)</w:t>
            </w:r>
          </w:p>
        </w:tc>
        <w:tc>
          <w:tcPr>
            <w:tcW w:w="1242" w:type="dxa"/>
            <w:tcBorders>
              <w:top w:val="single" w:sz="4" w:space="0" w:color="auto"/>
              <w:bottom w:val="single" w:sz="4" w:space="0" w:color="auto"/>
            </w:tcBorders>
          </w:tcPr>
          <w:p w14:paraId="3B61A357" w14:textId="77777777" w:rsidR="00436AC3" w:rsidRPr="00436AC3" w:rsidRDefault="00436AC3" w:rsidP="00A34C5B">
            <w:pPr>
              <w:jc w:val="center"/>
              <w:rPr>
                <w:sz w:val="24"/>
                <w:szCs w:val="24"/>
              </w:rPr>
            </w:pPr>
            <w:r w:rsidRPr="00436AC3">
              <w:rPr>
                <w:sz w:val="24"/>
                <w:szCs w:val="24"/>
              </w:rPr>
              <w:t>Delta (%)</w:t>
            </w:r>
          </w:p>
          <w:p w14:paraId="2BC42084" w14:textId="77777777" w:rsidR="00436AC3" w:rsidRPr="00436AC3" w:rsidRDefault="00436AC3" w:rsidP="00A34C5B">
            <w:pPr>
              <w:jc w:val="center"/>
              <w:rPr>
                <w:sz w:val="24"/>
                <w:szCs w:val="24"/>
              </w:rPr>
            </w:pPr>
            <w:r w:rsidRPr="00436AC3">
              <w:rPr>
                <w:sz w:val="24"/>
                <w:szCs w:val="24"/>
              </w:rPr>
              <w:t>Compare to control</w:t>
            </w:r>
          </w:p>
        </w:tc>
        <w:tc>
          <w:tcPr>
            <w:tcW w:w="946" w:type="dxa"/>
            <w:tcBorders>
              <w:top w:val="single" w:sz="4" w:space="0" w:color="auto"/>
              <w:bottom w:val="single" w:sz="4" w:space="0" w:color="auto"/>
            </w:tcBorders>
            <w:vAlign w:val="center"/>
          </w:tcPr>
          <w:p w14:paraId="1E202E9D" w14:textId="77777777" w:rsidR="00436AC3" w:rsidRPr="00436AC3" w:rsidRDefault="00436AC3" w:rsidP="00A34C5B">
            <w:pPr>
              <w:tabs>
                <w:tab w:val="left" w:pos="6575"/>
              </w:tabs>
              <w:jc w:val="center"/>
              <w:rPr>
                <w:sz w:val="24"/>
                <w:szCs w:val="24"/>
              </w:rPr>
            </w:pPr>
            <w:r w:rsidRPr="00436AC3">
              <w:rPr>
                <w:sz w:val="24"/>
                <w:szCs w:val="24"/>
              </w:rPr>
              <w:t>p</w:t>
            </w:r>
          </w:p>
          <w:p w14:paraId="53A8FB86" w14:textId="77777777" w:rsidR="00436AC3" w:rsidRPr="00436AC3" w:rsidRDefault="00436AC3" w:rsidP="00A34C5B">
            <w:pPr>
              <w:tabs>
                <w:tab w:val="left" w:pos="6575"/>
              </w:tabs>
              <w:jc w:val="center"/>
              <w:rPr>
                <w:sz w:val="24"/>
                <w:szCs w:val="24"/>
              </w:rPr>
            </w:pPr>
          </w:p>
        </w:tc>
      </w:tr>
      <w:tr w:rsidR="00436AC3" w:rsidRPr="00436AC3" w14:paraId="0E1B8318" w14:textId="77777777" w:rsidTr="00A34C5B">
        <w:trPr>
          <w:jc w:val="center"/>
        </w:trPr>
        <w:tc>
          <w:tcPr>
            <w:tcW w:w="1418" w:type="dxa"/>
            <w:vMerge w:val="restart"/>
          </w:tcPr>
          <w:p w14:paraId="1235E8A9" w14:textId="77777777" w:rsidR="00436AC3" w:rsidRPr="00436AC3" w:rsidRDefault="00436AC3" w:rsidP="00A34C5B">
            <w:pPr>
              <w:jc w:val="center"/>
              <w:rPr>
                <w:sz w:val="24"/>
                <w:szCs w:val="24"/>
              </w:rPr>
            </w:pPr>
            <w:r w:rsidRPr="00436AC3">
              <w:rPr>
                <w:sz w:val="24"/>
                <w:szCs w:val="24"/>
              </w:rPr>
              <w:t>Flow Cytometry</w:t>
            </w:r>
          </w:p>
        </w:tc>
        <w:tc>
          <w:tcPr>
            <w:tcW w:w="425" w:type="dxa"/>
          </w:tcPr>
          <w:p w14:paraId="392B53F7" w14:textId="77777777" w:rsidR="00436AC3" w:rsidRPr="00436AC3" w:rsidRDefault="00436AC3" w:rsidP="00A34C5B">
            <w:pPr>
              <w:jc w:val="center"/>
              <w:rPr>
                <w:sz w:val="24"/>
                <w:szCs w:val="24"/>
              </w:rPr>
            </w:pPr>
            <w:r w:rsidRPr="00436AC3">
              <w:rPr>
                <w:sz w:val="24"/>
                <w:szCs w:val="24"/>
              </w:rPr>
              <w:t>3</w:t>
            </w:r>
          </w:p>
        </w:tc>
        <w:tc>
          <w:tcPr>
            <w:tcW w:w="3085" w:type="dxa"/>
          </w:tcPr>
          <w:p w14:paraId="4E4109E4" w14:textId="77777777" w:rsidR="00436AC3" w:rsidRPr="00436AC3" w:rsidRDefault="00436AC3" w:rsidP="00A34C5B">
            <w:pPr>
              <w:rPr>
                <w:sz w:val="24"/>
                <w:szCs w:val="24"/>
              </w:rPr>
            </w:pPr>
            <w:r w:rsidRPr="00436AC3">
              <w:rPr>
                <w:sz w:val="24"/>
                <w:szCs w:val="24"/>
              </w:rPr>
              <w:t>No Exposure</w:t>
            </w:r>
          </w:p>
        </w:tc>
        <w:tc>
          <w:tcPr>
            <w:tcW w:w="2126" w:type="dxa"/>
          </w:tcPr>
          <w:p w14:paraId="30253D88" w14:textId="77777777" w:rsidR="00436AC3" w:rsidRPr="00436AC3" w:rsidRDefault="00436AC3" w:rsidP="00A34C5B">
            <w:pPr>
              <w:jc w:val="center"/>
              <w:rPr>
                <w:sz w:val="24"/>
                <w:szCs w:val="24"/>
              </w:rPr>
            </w:pPr>
            <w:r w:rsidRPr="00436AC3">
              <w:rPr>
                <w:sz w:val="24"/>
                <w:szCs w:val="24"/>
              </w:rPr>
              <w:t>1,12 (0,38–2,25)</w:t>
            </w:r>
          </w:p>
        </w:tc>
        <w:tc>
          <w:tcPr>
            <w:tcW w:w="1242" w:type="dxa"/>
          </w:tcPr>
          <w:p w14:paraId="1FB64BBF" w14:textId="77777777" w:rsidR="00436AC3" w:rsidRPr="00436AC3" w:rsidRDefault="00436AC3" w:rsidP="00A34C5B">
            <w:pPr>
              <w:jc w:val="center"/>
              <w:rPr>
                <w:sz w:val="24"/>
                <w:szCs w:val="24"/>
              </w:rPr>
            </w:pPr>
            <w:r w:rsidRPr="00436AC3">
              <w:rPr>
                <w:sz w:val="24"/>
                <w:szCs w:val="24"/>
              </w:rPr>
              <w:t>0</w:t>
            </w:r>
          </w:p>
        </w:tc>
        <w:tc>
          <w:tcPr>
            <w:tcW w:w="946" w:type="dxa"/>
            <w:vAlign w:val="center"/>
          </w:tcPr>
          <w:p w14:paraId="2F84A0D9" w14:textId="77777777" w:rsidR="00436AC3" w:rsidRPr="00436AC3" w:rsidRDefault="00436AC3" w:rsidP="00A34C5B">
            <w:pPr>
              <w:jc w:val="center"/>
              <w:rPr>
                <w:sz w:val="24"/>
                <w:szCs w:val="24"/>
              </w:rPr>
            </w:pPr>
            <w:r w:rsidRPr="00436AC3">
              <w:rPr>
                <w:sz w:val="24"/>
                <w:szCs w:val="24"/>
              </w:rPr>
              <w:t>&lt; 0,001</w:t>
            </w:r>
          </w:p>
        </w:tc>
      </w:tr>
      <w:tr w:rsidR="00436AC3" w:rsidRPr="00436AC3" w14:paraId="3031D02F" w14:textId="77777777" w:rsidTr="00A34C5B">
        <w:trPr>
          <w:jc w:val="center"/>
        </w:trPr>
        <w:tc>
          <w:tcPr>
            <w:tcW w:w="1418" w:type="dxa"/>
            <w:vMerge/>
          </w:tcPr>
          <w:p w14:paraId="5080F686" w14:textId="77777777" w:rsidR="00436AC3" w:rsidRPr="00436AC3" w:rsidRDefault="00436AC3" w:rsidP="00A34C5B">
            <w:pPr>
              <w:jc w:val="center"/>
              <w:rPr>
                <w:sz w:val="24"/>
                <w:szCs w:val="24"/>
              </w:rPr>
            </w:pPr>
          </w:p>
        </w:tc>
        <w:tc>
          <w:tcPr>
            <w:tcW w:w="425" w:type="dxa"/>
          </w:tcPr>
          <w:p w14:paraId="7E7E6577" w14:textId="77777777" w:rsidR="00436AC3" w:rsidRPr="00436AC3" w:rsidRDefault="00436AC3" w:rsidP="00A34C5B">
            <w:pPr>
              <w:jc w:val="center"/>
              <w:rPr>
                <w:sz w:val="24"/>
                <w:szCs w:val="24"/>
              </w:rPr>
            </w:pPr>
            <w:r w:rsidRPr="00436AC3">
              <w:rPr>
                <w:sz w:val="24"/>
                <w:szCs w:val="24"/>
              </w:rPr>
              <w:t>3</w:t>
            </w:r>
          </w:p>
        </w:tc>
        <w:tc>
          <w:tcPr>
            <w:tcW w:w="3085" w:type="dxa"/>
          </w:tcPr>
          <w:p w14:paraId="520790EC" w14:textId="77777777" w:rsidR="00436AC3" w:rsidRPr="00436AC3" w:rsidRDefault="00436AC3" w:rsidP="00A34C5B">
            <w:pPr>
              <w:rPr>
                <w:sz w:val="24"/>
                <w:szCs w:val="24"/>
              </w:rPr>
            </w:pPr>
            <w:r w:rsidRPr="00436AC3">
              <w:rPr>
                <w:sz w:val="24"/>
                <w:szCs w:val="24"/>
              </w:rPr>
              <w:t>Low Concentration (70µg/mL)</w:t>
            </w:r>
          </w:p>
        </w:tc>
        <w:tc>
          <w:tcPr>
            <w:tcW w:w="2126" w:type="dxa"/>
          </w:tcPr>
          <w:p w14:paraId="074F8FF8" w14:textId="77777777" w:rsidR="00436AC3" w:rsidRPr="00436AC3" w:rsidRDefault="00436AC3" w:rsidP="00A34C5B">
            <w:pPr>
              <w:jc w:val="center"/>
              <w:rPr>
                <w:sz w:val="24"/>
                <w:szCs w:val="24"/>
              </w:rPr>
            </w:pPr>
            <w:r w:rsidRPr="00436AC3">
              <w:rPr>
                <w:sz w:val="24"/>
                <w:szCs w:val="24"/>
              </w:rPr>
              <w:t>71,94 (53,19–83,29)</w:t>
            </w:r>
          </w:p>
        </w:tc>
        <w:tc>
          <w:tcPr>
            <w:tcW w:w="1242" w:type="dxa"/>
          </w:tcPr>
          <w:p w14:paraId="1252D598" w14:textId="77777777" w:rsidR="00436AC3" w:rsidRPr="00436AC3" w:rsidRDefault="00436AC3" w:rsidP="00A34C5B">
            <w:pPr>
              <w:jc w:val="center"/>
              <w:rPr>
                <w:sz w:val="24"/>
                <w:szCs w:val="24"/>
                <w:lang w:val="id-ID"/>
              </w:rPr>
            </w:pPr>
            <w:r w:rsidRPr="00436AC3">
              <w:rPr>
                <w:sz w:val="24"/>
                <w:szCs w:val="24"/>
                <w:lang w:val="id-ID"/>
              </w:rPr>
              <w:t>6323,21</w:t>
            </w:r>
          </w:p>
        </w:tc>
        <w:tc>
          <w:tcPr>
            <w:tcW w:w="946" w:type="dxa"/>
            <w:vAlign w:val="center"/>
          </w:tcPr>
          <w:p w14:paraId="0ED8DA0D" w14:textId="77777777" w:rsidR="00436AC3" w:rsidRPr="00436AC3" w:rsidRDefault="00436AC3" w:rsidP="00A34C5B">
            <w:pPr>
              <w:jc w:val="center"/>
              <w:rPr>
                <w:sz w:val="24"/>
                <w:szCs w:val="24"/>
              </w:rPr>
            </w:pPr>
          </w:p>
        </w:tc>
      </w:tr>
      <w:tr w:rsidR="00436AC3" w:rsidRPr="00436AC3" w14:paraId="777BF7F4" w14:textId="77777777" w:rsidTr="00A34C5B">
        <w:trPr>
          <w:jc w:val="center"/>
        </w:trPr>
        <w:tc>
          <w:tcPr>
            <w:tcW w:w="1418" w:type="dxa"/>
            <w:vMerge/>
          </w:tcPr>
          <w:p w14:paraId="020C5C0B" w14:textId="77777777" w:rsidR="00436AC3" w:rsidRPr="00436AC3" w:rsidRDefault="00436AC3" w:rsidP="00A34C5B">
            <w:pPr>
              <w:jc w:val="center"/>
              <w:rPr>
                <w:sz w:val="24"/>
                <w:szCs w:val="24"/>
              </w:rPr>
            </w:pPr>
          </w:p>
        </w:tc>
        <w:tc>
          <w:tcPr>
            <w:tcW w:w="425" w:type="dxa"/>
          </w:tcPr>
          <w:p w14:paraId="2F33B19E" w14:textId="77777777" w:rsidR="00436AC3" w:rsidRPr="00436AC3" w:rsidRDefault="00436AC3" w:rsidP="00A34C5B">
            <w:pPr>
              <w:spacing w:after="120"/>
              <w:jc w:val="center"/>
              <w:rPr>
                <w:sz w:val="24"/>
                <w:szCs w:val="24"/>
              </w:rPr>
            </w:pPr>
            <w:r w:rsidRPr="00436AC3">
              <w:rPr>
                <w:sz w:val="24"/>
                <w:szCs w:val="24"/>
              </w:rPr>
              <w:t>3</w:t>
            </w:r>
          </w:p>
        </w:tc>
        <w:tc>
          <w:tcPr>
            <w:tcW w:w="3085" w:type="dxa"/>
          </w:tcPr>
          <w:p w14:paraId="6D31C6E6" w14:textId="77777777" w:rsidR="00436AC3" w:rsidRPr="00436AC3" w:rsidRDefault="00436AC3" w:rsidP="00A34C5B">
            <w:pPr>
              <w:spacing w:after="120"/>
              <w:rPr>
                <w:sz w:val="24"/>
                <w:szCs w:val="24"/>
              </w:rPr>
            </w:pPr>
            <w:r w:rsidRPr="00436AC3">
              <w:rPr>
                <w:sz w:val="24"/>
                <w:szCs w:val="24"/>
              </w:rPr>
              <w:t>High Concentration (80µg/mL)</w:t>
            </w:r>
          </w:p>
        </w:tc>
        <w:tc>
          <w:tcPr>
            <w:tcW w:w="2126" w:type="dxa"/>
          </w:tcPr>
          <w:p w14:paraId="29A867DB" w14:textId="77777777" w:rsidR="00436AC3" w:rsidRPr="00436AC3" w:rsidRDefault="00436AC3" w:rsidP="00A34C5B">
            <w:pPr>
              <w:jc w:val="center"/>
              <w:rPr>
                <w:sz w:val="24"/>
                <w:szCs w:val="24"/>
              </w:rPr>
            </w:pPr>
            <w:r w:rsidRPr="00436AC3">
              <w:rPr>
                <w:sz w:val="24"/>
                <w:szCs w:val="24"/>
              </w:rPr>
              <w:t>94,75 (87,23–96,55)</w:t>
            </w:r>
          </w:p>
        </w:tc>
        <w:tc>
          <w:tcPr>
            <w:tcW w:w="1242" w:type="dxa"/>
          </w:tcPr>
          <w:p w14:paraId="3CA5119A" w14:textId="77777777" w:rsidR="00436AC3" w:rsidRPr="00436AC3" w:rsidRDefault="00436AC3" w:rsidP="00A34C5B">
            <w:pPr>
              <w:jc w:val="center"/>
              <w:rPr>
                <w:sz w:val="24"/>
                <w:szCs w:val="24"/>
                <w:lang w:val="id-ID"/>
              </w:rPr>
            </w:pPr>
            <w:r w:rsidRPr="00436AC3">
              <w:rPr>
                <w:sz w:val="24"/>
                <w:szCs w:val="24"/>
                <w:lang w:val="id-ID"/>
              </w:rPr>
              <w:t>8359,82</w:t>
            </w:r>
          </w:p>
        </w:tc>
        <w:tc>
          <w:tcPr>
            <w:tcW w:w="946" w:type="dxa"/>
            <w:tcBorders>
              <w:left w:val="nil"/>
            </w:tcBorders>
            <w:vAlign w:val="center"/>
          </w:tcPr>
          <w:p w14:paraId="23A12101" w14:textId="77777777" w:rsidR="00436AC3" w:rsidRPr="00436AC3" w:rsidRDefault="00436AC3" w:rsidP="00A34C5B">
            <w:pPr>
              <w:jc w:val="center"/>
              <w:rPr>
                <w:sz w:val="24"/>
                <w:szCs w:val="24"/>
              </w:rPr>
            </w:pPr>
          </w:p>
        </w:tc>
      </w:tr>
      <w:tr w:rsidR="00436AC3" w:rsidRPr="00436AC3" w14:paraId="588E5675" w14:textId="77777777" w:rsidTr="00A34C5B">
        <w:trPr>
          <w:jc w:val="center"/>
        </w:trPr>
        <w:tc>
          <w:tcPr>
            <w:tcW w:w="1418" w:type="dxa"/>
            <w:vMerge w:val="restart"/>
          </w:tcPr>
          <w:p w14:paraId="69E44E9D" w14:textId="77777777" w:rsidR="00436AC3" w:rsidRPr="00436AC3" w:rsidRDefault="00436AC3" w:rsidP="00A34C5B">
            <w:pPr>
              <w:jc w:val="center"/>
              <w:rPr>
                <w:sz w:val="24"/>
                <w:szCs w:val="24"/>
              </w:rPr>
            </w:pPr>
            <w:r w:rsidRPr="00436AC3">
              <w:rPr>
                <w:sz w:val="24"/>
                <w:szCs w:val="24"/>
              </w:rPr>
              <w:t>AO/EB Staining</w:t>
            </w:r>
          </w:p>
        </w:tc>
        <w:tc>
          <w:tcPr>
            <w:tcW w:w="425" w:type="dxa"/>
          </w:tcPr>
          <w:p w14:paraId="76A8CA5A" w14:textId="77777777" w:rsidR="00436AC3" w:rsidRPr="00436AC3" w:rsidRDefault="00436AC3" w:rsidP="00A34C5B">
            <w:pPr>
              <w:jc w:val="center"/>
              <w:rPr>
                <w:sz w:val="24"/>
                <w:szCs w:val="24"/>
              </w:rPr>
            </w:pPr>
            <w:r w:rsidRPr="00436AC3">
              <w:rPr>
                <w:sz w:val="24"/>
                <w:szCs w:val="24"/>
              </w:rPr>
              <w:t>3</w:t>
            </w:r>
          </w:p>
        </w:tc>
        <w:tc>
          <w:tcPr>
            <w:tcW w:w="3085" w:type="dxa"/>
          </w:tcPr>
          <w:p w14:paraId="4467DF6C" w14:textId="77777777" w:rsidR="00436AC3" w:rsidRPr="00436AC3" w:rsidRDefault="00436AC3" w:rsidP="00A34C5B">
            <w:pPr>
              <w:rPr>
                <w:sz w:val="24"/>
                <w:szCs w:val="24"/>
              </w:rPr>
            </w:pPr>
            <w:r w:rsidRPr="00436AC3">
              <w:rPr>
                <w:sz w:val="24"/>
                <w:szCs w:val="24"/>
              </w:rPr>
              <w:t>No Exposure</w:t>
            </w:r>
          </w:p>
        </w:tc>
        <w:tc>
          <w:tcPr>
            <w:tcW w:w="2126" w:type="dxa"/>
          </w:tcPr>
          <w:p w14:paraId="5FF30E78" w14:textId="77777777" w:rsidR="00436AC3" w:rsidRPr="00436AC3" w:rsidRDefault="00436AC3" w:rsidP="00A34C5B">
            <w:pPr>
              <w:jc w:val="center"/>
              <w:rPr>
                <w:sz w:val="24"/>
                <w:szCs w:val="24"/>
              </w:rPr>
            </w:pPr>
            <w:r w:rsidRPr="00436AC3">
              <w:rPr>
                <w:sz w:val="24"/>
                <w:szCs w:val="24"/>
              </w:rPr>
              <w:t>30 (25–48)</w:t>
            </w:r>
          </w:p>
        </w:tc>
        <w:tc>
          <w:tcPr>
            <w:tcW w:w="1242" w:type="dxa"/>
          </w:tcPr>
          <w:p w14:paraId="0A7F0270" w14:textId="77777777" w:rsidR="00436AC3" w:rsidRPr="00436AC3" w:rsidRDefault="00436AC3" w:rsidP="00A34C5B">
            <w:pPr>
              <w:jc w:val="center"/>
              <w:rPr>
                <w:sz w:val="24"/>
                <w:szCs w:val="24"/>
              </w:rPr>
            </w:pPr>
            <w:r w:rsidRPr="00436AC3">
              <w:rPr>
                <w:sz w:val="24"/>
                <w:szCs w:val="24"/>
              </w:rPr>
              <w:t>0</w:t>
            </w:r>
          </w:p>
        </w:tc>
        <w:tc>
          <w:tcPr>
            <w:tcW w:w="946" w:type="dxa"/>
            <w:tcBorders>
              <w:left w:val="nil"/>
            </w:tcBorders>
          </w:tcPr>
          <w:p w14:paraId="458D4B4B" w14:textId="77777777" w:rsidR="00436AC3" w:rsidRPr="00436AC3" w:rsidRDefault="00436AC3" w:rsidP="00A34C5B">
            <w:pPr>
              <w:jc w:val="center"/>
              <w:rPr>
                <w:sz w:val="24"/>
                <w:szCs w:val="24"/>
              </w:rPr>
            </w:pPr>
            <w:r w:rsidRPr="00436AC3">
              <w:rPr>
                <w:sz w:val="24"/>
                <w:szCs w:val="24"/>
              </w:rPr>
              <w:t xml:space="preserve">  0,011</w:t>
            </w:r>
          </w:p>
        </w:tc>
      </w:tr>
      <w:tr w:rsidR="00436AC3" w:rsidRPr="00436AC3" w14:paraId="127C67D4" w14:textId="77777777" w:rsidTr="00A34C5B">
        <w:trPr>
          <w:jc w:val="center"/>
        </w:trPr>
        <w:tc>
          <w:tcPr>
            <w:tcW w:w="1418" w:type="dxa"/>
            <w:vMerge/>
          </w:tcPr>
          <w:p w14:paraId="6797BB04" w14:textId="77777777" w:rsidR="00436AC3" w:rsidRPr="00436AC3" w:rsidRDefault="00436AC3" w:rsidP="00A34C5B">
            <w:pPr>
              <w:jc w:val="center"/>
              <w:rPr>
                <w:sz w:val="24"/>
                <w:szCs w:val="24"/>
              </w:rPr>
            </w:pPr>
          </w:p>
        </w:tc>
        <w:tc>
          <w:tcPr>
            <w:tcW w:w="425" w:type="dxa"/>
          </w:tcPr>
          <w:p w14:paraId="42EE739A" w14:textId="77777777" w:rsidR="00436AC3" w:rsidRPr="00436AC3" w:rsidRDefault="00436AC3" w:rsidP="00A34C5B">
            <w:pPr>
              <w:jc w:val="center"/>
              <w:rPr>
                <w:sz w:val="24"/>
                <w:szCs w:val="24"/>
              </w:rPr>
            </w:pPr>
            <w:r w:rsidRPr="00436AC3">
              <w:rPr>
                <w:sz w:val="24"/>
                <w:szCs w:val="24"/>
              </w:rPr>
              <w:t>3</w:t>
            </w:r>
          </w:p>
        </w:tc>
        <w:tc>
          <w:tcPr>
            <w:tcW w:w="3085" w:type="dxa"/>
          </w:tcPr>
          <w:p w14:paraId="50D5AB0B" w14:textId="77777777" w:rsidR="00436AC3" w:rsidRPr="00436AC3" w:rsidRDefault="00436AC3" w:rsidP="00A34C5B">
            <w:pPr>
              <w:rPr>
                <w:sz w:val="24"/>
                <w:szCs w:val="24"/>
              </w:rPr>
            </w:pPr>
            <w:r w:rsidRPr="00436AC3">
              <w:rPr>
                <w:sz w:val="24"/>
                <w:szCs w:val="24"/>
              </w:rPr>
              <w:t>Low Concentration (70µg/mL)</w:t>
            </w:r>
          </w:p>
        </w:tc>
        <w:tc>
          <w:tcPr>
            <w:tcW w:w="2126" w:type="dxa"/>
          </w:tcPr>
          <w:p w14:paraId="300FA581" w14:textId="77777777" w:rsidR="00436AC3" w:rsidRPr="00436AC3" w:rsidRDefault="00436AC3" w:rsidP="00A34C5B">
            <w:pPr>
              <w:jc w:val="center"/>
              <w:rPr>
                <w:sz w:val="24"/>
                <w:szCs w:val="24"/>
              </w:rPr>
            </w:pPr>
            <w:r w:rsidRPr="00436AC3">
              <w:rPr>
                <w:sz w:val="24"/>
                <w:szCs w:val="24"/>
              </w:rPr>
              <w:t>40 (18–91)</w:t>
            </w:r>
          </w:p>
        </w:tc>
        <w:tc>
          <w:tcPr>
            <w:tcW w:w="1242" w:type="dxa"/>
          </w:tcPr>
          <w:p w14:paraId="634D1DE7" w14:textId="77777777" w:rsidR="00436AC3" w:rsidRPr="00436AC3" w:rsidRDefault="00436AC3" w:rsidP="00A34C5B">
            <w:pPr>
              <w:jc w:val="center"/>
              <w:rPr>
                <w:sz w:val="24"/>
                <w:szCs w:val="24"/>
                <w:lang w:val="id-ID"/>
              </w:rPr>
            </w:pPr>
            <w:r w:rsidRPr="00436AC3">
              <w:rPr>
                <w:sz w:val="24"/>
                <w:szCs w:val="24"/>
              </w:rPr>
              <w:t>285,27</w:t>
            </w:r>
          </w:p>
        </w:tc>
        <w:tc>
          <w:tcPr>
            <w:tcW w:w="946" w:type="dxa"/>
            <w:tcBorders>
              <w:left w:val="nil"/>
            </w:tcBorders>
          </w:tcPr>
          <w:p w14:paraId="2081112B" w14:textId="77777777" w:rsidR="00436AC3" w:rsidRPr="00436AC3" w:rsidRDefault="00436AC3" w:rsidP="00A34C5B">
            <w:pPr>
              <w:jc w:val="center"/>
              <w:rPr>
                <w:sz w:val="24"/>
                <w:szCs w:val="24"/>
              </w:rPr>
            </w:pPr>
          </w:p>
        </w:tc>
      </w:tr>
      <w:tr w:rsidR="00436AC3" w:rsidRPr="00436AC3" w14:paraId="50BA843B" w14:textId="77777777" w:rsidTr="00A34C5B">
        <w:trPr>
          <w:jc w:val="center"/>
        </w:trPr>
        <w:tc>
          <w:tcPr>
            <w:tcW w:w="1418" w:type="dxa"/>
            <w:vMerge/>
            <w:tcBorders>
              <w:bottom w:val="single" w:sz="4" w:space="0" w:color="auto"/>
            </w:tcBorders>
          </w:tcPr>
          <w:p w14:paraId="49A7F540" w14:textId="77777777" w:rsidR="00436AC3" w:rsidRPr="00436AC3" w:rsidRDefault="00436AC3" w:rsidP="00A34C5B">
            <w:pPr>
              <w:jc w:val="center"/>
              <w:rPr>
                <w:sz w:val="24"/>
                <w:szCs w:val="24"/>
              </w:rPr>
            </w:pPr>
          </w:p>
        </w:tc>
        <w:tc>
          <w:tcPr>
            <w:tcW w:w="425" w:type="dxa"/>
            <w:tcBorders>
              <w:bottom w:val="single" w:sz="4" w:space="0" w:color="auto"/>
            </w:tcBorders>
          </w:tcPr>
          <w:p w14:paraId="4B786BCB" w14:textId="77777777" w:rsidR="00436AC3" w:rsidRPr="00436AC3" w:rsidRDefault="00436AC3" w:rsidP="00A34C5B">
            <w:pPr>
              <w:spacing w:after="120"/>
              <w:jc w:val="center"/>
              <w:rPr>
                <w:sz w:val="24"/>
                <w:szCs w:val="24"/>
              </w:rPr>
            </w:pPr>
            <w:r w:rsidRPr="00436AC3">
              <w:rPr>
                <w:sz w:val="24"/>
                <w:szCs w:val="24"/>
              </w:rPr>
              <w:t>3</w:t>
            </w:r>
          </w:p>
        </w:tc>
        <w:tc>
          <w:tcPr>
            <w:tcW w:w="3085" w:type="dxa"/>
            <w:tcBorders>
              <w:bottom w:val="single" w:sz="4" w:space="0" w:color="auto"/>
            </w:tcBorders>
          </w:tcPr>
          <w:p w14:paraId="65CC38E4" w14:textId="77777777" w:rsidR="00436AC3" w:rsidRPr="00436AC3" w:rsidRDefault="00436AC3" w:rsidP="00A34C5B">
            <w:pPr>
              <w:spacing w:after="120"/>
              <w:rPr>
                <w:sz w:val="24"/>
                <w:szCs w:val="24"/>
              </w:rPr>
            </w:pPr>
            <w:r w:rsidRPr="00436AC3">
              <w:rPr>
                <w:sz w:val="24"/>
                <w:szCs w:val="24"/>
              </w:rPr>
              <w:t xml:space="preserve">High Concentration (80µg/mL) </w:t>
            </w:r>
          </w:p>
        </w:tc>
        <w:tc>
          <w:tcPr>
            <w:tcW w:w="2126" w:type="dxa"/>
            <w:tcBorders>
              <w:bottom w:val="single" w:sz="4" w:space="0" w:color="auto"/>
            </w:tcBorders>
          </w:tcPr>
          <w:p w14:paraId="66AF5D1D" w14:textId="77777777" w:rsidR="00436AC3" w:rsidRPr="00436AC3" w:rsidRDefault="00436AC3" w:rsidP="00A34C5B">
            <w:pPr>
              <w:jc w:val="center"/>
              <w:rPr>
                <w:sz w:val="24"/>
                <w:szCs w:val="24"/>
              </w:rPr>
            </w:pPr>
            <w:r w:rsidRPr="00436AC3">
              <w:rPr>
                <w:sz w:val="24"/>
                <w:szCs w:val="24"/>
              </w:rPr>
              <w:t>72 (62–78)</w:t>
            </w:r>
          </w:p>
        </w:tc>
        <w:tc>
          <w:tcPr>
            <w:tcW w:w="1242" w:type="dxa"/>
            <w:tcBorders>
              <w:bottom w:val="single" w:sz="4" w:space="0" w:color="auto"/>
            </w:tcBorders>
          </w:tcPr>
          <w:p w14:paraId="70941D04" w14:textId="77777777" w:rsidR="00436AC3" w:rsidRPr="00436AC3" w:rsidRDefault="00436AC3" w:rsidP="00A34C5B">
            <w:pPr>
              <w:jc w:val="center"/>
              <w:rPr>
                <w:sz w:val="24"/>
                <w:szCs w:val="24"/>
                <w:lang w:val="id-ID"/>
              </w:rPr>
            </w:pPr>
            <w:r w:rsidRPr="00436AC3">
              <w:rPr>
                <w:sz w:val="24"/>
                <w:szCs w:val="24"/>
              </w:rPr>
              <w:t>448,06</w:t>
            </w:r>
          </w:p>
        </w:tc>
        <w:tc>
          <w:tcPr>
            <w:tcW w:w="946" w:type="dxa"/>
            <w:tcBorders>
              <w:bottom w:val="single" w:sz="4" w:space="0" w:color="auto"/>
            </w:tcBorders>
          </w:tcPr>
          <w:p w14:paraId="7D2A097A" w14:textId="77777777" w:rsidR="00436AC3" w:rsidRPr="00436AC3" w:rsidRDefault="00436AC3" w:rsidP="00A34C5B">
            <w:pPr>
              <w:jc w:val="center"/>
              <w:rPr>
                <w:sz w:val="24"/>
                <w:szCs w:val="24"/>
              </w:rPr>
            </w:pPr>
          </w:p>
        </w:tc>
      </w:tr>
    </w:tbl>
    <w:p w14:paraId="1E6FAF77" w14:textId="77777777" w:rsidR="00436AC3" w:rsidRPr="00436AC3" w:rsidRDefault="00436AC3" w:rsidP="00436AC3">
      <w:pPr>
        <w:autoSpaceDE w:val="0"/>
        <w:autoSpaceDN w:val="0"/>
        <w:adjustRightInd w:val="0"/>
        <w:spacing w:after="0" w:line="240" w:lineRule="auto"/>
        <w:contextualSpacing/>
        <w:rPr>
          <w:rFonts w:ascii="Times New Roman" w:hAnsi="Times New Roman" w:cs="Times New Roman"/>
          <w:sz w:val="24"/>
          <w:szCs w:val="24"/>
        </w:rPr>
      </w:pPr>
      <w:r w:rsidRPr="00436AC3">
        <w:rPr>
          <w:rFonts w:ascii="Times New Roman" w:hAnsi="Times New Roman" w:cs="Times New Roman"/>
          <w:sz w:val="24"/>
          <w:szCs w:val="24"/>
        </w:rPr>
        <w:t xml:space="preserve">Kruskal-Wallis Test. Post-hoc Mann-Whitney Test. </w:t>
      </w:r>
    </w:p>
    <w:p w14:paraId="3DAB2E84" w14:textId="77777777" w:rsidR="00436AC3" w:rsidRPr="00436AC3" w:rsidRDefault="00436AC3" w:rsidP="00436AC3">
      <w:pPr>
        <w:autoSpaceDE w:val="0"/>
        <w:autoSpaceDN w:val="0"/>
        <w:adjustRightInd w:val="0"/>
        <w:spacing w:after="0" w:line="240" w:lineRule="auto"/>
        <w:contextualSpacing/>
        <w:rPr>
          <w:rFonts w:ascii="Times New Roman" w:hAnsi="Times New Roman" w:cs="Times New Roman"/>
          <w:b/>
          <w:sz w:val="24"/>
          <w:szCs w:val="24"/>
          <w:lang w:val="id-ID"/>
        </w:rPr>
      </w:pPr>
      <w:r w:rsidRPr="00436AC3">
        <w:rPr>
          <w:rFonts w:ascii="Times New Roman" w:hAnsi="Times New Roman" w:cs="Times New Roman"/>
          <w:b/>
          <w:sz w:val="24"/>
          <w:szCs w:val="24"/>
        </w:rPr>
        <w:t>Flow Cytometry</w:t>
      </w:r>
      <w:r w:rsidRPr="00436AC3">
        <w:rPr>
          <w:rFonts w:ascii="Times New Roman" w:hAnsi="Times New Roman" w:cs="Times New Roman"/>
          <w:b/>
          <w:sz w:val="24"/>
          <w:szCs w:val="24"/>
          <w:lang w:val="id-ID"/>
        </w:rPr>
        <w:t>:</w:t>
      </w:r>
    </w:p>
    <w:p w14:paraId="6B243FF6" w14:textId="77777777" w:rsidR="00436AC3" w:rsidRPr="00436AC3" w:rsidRDefault="00436AC3" w:rsidP="00436AC3">
      <w:pPr>
        <w:autoSpaceDE w:val="0"/>
        <w:autoSpaceDN w:val="0"/>
        <w:adjustRightInd w:val="0"/>
        <w:spacing w:after="0" w:line="240" w:lineRule="auto"/>
        <w:contextualSpacing/>
        <w:rPr>
          <w:rFonts w:ascii="Times New Roman" w:hAnsi="Times New Roman" w:cs="Times New Roman"/>
          <w:sz w:val="24"/>
          <w:szCs w:val="24"/>
        </w:rPr>
      </w:pPr>
      <w:r w:rsidRPr="00436AC3">
        <w:rPr>
          <w:rFonts w:ascii="Times New Roman" w:hAnsi="Times New Roman" w:cs="Times New Roman"/>
          <w:sz w:val="24"/>
          <w:szCs w:val="24"/>
        </w:rPr>
        <w:t>No Exposure vs. Low Concentration p &lt; 0,001; No Exposure vs. High Concentration p &lt; 0,001; Low Concentration vs. High Concentration p &lt; 0,001.</w:t>
      </w:r>
    </w:p>
    <w:p w14:paraId="68B6C18B" w14:textId="77777777" w:rsidR="00436AC3" w:rsidRPr="00436AC3" w:rsidRDefault="00436AC3" w:rsidP="00436AC3">
      <w:pPr>
        <w:autoSpaceDE w:val="0"/>
        <w:autoSpaceDN w:val="0"/>
        <w:adjustRightInd w:val="0"/>
        <w:spacing w:after="0" w:line="240" w:lineRule="auto"/>
        <w:contextualSpacing/>
        <w:rPr>
          <w:rFonts w:ascii="Times New Roman" w:hAnsi="Times New Roman" w:cs="Times New Roman"/>
          <w:b/>
          <w:sz w:val="24"/>
          <w:szCs w:val="24"/>
          <w:lang w:val="id-ID"/>
        </w:rPr>
      </w:pPr>
      <w:r w:rsidRPr="00436AC3">
        <w:rPr>
          <w:rFonts w:ascii="Times New Roman" w:hAnsi="Times New Roman" w:cs="Times New Roman"/>
          <w:b/>
          <w:sz w:val="24"/>
          <w:szCs w:val="24"/>
        </w:rPr>
        <w:t>AO/EB Staining</w:t>
      </w:r>
      <w:r w:rsidRPr="00436AC3">
        <w:rPr>
          <w:rFonts w:ascii="Times New Roman" w:hAnsi="Times New Roman" w:cs="Times New Roman"/>
          <w:b/>
          <w:sz w:val="24"/>
          <w:szCs w:val="24"/>
          <w:lang w:val="id-ID"/>
        </w:rPr>
        <w:t>:</w:t>
      </w:r>
    </w:p>
    <w:p w14:paraId="462BD108" w14:textId="77777777" w:rsidR="00436AC3" w:rsidRPr="00436AC3" w:rsidRDefault="00436AC3" w:rsidP="00436AC3">
      <w:pPr>
        <w:autoSpaceDE w:val="0"/>
        <w:autoSpaceDN w:val="0"/>
        <w:adjustRightInd w:val="0"/>
        <w:spacing w:after="0" w:line="240" w:lineRule="auto"/>
        <w:contextualSpacing/>
        <w:rPr>
          <w:rFonts w:ascii="Times New Roman" w:hAnsi="Times New Roman" w:cs="Times New Roman"/>
          <w:sz w:val="24"/>
          <w:szCs w:val="24"/>
        </w:rPr>
      </w:pPr>
      <w:r w:rsidRPr="00436AC3">
        <w:rPr>
          <w:rFonts w:ascii="Times New Roman" w:hAnsi="Times New Roman" w:cs="Times New Roman"/>
          <w:sz w:val="24"/>
          <w:szCs w:val="24"/>
        </w:rPr>
        <w:t>No Exposure vs. Low Concentration p = 0,687; No Exposure vs. High Concentration p &lt; 0,001; Low Concentration vs. High Concentration p = 0,227.</w:t>
      </w:r>
    </w:p>
    <w:p w14:paraId="19FEEA17" w14:textId="77777777" w:rsidR="00436AC3" w:rsidRPr="00436AC3" w:rsidRDefault="00436AC3" w:rsidP="00436AC3">
      <w:pPr>
        <w:spacing w:after="0"/>
        <w:ind w:firstLine="720"/>
        <w:jc w:val="both"/>
        <w:rPr>
          <w:rFonts w:ascii="Times New Roman" w:hAnsi="Times New Roman" w:cs="Times New Roman"/>
          <w:sz w:val="24"/>
          <w:szCs w:val="24"/>
        </w:rPr>
      </w:pPr>
    </w:p>
    <w:p w14:paraId="63672116"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 xml:space="preserve">The correlation test of caspase-3 examination using flow cytometry and </w:t>
      </w:r>
      <w:r w:rsidRPr="00436AC3">
        <w:rPr>
          <w:rFonts w:ascii="Times New Roman" w:hAnsi="Times New Roman" w:cs="Times New Roman"/>
          <w:bCs/>
          <w:sz w:val="24"/>
          <w:szCs w:val="24"/>
        </w:rPr>
        <w:t xml:space="preserve">AO/EB staining </w:t>
      </w:r>
      <w:r w:rsidRPr="00436AC3">
        <w:rPr>
          <w:rFonts w:ascii="Times New Roman" w:hAnsi="Times New Roman" w:cs="Times New Roman"/>
          <w:sz w:val="24"/>
          <w:szCs w:val="24"/>
        </w:rPr>
        <w:t>showed that there was a strong correlation (</w:t>
      </w:r>
      <w:r w:rsidRPr="00436AC3">
        <w:rPr>
          <w:rFonts w:ascii="Times New Roman" w:hAnsi="Times New Roman" w:cs="Times New Roman"/>
          <w:i/>
          <w:iCs/>
          <w:sz w:val="24"/>
          <w:szCs w:val="24"/>
        </w:rPr>
        <w:t xml:space="preserve">p=0.02, r=0.750). </w:t>
      </w:r>
      <w:r w:rsidRPr="00436AC3">
        <w:rPr>
          <w:rFonts w:ascii="Times New Roman" w:hAnsi="Times New Roman" w:cs="Times New Roman"/>
          <w:sz w:val="24"/>
          <w:szCs w:val="24"/>
        </w:rPr>
        <w:t>Correlation was performed on all concentration groups.</w:t>
      </w:r>
    </w:p>
    <w:p w14:paraId="066D33B2" w14:textId="77777777" w:rsidR="00436AC3" w:rsidRPr="00436AC3" w:rsidRDefault="00436AC3" w:rsidP="00436AC3">
      <w:pPr>
        <w:spacing w:after="0"/>
        <w:ind w:firstLine="720"/>
        <w:jc w:val="both"/>
        <w:rPr>
          <w:rFonts w:ascii="Times New Roman" w:hAnsi="Times New Roman" w:cs="Times New Roman"/>
          <w:i/>
          <w:iCs/>
          <w:sz w:val="24"/>
          <w:szCs w:val="24"/>
        </w:rPr>
      </w:pPr>
    </w:p>
    <w:p w14:paraId="2664D9F4" w14:textId="77777777" w:rsidR="00436AC3" w:rsidRPr="00436AC3" w:rsidRDefault="00436AC3" w:rsidP="00436AC3">
      <w:pPr>
        <w:spacing w:after="0" w:line="240" w:lineRule="auto"/>
        <w:jc w:val="center"/>
        <w:rPr>
          <w:rFonts w:ascii="Times New Roman" w:hAnsi="Times New Roman" w:cs="Times New Roman"/>
          <w:b/>
          <w:sz w:val="24"/>
          <w:szCs w:val="24"/>
        </w:rPr>
      </w:pPr>
      <w:r w:rsidRPr="00436AC3">
        <w:rPr>
          <w:rFonts w:ascii="Times New Roman" w:hAnsi="Times New Roman" w:cs="Times New Roman"/>
          <w:b/>
          <w:sz w:val="24"/>
          <w:szCs w:val="24"/>
        </w:rPr>
        <w:t>Table 2. Relationship between Caspase-3 Activity using Flow Cytometry and Acridine Orange/Ethidium Bromide Staining in MCF-7 Breast Cancer Cells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6"/>
        <w:gridCol w:w="336"/>
        <w:gridCol w:w="2642"/>
        <w:gridCol w:w="756"/>
      </w:tblGrid>
      <w:tr w:rsidR="00436AC3" w:rsidRPr="00436AC3" w14:paraId="7AAE61CC" w14:textId="77777777" w:rsidTr="00A34C5B">
        <w:trPr>
          <w:jc w:val="center"/>
        </w:trPr>
        <w:tc>
          <w:tcPr>
            <w:tcW w:w="0" w:type="auto"/>
            <w:vAlign w:val="center"/>
          </w:tcPr>
          <w:p w14:paraId="060A3884" w14:textId="77777777" w:rsidR="00436AC3" w:rsidRPr="00436AC3" w:rsidRDefault="00436AC3" w:rsidP="00A34C5B">
            <w:pPr>
              <w:tabs>
                <w:tab w:val="left" w:pos="6575"/>
              </w:tabs>
              <w:jc w:val="center"/>
              <w:rPr>
                <w:b/>
                <w:sz w:val="24"/>
                <w:szCs w:val="24"/>
              </w:rPr>
            </w:pPr>
          </w:p>
        </w:tc>
        <w:tc>
          <w:tcPr>
            <w:tcW w:w="0" w:type="auto"/>
          </w:tcPr>
          <w:p w14:paraId="5126CF62" w14:textId="77777777" w:rsidR="00436AC3" w:rsidRPr="00436AC3" w:rsidRDefault="00436AC3" w:rsidP="00A34C5B">
            <w:pPr>
              <w:tabs>
                <w:tab w:val="left" w:pos="6575"/>
              </w:tabs>
              <w:jc w:val="center"/>
              <w:rPr>
                <w:b/>
                <w:sz w:val="24"/>
                <w:szCs w:val="24"/>
              </w:rPr>
            </w:pPr>
          </w:p>
        </w:tc>
        <w:tc>
          <w:tcPr>
            <w:tcW w:w="0" w:type="auto"/>
          </w:tcPr>
          <w:p w14:paraId="58EEBB9D" w14:textId="77777777" w:rsidR="00436AC3" w:rsidRPr="00436AC3" w:rsidRDefault="00436AC3" w:rsidP="00A34C5B">
            <w:pPr>
              <w:tabs>
                <w:tab w:val="left" w:pos="6575"/>
              </w:tabs>
              <w:jc w:val="center"/>
              <w:rPr>
                <w:b/>
                <w:sz w:val="24"/>
                <w:szCs w:val="24"/>
              </w:rPr>
            </w:pPr>
          </w:p>
        </w:tc>
        <w:tc>
          <w:tcPr>
            <w:tcW w:w="0" w:type="auto"/>
          </w:tcPr>
          <w:p w14:paraId="59A06E25" w14:textId="77777777" w:rsidR="00436AC3" w:rsidRPr="00436AC3" w:rsidRDefault="00436AC3" w:rsidP="00A34C5B">
            <w:pPr>
              <w:tabs>
                <w:tab w:val="left" w:pos="6575"/>
              </w:tabs>
              <w:jc w:val="center"/>
              <w:rPr>
                <w:b/>
                <w:sz w:val="24"/>
                <w:szCs w:val="24"/>
              </w:rPr>
            </w:pPr>
          </w:p>
        </w:tc>
      </w:tr>
      <w:tr w:rsidR="00436AC3" w:rsidRPr="00436AC3" w14:paraId="6CCC63B9" w14:textId="77777777" w:rsidTr="00A34C5B">
        <w:trPr>
          <w:jc w:val="center"/>
        </w:trPr>
        <w:tc>
          <w:tcPr>
            <w:tcW w:w="0" w:type="auto"/>
            <w:tcBorders>
              <w:bottom w:val="single" w:sz="4" w:space="0" w:color="auto"/>
            </w:tcBorders>
            <w:vAlign w:val="center"/>
          </w:tcPr>
          <w:p w14:paraId="0EEABF94" w14:textId="77777777" w:rsidR="00436AC3" w:rsidRPr="00436AC3" w:rsidRDefault="00436AC3" w:rsidP="00A34C5B">
            <w:pPr>
              <w:tabs>
                <w:tab w:val="left" w:pos="6575"/>
              </w:tabs>
              <w:jc w:val="center"/>
              <w:rPr>
                <w:b/>
                <w:sz w:val="24"/>
                <w:szCs w:val="24"/>
              </w:rPr>
            </w:pPr>
          </w:p>
        </w:tc>
        <w:tc>
          <w:tcPr>
            <w:tcW w:w="0" w:type="auto"/>
            <w:tcBorders>
              <w:bottom w:val="single" w:sz="4" w:space="0" w:color="auto"/>
            </w:tcBorders>
          </w:tcPr>
          <w:p w14:paraId="5EC45CF7" w14:textId="77777777" w:rsidR="00436AC3" w:rsidRPr="00436AC3" w:rsidRDefault="00436AC3" w:rsidP="00A34C5B">
            <w:pPr>
              <w:tabs>
                <w:tab w:val="left" w:pos="6575"/>
              </w:tabs>
              <w:jc w:val="center"/>
              <w:rPr>
                <w:b/>
                <w:sz w:val="24"/>
                <w:szCs w:val="24"/>
              </w:rPr>
            </w:pPr>
          </w:p>
        </w:tc>
        <w:tc>
          <w:tcPr>
            <w:tcW w:w="0" w:type="auto"/>
            <w:tcBorders>
              <w:bottom w:val="single" w:sz="4" w:space="0" w:color="auto"/>
            </w:tcBorders>
          </w:tcPr>
          <w:p w14:paraId="2E2F6585" w14:textId="77777777" w:rsidR="00436AC3" w:rsidRPr="00436AC3" w:rsidRDefault="00436AC3" w:rsidP="00A34C5B">
            <w:pPr>
              <w:tabs>
                <w:tab w:val="left" w:pos="6575"/>
              </w:tabs>
              <w:jc w:val="center"/>
              <w:rPr>
                <w:b/>
                <w:sz w:val="24"/>
                <w:szCs w:val="24"/>
              </w:rPr>
            </w:pPr>
          </w:p>
        </w:tc>
        <w:tc>
          <w:tcPr>
            <w:tcW w:w="0" w:type="auto"/>
            <w:tcBorders>
              <w:bottom w:val="single" w:sz="4" w:space="0" w:color="auto"/>
            </w:tcBorders>
          </w:tcPr>
          <w:p w14:paraId="6B566778" w14:textId="77777777" w:rsidR="00436AC3" w:rsidRPr="00436AC3" w:rsidRDefault="00436AC3" w:rsidP="00A34C5B">
            <w:pPr>
              <w:tabs>
                <w:tab w:val="left" w:pos="6575"/>
              </w:tabs>
              <w:jc w:val="center"/>
              <w:rPr>
                <w:b/>
                <w:sz w:val="24"/>
                <w:szCs w:val="24"/>
              </w:rPr>
            </w:pPr>
          </w:p>
        </w:tc>
      </w:tr>
      <w:tr w:rsidR="00436AC3" w:rsidRPr="00436AC3" w14:paraId="4330A188" w14:textId="77777777" w:rsidTr="00A34C5B">
        <w:trPr>
          <w:jc w:val="center"/>
        </w:trPr>
        <w:tc>
          <w:tcPr>
            <w:tcW w:w="0" w:type="auto"/>
            <w:tcBorders>
              <w:top w:val="single" w:sz="4" w:space="0" w:color="auto"/>
              <w:bottom w:val="single" w:sz="4" w:space="0" w:color="auto"/>
            </w:tcBorders>
            <w:vAlign w:val="center"/>
          </w:tcPr>
          <w:p w14:paraId="781A973B" w14:textId="77777777" w:rsidR="00436AC3" w:rsidRPr="00436AC3" w:rsidRDefault="00436AC3" w:rsidP="00A34C5B">
            <w:pPr>
              <w:tabs>
                <w:tab w:val="left" w:pos="6575"/>
              </w:tabs>
              <w:jc w:val="center"/>
              <w:rPr>
                <w:bCs/>
                <w:sz w:val="24"/>
                <w:szCs w:val="24"/>
              </w:rPr>
            </w:pPr>
            <w:r w:rsidRPr="00436AC3">
              <w:rPr>
                <w:bCs/>
                <w:sz w:val="24"/>
                <w:szCs w:val="24"/>
              </w:rPr>
              <w:t>Cell Culture</w:t>
            </w:r>
          </w:p>
        </w:tc>
        <w:tc>
          <w:tcPr>
            <w:tcW w:w="0" w:type="auto"/>
            <w:tcBorders>
              <w:top w:val="single" w:sz="4" w:space="0" w:color="auto"/>
              <w:bottom w:val="single" w:sz="4" w:space="0" w:color="auto"/>
            </w:tcBorders>
          </w:tcPr>
          <w:p w14:paraId="2F28A959" w14:textId="77777777" w:rsidR="00436AC3" w:rsidRPr="00436AC3" w:rsidRDefault="00436AC3" w:rsidP="00A34C5B">
            <w:pPr>
              <w:pStyle w:val="ListParagraph"/>
              <w:ind w:left="0"/>
              <w:jc w:val="center"/>
              <w:rPr>
                <w:rFonts w:ascii="Times New Roman" w:hAnsi="Times New Roman" w:cs="Times New Roman"/>
                <w:bCs/>
                <w:sz w:val="24"/>
                <w:szCs w:val="24"/>
              </w:rPr>
            </w:pPr>
            <w:r w:rsidRPr="00436AC3">
              <w:rPr>
                <w:rFonts w:ascii="Times New Roman" w:hAnsi="Times New Roman" w:cs="Times New Roman"/>
                <w:bCs/>
                <w:sz w:val="24"/>
                <w:szCs w:val="24"/>
              </w:rPr>
              <w:t>n</w:t>
            </w:r>
          </w:p>
        </w:tc>
        <w:tc>
          <w:tcPr>
            <w:tcW w:w="0" w:type="auto"/>
            <w:tcBorders>
              <w:top w:val="single" w:sz="4" w:space="0" w:color="auto"/>
              <w:bottom w:val="single" w:sz="4" w:space="0" w:color="auto"/>
            </w:tcBorders>
          </w:tcPr>
          <w:p w14:paraId="45F578FF" w14:textId="77777777" w:rsidR="00436AC3" w:rsidRPr="00436AC3" w:rsidRDefault="00436AC3" w:rsidP="00A34C5B">
            <w:pPr>
              <w:tabs>
                <w:tab w:val="left" w:pos="6575"/>
              </w:tabs>
              <w:jc w:val="center"/>
              <w:rPr>
                <w:sz w:val="24"/>
                <w:szCs w:val="24"/>
              </w:rPr>
            </w:pPr>
            <w:r w:rsidRPr="00436AC3">
              <w:rPr>
                <w:sz w:val="24"/>
                <w:szCs w:val="24"/>
              </w:rPr>
              <w:t>correlation coefficient (r)</w:t>
            </w:r>
          </w:p>
        </w:tc>
        <w:tc>
          <w:tcPr>
            <w:tcW w:w="0" w:type="auto"/>
            <w:tcBorders>
              <w:top w:val="single" w:sz="4" w:space="0" w:color="auto"/>
              <w:bottom w:val="single" w:sz="4" w:space="0" w:color="auto"/>
            </w:tcBorders>
          </w:tcPr>
          <w:p w14:paraId="752FBB48" w14:textId="77777777" w:rsidR="00436AC3" w:rsidRPr="00436AC3" w:rsidRDefault="00436AC3" w:rsidP="00A34C5B">
            <w:pPr>
              <w:pStyle w:val="ListParagraph"/>
              <w:ind w:left="0"/>
              <w:jc w:val="center"/>
              <w:rPr>
                <w:rFonts w:ascii="Times New Roman" w:hAnsi="Times New Roman" w:cs="Times New Roman"/>
                <w:bCs/>
                <w:i/>
                <w:iCs/>
                <w:sz w:val="24"/>
                <w:szCs w:val="24"/>
              </w:rPr>
            </w:pPr>
            <w:r w:rsidRPr="00436AC3">
              <w:rPr>
                <w:rFonts w:ascii="Times New Roman" w:hAnsi="Times New Roman" w:cs="Times New Roman"/>
                <w:bCs/>
                <w:i/>
                <w:iCs/>
                <w:sz w:val="24"/>
                <w:szCs w:val="24"/>
              </w:rPr>
              <w:t>p</w:t>
            </w:r>
          </w:p>
        </w:tc>
      </w:tr>
      <w:tr w:rsidR="00436AC3" w:rsidRPr="00436AC3" w14:paraId="49B8DA4C" w14:textId="77777777" w:rsidTr="00A34C5B">
        <w:trPr>
          <w:jc w:val="center"/>
        </w:trPr>
        <w:tc>
          <w:tcPr>
            <w:tcW w:w="0" w:type="auto"/>
            <w:tcBorders>
              <w:top w:val="single" w:sz="4" w:space="0" w:color="auto"/>
              <w:bottom w:val="single" w:sz="4" w:space="0" w:color="auto"/>
            </w:tcBorders>
          </w:tcPr>
          <w:p w14:paraId="3BB1B94B" w14:textId="77777777" w:rsidR="00436AC3" w:rsidRPr="00436AC3" w:rsidRDefault="00436AC3" w:rsidP="00A34C5B">
            <w:pPr>
              <w:tabs>
                <w:tab w:val="left" w:pos="6575"/>
              </w:tabs>
              <w:spacing w:before="120"/>
              <w:jc w:val="center"/>
              <w:rPr>
                <w:sz w:val="24"/>
                <w:szCs w:val="24"/>
              </w:rPr>
            </w:pPr>
            <w:r w:rsidRPr="00436AC3">
              <w:rPr>
                <w:sz w:val="24"/>
                <w:szCs w:val="24"/>
              </w:rPr>
              <w:t>MCF-7</w:t>
            </w:r>
          </w:p>
        </w:tc>
        <w:tc>
          <w:tcPr>
            <w:tcW w:w="0" w:type="auto"/>
            <w:tcBorders>
              <w:top w:val="single" w:sz="4" w:space="0" w:color="auto"/>
              <w:bottom w:val="single" w:sz="4" w:space="0" w:color="auto"/>
            </w:tcBorders>
          </w:tcPr>
          <w:p w14:paraId="2C1E58C0" w14:textId="77777777" w:rsidR="00436AC3" w:rsidRPr="00436AC3" w:rsidRDefault="00436AC3" w:rsidP="00A34C5B">
            <w:pPr>
              <w:pStyle w:val="ListParagraph"/>
              <w:spacing w:before="120"/>
              <w:ind w:left="0"/>
              <w:jc w:val="center"/>
              <w:rPr>
                <w:rFonts w:ascii="Times New Roman" w:hAnsi="Times New Roman" w:cs="Times New Roman"/>
                <w:sz w:val="24"/>
                <w:szCs w:val="24"/>
              </w:rPr>
            </w:pPr>
            <w:r w:rsidRPr="00436AC3">
              <w:rPr>
                <w:rFonts w:ascii="Times New Roman" w:hAnsi="Times New Roman" w:cs="Times New Roman"/>
                <w:sz w:val="24"/>
                <w:szCs w:val="24"/>
              </w:rPr>
              <w:t>3</w:t>
            </w:r>
          </w:p>
        </w:tc>
        <w:tc>
          <w:tcPr>
            <w:tcW w:w="0" w:type="auto"/>
            <w:tcBorders>
              <w:top w:val="single" w:sz="4" w:space="0" w:color="auto"/>
              <w:bottom w:val="single" w:sz="4" w:space="0" w:color="auto"/>
            </w:tcBorders>
            <w:vAlign w:val="bottom"/>
          </w:tcPr>
          <w:p w14:paraId="233F83CF" w14:textId="77777777" w:rsidR="00436AC3" w:rsidRPr="00436AC3" w:rsidRDefault="00436AC3" w:rsidP="00A34C5B">
            <w:pPr>
              <w:pStyle w:val="ListParagraph"/>
              <w:spacing w:before="120"/>
              <w:ind w:left="0"/>
              <w:jc w:val="center"/>
              <w:rPr>
                <w:rFonts w:ascii="Times New Roman" w:hAnsi="Times New Roman" w:cs="Times New Roman"/>
                <w:sz w:val="24"/>
                <w:szCs w:val="24"/>
              </w:rPr>
            </w:pPr>
            <w:r w:rsidRPr="00436AC3">
              <w:rPr>
                <w:rFonts w:ascii="Times New Roman" w:hAnsi="Times New Roman" w:cs="Times New Roman"/>
                <w:sz w:val="24"/>
                <w:szCs w:val="24"/>
              </w:rPr>
              <w:t>0,750</w:t>
            </w:r>
          </w:p>
        </w:tc>
        <w:tc>
          <w:tcPr>
            <w:tcW w:w="0" w:type="auto"/>
            <w:tcBorders>
              <w:top w:val="single" w:sz="4" w:space="0" w:color="auto"/>
              <w:bottom w:val="single" w:sz="4" w:space="0" w:color="auto"/>
            </w:tcBorders>
            <w:vAlign w:val="bottom"/>
          </w:tcPr>
          <w:p w14:paraId="56B06FAB" w14:textId="77777777" w:rsidR="00436AC3" w:rsidRPr="00436AC3" w:rsidRDefault="00436AC3" w:rsidP="00A34C5B">
            <w:pPr>
              <w:pStyle w:val="ListParagraph"/>
              <w:spacing w:before="120"/>
              <w:ind w:left="0"/>
              <w:jc w:val="center"/>
              <w:rPr>
                <w:rFonts w:ascii="Times New Roman" w:hAnsi="Times New Roman" w:cs="Times New Roman"/>
                <w:sz w:val="24"/>
                <w:szCs w:val="24"/>
              </w:rPr>
            </w:pPr>
            <w:r w:rsidRPr="00436AC3">
              <w:rPr>
                <w:rFonts w:ascii="Times New Roman" w:hAnsi="Times New Roman" w:cs="Times New Roman"/>
                <w:sz w:val="24"/>
                <w:szCs w:val="24"/>
              </w:rPr>
              <w:t>0,020</w:t>
            </w:r>
          </w:p>
        </w:tc>
      </w:tr>
    </w:tbl>
    <w:p w14:paraId="539B7405" w14:textId="77777777" w:rsidR="00436AC3" w:rsidRPr="00436AC3" w:rsidRDefault="00436AC3" w:rsidP="00436AC3">
      <w:pPr>
        <w:spacing w:after="0" w:line="240" w:lineRule="auto"/>
        <w:ind w:left="1440" w:firstLine="720"/>
        <w:rPr>
          <w:rFonts w:ascii="Times New Roman" w:hAnsi="Times New Roman" w:cs="Times New Roman"/>
          <w:bCs/>
          <w:sz w:val="24"/>
          <w:szCs w:val="24"/>
        </w:rPr>
      </w:pPr>
      <w:r w:rsidRPr="00436AC3">
        <w:rPr>
          <w:rFonts w:ascii="Times New Roman" w:hAnsi="Times New Roman" w:cs="Times New Roman"/>
          <w:bCs/>
          <w:sz w:val="24"/>
          <w:szCs w:val="24"/>
        </w:rPr>
        <w:t xml:space="preserve">    Spearman correlation test</w:t>
      </w:r>
    </w:p>
    <w:p w14:paraId="0DBEB890" w14:textId="77777777" w:rsidR="00436AC3" w:rsidRPr="00436AC3" w:rsidRDefault="00436AC3" w:rsidP="00436AC3">
      <w:pPr>
        <w:spacing w:after="0"/>
        <w:ind w:firstLine="720"/>
        <w:jc w:val="both"/>
        <w:rPr>
          <w:rFonts w:ascii="Times New Roman" w:hAnsi="Times New Roman" w:cs="Times New Roman"/>
          <w:i/>
          <w:iCs/>
          <w:sz w:val="24"/>
          <w:szCs w:val="24"/>
        </w:rPr>
      </w:pPr>
    </w:p>
    <w:p w14:paraId="68BB307F"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The results of the analysis showed a meaningful unidirectional relationship between the percentage of caspase-3 activity and AO/EB staining in MCF-7 cells with moderate to strong positive correlation strength</w:t>
      </w:r>
      <w:r w:rsidRPr="00436AC3">
        <w:rPr>
          <w:rFonts w:ascii="Times New Roman" w:hAnsi="Times New Roman" w:cs="Times New Roman"/>
          <w:bCs/>
          <w:sz w:val="24"/>
          <w:szCs w:val="24"/>
        </w:rPr>
        <w:t xml:space="preserve">. The higher </w:t>
      </w:r>
      <w:r w:rsidRPr="00436AC3">
        <w:rPr>
          <w:rFonts w:ascii="Times New Roman" w:hAnsi="Times New Roman" w:cs="Times New Roman"/>
          <w:sz w:val="24"/>
          <w:szCs w:val="24"/>
        </w:rPr>
        <w:t>the percentage of caspase-3 activity</w:t>
      </w:r>
      <w:r w:rsidRPr="00436AC3">
        <w:rPr>
          <w:rFonts w:ascii="Times New Roman" w:hAnsi="Times New Roman" w:cs="Times New Roman"/>
          <w:bCs/>
          <w:sz w:val="24"/>
          <w:szCs w:val="24"/>
        </w:rPr>
        <w:t xml:space="preserve">, the higher the percentage </w:t>
      </w:r>
      <w:r w:rsidRPr="00436AC3">
        <w:rPr>
          <w:rFonts w:ascii="Times New Roman" w:hAnsi="Times New Roman" w:cs="Times New Roman"/>
          <w:sz w:val="24"/>
          <w:szCs w:val="24"/>
        </w:rPr>
        <w:t>of AO/EB staining</w:t>
      </w:r>
      <w:r w:rsidRPr="00436AC3">
        <w:rPr>
          <w:rFonts w:ascii="Times New Roman" w:hAnsi="Times New Roman" w:cs="Times New Roman"/>
          <w:bCs/>
          <w:sz w:val="24"/>
          <w:szCs w:val="24"/>
        </w:rPr>
        <w:t>.</w:t>
      </w:r>
      <w:r w:rsidRPr="00436AC3">
        <w:rPr>
          <w:rFonts w:ascii="Times New Roman" w:hAnsi="Times New Roman" w:cs="Times New Roman"/>
          <w:sz w:val="24"/>
          <w:szCs w:val="24"/>
        </w:rPr>
        <w:t xml:space="preserve"> </w:t>
      </w:r>
    </w:p>
    <w:p w14:paraId="70405D36" w14:textId="77777777" w:rsidR="00436AC3" w:rsidRPr="00436AC3" w:rsidRDefault="00436AC3" w:rsidP="00436AC3">
      <w:pPr>
        <w:spacing w:after="0"/>
        <w:jc w:val="both"/>
        <w:rPr>
          <w:rFonts w:ascii="Times New Roman" w:hAnsi="Times New Roman" w:cs="Times New Roman"/>
          <w:bCs/>
          <w:i/>
          <w:sz w:val="24"/>
          <w:szCs w:val="24"/>
        </w:rPr>
      </w:pPr>
      <w:r w:rsidRPr="00436AC3">
        <w:rPr>
          <w:rFonts w:ascii="Times New Roman" w:hAnsi="Times New Roman" w:cs="Times New Roman"/>
          <w:b/>
          <w:noProof/>
          <w:sz w:val="24"/>
          <w:szCs w:val="24"/>
          <w:lang w:val="en-US"/>
        </w:rPr>
        <w:drawing>
          <wp:inline distT="0" distB="0" distL="0" distR="0" wp14:anchorId="2B379209" wp14:editId="0DEA262F">
            <wp:extent cx="4984750" cy="2362200"/>
            <wp:effectExtent l="0" t="0" r="6350" b="0"/>
            <wp:docPr id="177419660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044E217" w14:textId="77777777" w:rsidR="00436AC3" w:rsidRPr="00436AC3" w:rsidRDefault="00436AC3" w:rsidP="00436AC3">
      <w:pPr>
        <w:spacing w:after="0"/>
        <w:jc w:val="both"/>
        <w:rPr>
          <w:rFonts w:ascii="Times New Roman" w:hAnsi="Times New Roman" w:cs="Times New Roman"/>
          <w:b/>
          <w:sz w:val="24"/>
          <w:szCs w:val="24"/>
        </w:rPr>
      </w:pPr>
      <w:r w:rsidRPr="00436AC3">
        <w:rPr>
          <w:rFonts w:ascii="Times New Roman" w:hAnsi="Times New Roman" w:cs="Times New Roman"/>
          <w:b/>
          <w:sz w:val="24"/>
          <w:szCs w:val="24"/>
        </w:rPr>
        <w:t>Figure 1.</w:t>
      </w:r>
      <w:r w:rsidRPr="00436AC3">
        <w:rPr>
          <w:rFonts w:ascii="Times New Roman" w:hAnsi="Times New Roman" w:cs="Times New Roman"/>
          <w:bCs/>
          <w:sz w:val="24"/>
          <w:szCs w:val="24"/>
        </w:rPr>
        <w:t xml:space="preserve"> Caspase-3 Activity with Flow cytometry and </w:t>
      </w:r>
      <w:r w:rsidRPr="00436AC3">
        <w:rPr>
          <w:rFonts w:ascii="Times New Roman" w:hAnsi="Times New Roman" w:cs="Times New Roman"/>
          <w:bCs/>
          <w:iCs/>
          <w:sz w:val="24"/>
          <w:szCs w:val="24"/>
        </w:rPr>
        <w:t>Acridine Orange/Ethidium Bromide staining</w:t>
      </w:r>
      <w:r w:rsidRPr="00436AC3">
        <w:rPr>
          <w:rFonts w:ascii="Times New Roman" w:hAnsi="Times New Roman" w:cs="Times New Roman"/>
          <w:bCs/>
          <w:sz w:val="24"/>
          <w:szCs w:val="24"/>
        </w:rPr>
        <w:t xml:space="preserve"> Based on Curcumin Concentration Groups Given to Breast Cancer Cells.  </w:t>
      </w:r>
    </w:p>
    <w:p w14:paraId="1DA287C4" w14:textId="77777777" w:rsidR="00436AC3" w:rsidRPr="00436AC3" w:rsidRDefault="00436AC3" w:rsidP="00436AC3">
      <w:pPr>
        <w:spacing w:after="0"/>
        <w:ind w:firstLine="720"/>
        <w:jc w:val="both"/>
        <w:rPr>
          <w:rFonts w:ascii="Times New Roman" w:hAnsi="Times New Roman" w:cs="Times New Roman"/>
          <w:sz w:val="24"/>
          <w:szCs w:val="24"/>
        </w:rPr>
      </w:pPr>
    </w:p>
    <w:p w14:paraId="7F3F23F8" w14:textId="77777777" w:rsidR="00436AC3" w:rsidRPr="00436AC3" w:rsidRDefault="00436AC3" w:rsidP="00436AC3">
      <w:pPr>
        <w:spacing w:after="0"/>
        <w:ind w:firstLine="720"/>
        <w:jc w:val="both"/>
        <w:rPr>
          <w:rFonts w:ascii="Times New Roman" w:hAnsi="Times New Roman" w:cs="Times New Roman"/>
          <w:sz w:val="24"/>
          <w:szCs w:val="24"/>
          <w:lang w:val="id-ID"/>
        </w:rPr>
      </w:pPr>
      <w:r w:rsidRPr="00436AC3">
        <w:rPr>
          <w:rFonts w:ascii="Times New Roman" w:hAnsi="Times New Roman" w:cs="Times New Roman"/>
          <w:sz w:val="24"/>
          <w:szCs w:val="24"/>
        </w:rPr>
        <w:t xml:space="preserve">The </w:t>
      </w:r>
      <w:r w:rsidRPr="00436AC3">
        <w:rPr>
          <w:rFonts w:ascii="Times New Roman" w:hAnsi="Times New Roman" w:cs="Times New Roman"/>
          <w:b/>
          <w:bCs/>
          <w:sz w:val="24"/>
          <w:szCs w:val="24"/>
        </w:rPr>
        <w:t>Figure 1</w:t>
      </w:r>
      <w:r w:rsidRPr="00436AC3">
        <w:rPr>
          <w:rFonts w:ascii="Times New Roman" w:hAnsi="Times New Roman" w:cs="Times New Roman"/>
          <w:sz w:val="24"/>
          <w:szCs w:val="24"/>
        </w:rPr>
        <w:t xml:space="preserve"> showed an increase in caspase-3 activity in both breast cancer cells that received curcumin was significant both in flow cytometry and AO/EB staining. The increase in the percentage of caspase-3 activity in both cell lines was highest in the administration of curcumin 80 μg/mL</w:t>
      </w:r>
      <w:r w:rsidRPr="00436AC3">
        <w:rPr>
          <w:rFonts w:ascii="Times New Roman" w:hAnsi="Times New Roman" w:cs="Times New Roman"/>
          <w:sz w:val="24"/>
          <w:szCs w:val="24"/>
          <w:lang w:val="id-ID"/>
        </w:rPr>
        <w:t>.</w:t>
      </w:r>
    </w:p>
    <w:p w14:paraId="3453E305" w14:textId="77777777" w:rsidR="00436AC3" w:rsidRPr="00436AC3" w:rsidRDefault="00436AC3" w:rsidP="00436AC3">
      <w:pPr>
        <w:spacing w:after="0"/>
        <w:jc w:val="both"/>
        <w:rPr>
          <w:rFonts w:ascii="Times New Roman" w:hAnsi="Times New Roman" w:cs="Times New Roman"/>
          <w:b/>
          <w:sz w:val="24"/>
          <w:szCs w:val="24"/>
        </w:rPr>
      </w:pPr>
    </w:p>
    <w:p w14:paraId="11390F76" w14:textId="77777777" w:rsidR="00436AC3" w:rsidRPr="00436AC3" w:rsidRDefault="00436AC3" w:rsidP="00436AC3">
      <w:pPr>
        <w:spacing w:after="0"/>
        <w:jc w:val="both"/>
        <w:rPr>
          <w:rFonts w:ascii="Times New Roman" w:hAnsi="Times New Roman" w:cs="Times New Roman"/>
          <w:b/>
          <w:sz w:val="24"/>
          <w:szCs w:val="24"/>
        </w:rPr>
      </w:pPr>
      <w:r w:rsidRPr="00436AC3">
        <w:rPr>
          <w:rFonts w:ascii="Times New Roman" w:hAnsi="Times New Roman" w:cs="Times New Roman"/>
          <w:b/>
          <w:sz w:val="24"/>
          <w:szCs w:val="24"/>
        </w:rPr>
        <w:t xml:space="preserve">Cell Morphology on Caspase-3 Examination using </w:t>
      </w:r>
      <w:r w:rsidRPr="00436AC3">
        <w:rPr>
          <w:rFonts w:ascii="Times New Roman" w:hAnsi="Times New Roman" w:cs="Times New Roman"/>
          <w:b/>
          <w:iCs/>
          <w:sz w:val="24"/>
          <w:szCs w:val="24"/>
        </w:rPr>
        <w:t>Acridine Orange/Ethidium Bromide</w:t>
      </w:r>
      <w:r w:rsidRPr="00436AC3">
        <w:rPr>
          <w:rFonts w:ascii="Times New Roman" w:hAnsi="Times New Roman" w:cs="Times New Roman"/>
          <w:b/>
          <w:i/>
          <w:sz w:val="24"/>
          <w:szCs w:val="24"/>
        </w:rPr>
        <w:t xml:space="preserve"> </w:t>
      </w:r>
      <w:r w:rsidRPr="00436AC3">
        <w:rPr>
          <w:rFonts w:ascii="Times New Roman" w:hAnsi="Times New Roman" w:cs="Times New Roman"/>
          <w:b/>
          <w:sz w:val="24"/>
          <w:szCs w:val="24"/>
        </w:rPr>
        <w:t>(AO/EB) Staining</w:t>
      </w:r>
    </w:p>
    <w:p w14:paraId="5512D0C5" w14:textId="77777777" w:rsidR="00436AC3" w:rsidRPr="00436AC3" w:rsidRDefault="00436AC3" w:rsidP="00436AC3">
      <w:pPr>
        <w:spacing w:after="0"/>
        <w:ind w:firstLine="720"/>
        <w:jc w:val="both"/>
        <w:rPr>
          <w:rFonts w:ascii="Times New Roman" w:hAnsi="Times New Roman" w:cs="Times New Roman"/>
          <w:sz w:val="24"/>
          <w:szCs w:val="24"/>
        </w:rPr>
      </w:pPr>
      <w:r w:rsidRPr="00436AC3">
        <w:rPr>
          <w:rFonts w:ascii="Times New Roman" w:hAnsi="Times New Roman" w:cs="Times New Roman"/>
          <w:sz w:val="24"/>
          <w:szCs w:val="24"/>
        </w:rPr>
        <w:t>The results of the examination with fluorescence microscopy were calculated based on 3 staining displays, namely AO staining, EB staining, and AO/EB staining in MCF-7 breast cancer cells (</w:t>
      </w:r>
      <w:r w:rsidRPr="00436AC3">
        <w:rPr>
          <w:rFonts w:ascii="Times New Roman" w:hAnsi="Times New Roman" w:cs="Times New Roman"/>
          <w:b/>
          <w:bCs/>
          <w:sz w:val="24"/>
          <w:szCs w:val="24"/>
        </w:rPr>
        <w:t>Figure 2</w:t>
      </w:r>
      <w:r w:rsidRPr="00436AC3">
        <w:rPr>
          <w:rFonts w:ascii="Times New Roman" w:hAnsi="Times New Roman" w:cs="Times New Roman"/>
          <w:sz w:val="24"/>
          <w:szCs w:val="24"/>
        </w:rPr>
        <w:t xml:space="preserve">). </w:t>
      </w:r>
    </w:p>
    <w:p w14:paraId="4DE00A87" w14:textId="77777777" w:rsidR="00436AC3" w:rsidRPr="00436AC3" w:rsidRDefault="00436AC3" w:rsidP="00436AC3">
      <w:pPr>
        <w:spacing w:after="0"/>
        <w:jc w:val="both"/>
        <w:rPr>
          <w:rFonts w:ascii="Times New Roman" w:hAnsi="Times New Roman" w:cs="Times New Roman"/>
          <w:sz w:val="24"/>
          <w:szCs w:val="24"/>
        </w:rPr>
      </w:pPr>
    </w:p>
    <w:p w14:paraId="2700CBA4" w14:textId="77777777" w:rsidR="00436AC3" w:rsidRPr="00436AC3" w:rsidRDefault="00436AC3" w:rsidP="00436AC3">
      <w:pPr>
        <w:spacing w:after="0"/>
        <w:jc w:val="center"/>
        <w:rPr>
          <w:rFonts w:ascii="Times New Roman" w:hAnsi="Times New Roman" w:cs="Times New Roman"/>
          <w:sz w:val="24"/>
          <w:szCs w:val="24"/>
        </w:rPr>
      </w:pPr>
      <w:r w:rsidRPr="00436AC3">
        <w:rPr>
          <w:rFonts w:ascii="Times New Roman" w:hAnsi="Times New Roman" w:cs="Times New Roman"/>
          <w:noProof/>
          <w:sz w:val="24"/>
          <w:szCs w:val="24"/>
          <w:lang w:val="en-US"/>
        </w:rPr>
        <w:lastRenderedPageBreak/>
        <w:drawing>
          <wp:inline distT="0" distB="0" distL="0" distR="0" wp14:anchorId="6AC7946A" wp14:editId="0595A152">
            <wp:extent cx="4190706" cy="3130261"/>
            <wp:effectExtent l="0" t="0" r="635" b="0"/>
            <wp:docPr id="15" name="Picture 14">
              <a:extLst xmlns:a="http://schemas.openxmlformats.org/drawingml/2006/main">
                <a:ext uri="{FF2B5EF4-FFF2-40B4-BE49-F238E27FC236}">
                  <a16:creationId xmlns:a16="http://schemas.microsoft.com/office/drawing/2014/main" id="{D912BC1F-7A05-0CD4-26EE-E93FC7A566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912BC1F-7A05-0CD4-26EE-E93FC7A56664}"/>
                        </a:ext>
                      </a:extLst>
                    </pic:cNvPr>
                    <pic:cNvPicPr>
                      <a:picLocks noChangeAspect="1"/>
                    </pic:cNvPicPr>
                  </pic:nvPicPr>
                  <pic:blipFill>
                    <a:blip r:embed="rId7"/>
                    <a:stretch>
                      <a:fillRect/>
                    </a:stretch>
                  </pic:blipFill>
                  <pic:spPr>
                    <a:xfrm>
                      <a:off x="0" y="0"/>
                      <a:ext cx="4193747" cy="3132533"/>
                    </a:xfrm>
                    <a:prstGeom prst="rect">
                      <a:avLst/>
                    </a:prstGeom>
                  </pic:spPr>
                </pic:pic>
              </a:graphicData>
            </a:graphic>
          </wp:inline>
        </w:drawing>
      </w:r>
    </w:p>
    <w:p w14:paraId="649109F3" w14:textId="77777777" w:rsidR="00436AC3" w:rsidRPr="00436AC3" w:rsidRDefault="00436AC3" w:rsidP="00436AC3">
      <w:pPr>
        <w:spacing w:after="0"/>
        <w:jc w:val="both"/>
        <w:rPr>
          <w:rFonts w:ascii="Times New Roman" w:hAnsi="Times New Roman" w:cs="Times New Roman"/>
          <w:sz w:val="24"/>
          <w:szCs w:val="24"/>
        </w:rPr>
      </w:pPr>
      <w:r w:rsidRPr="00436AC3">
        <w:rPr>
          <w:rFonts w:ascii="Times New Roman" w:hAnsi="Times New Roman" w:cs="Times New Roman"/>
          <w:b/>
          <w:bCs/>
          <w:sz w:val="24"/>
          <w:szCs w:val="24"/>
        </w:rPr>
        <w:t>Figure 2</w:t>
      </w:r>
      <w:r w:rsidRPr="00436AC3">
        <w:rPr>
          <w:rFonts w:ascii="Times New Roman" w:hAnsi="Times New Roman" w:cs="Times New Roman"/>
          <w:sz w:val="24"/>
          <w:szCs w:val="24"/>
        </w:rPr>
        <w:t xml:space="preserve">. Apoptosis State in MCF-7 Cells with AO/EB Staining (Fluorescence Microscopy, 200x). </w:t>
      </w:r>
      <w:r w:rsidRPr="00436AC3">
        <w:rPr>
          <w:rFonts w:ascii="Times New Roman" w:hAnsi="Times New Roman" w:cs="Times New Roman"/>
          <w:b/>
          <w:bCs/>
          <w:sz w:val="24"/>
          <w:szCs w:val="24"/>
        </w:rPr>
        <w:t>(A)</w:t>
      </w:r>
      <w:r w:rsidRPr="00436AC3">
        <w:rPr>
          <w:rFonts w:ascii="Times New Roman" w:hAnsi="Times New Roman" w:cs="Times New Roman"/>
          <w:sz w:val="24"/>
          <w:szCs w:val="24"/>
        </w:rPr>
        <w:t xml:space="preserve">. Without treatment; </w:t>
      </w:r>
      <w:r w:rsidRPr="00436AC3">
        <w:rPr>
          <w:rFonts w:ascii="Times New Roman" w:hAnsi="Times New Roman" w:cs="Times New Roman"/>
          <w:b/>
          <w:bCs/>
          <w:sz w:val="24"/>
          <w:szCs w:val="24"/>
        </w:rPr>
        <w:t>(B)</w:t>
      </w:r>
      <w:r w:rsidRPr="00436AC3">
        <w:rPr>
          <w:rFonts w:ascii="Times New Roman" w:hAnsi="Times New Roman" w:cs="Times New Roman"/>
          <w:sz w:val="24"/>
          <w:szCs w:val="24"/>
        </w:rPr>
        <w:t xml:space="preserve">. Curcumin treatment 70 μg/mL; </w:t>
      </w:r>
      <w:r w:rsidRPr="00436AC3">
        <w:rPr>
          <w:rFonts w:ascii="Times New Roman" w:hAnsi="Times New Roman" w:cs="Times New Roman"/>
          <w:b/>
          <w:bCs/>
          <w:sz w:val="24"/>
          <w:szCs w:val="24"/>
        </w:rPr>
        <w:t>(C)</w:t>
      </w:r>
      <w:r w:rsidRPr="00436AC3">
        <w:rPr>
          <w:rFonts w:ascii="Times New Roman" w:hAnsi="Times New Roman" w:cs="Times New Roman"/>
          <w:sz w:val="24"/>
          <w:szCs w:val="24"/>
        </w:rPr>
        <w:t>. Curcumin treatment 80 μg/mL (Arrow N. Normal cells are green; WN. Cells with a wrinkled nucleus are greenish-orange; CC. Cells with a nucleus undergo chromatin condensation; NC. Necrotic cells are characterized by reddish-orange warm nuclei).</w:t>
      </w:r>
    </w:p>
    <w:p w14:paraId="07D595E9" w14:textId="77777777" w:rsidR="00436AC3" w:rsidRDefault="00436AC3" w:rsidP="00436AC3">
      <w:pPr>
        <w:spacing w:after="0" w:line="240" w:lineRule="auto"/>
        <w:jc w:val="both"/>
        <w:rPr>
          <w:rFonts w:ascii="Times New Roman" w:eastAsia="Times New Roman" w:hAnsi="Times New Roman" w:cs="Times New Roman"/>
          <w:sz w:val="24"/>
          <w:szCs w:val="24"/>
          <w:lang w:eastAsia="en-ID"/>
        </w:rPr>
      </w:pPr>
    </w:p>
    <w:p w14:paraId="012C5C58" w14:textId="1DDF3A8B" w:rsidR="00A24DF0" w:rsidRDefault="00A24DF0" w:rsidP="00A24DF0">
      <w:pPr>
        <w:spacing w:after="0" w:line="240" w:lineRule="auto"/>
        <w:jc w:val="both"/>
        <w:rPr>
          <w:rFonts w:ascii="Times New Roman" w:eastAsia="Times New Roman" w:hAnsi="Times New Roman" w:cs="Times New Roman"/>
          <w:sz w:val="24"/>
          <w:szCs w:val="24"/>
          <w:lang w:eastAsia="en-ID"/>
        </w:rPr>
      </w:pPr>
    </w:p>
    <w:p w14:paraId="5AB10014" w14:textId="6ED4FDE4" w:rsidR="00A24DF0" w:rsidRDefault="00A24DF0" w:rsidP="00A24D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DISCUSSION</w:t>
      </w:r>
    </w:p>
    <w:p w14:paraId="0731B6FD" w14:textId="2E34BDE1" w:rsidR="00023068" w:rsidRDefault="00A24DF0" w:rsidP="00023068">
      <w:pPr>
        <w:spacing w:after="0" w:line="240" w:lineRule="auto"/>
        <w:ind w:firstLine="720"/>
        <w:jc w:val="both"/>
        <w:rPr>
          <w:rFonts w:ascii="Times New Roman" w:eastAsia="Times New Roman" w:hAnsi="Times New Roman" w:cs="Times New Roman"/>
          <w:sz w:val="24"/>
          <w:szCs w:val="24"/>
          <w:lang w:eastAsia="en-ID"/>
        </w:rPr>
      </w:pPr>
      <w:r w:rsidRPr="00A24DF0">
        <w:rPr>
          <w:rFonts w:ascii="Times New Roman" w:hAnsi="Times New Roman" w:cs="Times New Roman"/>
          <w:sz w:val="24"/>
          <w:szCs w:val="24"/>
        </w:rPr>
        <w:t>The results of this study demonstrate that curcumin significantly induces apoptosis in MCF-7 breast cancer cells, as evidenced by increased caspase-3 activity detected by AO/EB staining and quantitatively confirmed by flow cytometry</w:t>
      </w:r>
      <w:r>
        <w:rPr>
          <w:rFonts w:ascii="Times New Roman" w:hAnsi="Times New Roman" w:cs="Times New Roman"/>
          <w:sz w:val="24"/>
          <w:szCs w:val="24"/>
        </w:rPr>
        <w:t xml:space="preserve"> </w:t>
      </w:r>
      <w:r w:rsidR="00023068">
        <w:rPr>
          <w:rFonts w:ascii="Times New Roman" w:hAnsi="Times New Roman" w:cs="Times New Roman"/>
          <w:sz w:val="24"/>
          <w:szCs w:val="24"/>
        </w:rPr>
        <w:fldChar w:fldCharType="begin" w:fldLock="1"/>
      </w:r>
      <w:r w:rsidR="00023068">
        <w:rPr>
          <w:rFonts w:ascii="Times New Roman" w:hAnsi="Times New Roman" w:cs="Times New Roman"/>
          <w:sz w:val="24"/>
          <w:szCs w:val="24"/>
        </w:rPr>
        <w:instrText>ADDIN CSL_CITATION {"citationItems":[{"id":"ITEM-1","itemData":{"DOI":"10.14499/indonesianjcanchemoprev11iss2pp67-74","author":[{"dropping-particle":"","family":"Rahmah","given":"Nunung Ainur","non-dropping-particle":"","parse-names":false,"suffix":""},{"dropping-particle":"","family":"Harliansyah","given":"","non-dropping-particle":"","parse-names":false,"suffix":""},{"dropping-particle":"","family":"Suyatna","given":"Fransiscus D.","non-dropping-particle":"","parse-names":false,"suffix":""},{"dropping-particle":"","family":"Kanoko","given":"Mpu","non-dropping-particle":"","parse-names":false,"suffix":""},{"dropping-particle":"","family":"Rustamadji","given":"Primariadewi","non-dropping-particle":"","parse-names":false,"suffix":""},{"dropping-particle":"","family":"Prihartono","given":"Joedo","non-dropping-particle":"","parse-names":false,"suffix":""},{"dropping-particle":"","family":"Haryono","given":"Samuel Johny","non-dropping-particle":"","parse-names":false,"suffix":""},{"dropping-particle":"","family":"Hernowo","given":"Bethy Suryawati","non-dropping-particle":"","parse-names":false,"suffix":""}],"container-title":"Indonesian Journal of Cancer Chemoprevention","id":"ITEM-1","issue":"2","issued":{"date-parts":[["2020"]]},"page":"67-74","title":"The Role of curcumin on apoptosis through The RASSF1A and Bax pathways in breast cancer","type":"article-journal","volume":"11"},"uris":["http://www.mendeley.com/documents/?uuid=d9436697-137e-4c22-bfdc-b754b83452e6"]},{"id":"ITEM-2","itemData":{"DOI":"10.3390/ijms20051033","ISSN":"14220067","abstract":"Cancer is the second leading cause of death in the world and one of the major public health problems. Despite the great advances in cancer therapy, the incidence and mortality rates of cancer remain high. Therefore, the quest for more efficient and less toxic cancer treatment strategies is still at the forefront of current research. Curcumin, the active ingredient of the Curcuma longa plant, has received great attention over the past two decades as an antioxidant, anti-inflammatory, and anticancer agent. In this review, a summary of the medicinal chemistry and pharmacology of curcumin and its derivatives in regard to anticancer activity, their main mechanisms of action, and cellular targets has been provided based on the literature data from the experimental and clinical evaluation of curcumin in cancer cell lines, animal models, and human subjects. In addition, the recent advances in the drug delivery systems for curcumin delivery to cancer cells have been highlighted.","author":[{"dropping-particle":"","family":"Tomeh","given":"Mhd Anas","non-dropping-particle":"","parse-names":false,"suffix":""},{"dropping-particle":"","family":"Hadianamrei","given":"Roja","non-dropping-particle":"","parse-names":false,"suffix":""},{"dropping-particle":"","family":"Zhao","given":"Xiubo","non-dropping-particle":"","parse-names":false,"suffix":""}],"container-title":"International Journal of Molecular Sciences","id":"ITEM-2","issue":"5","issued":{"date-parts":[["2019"]]},"title":"A review of curcumin and its derivatives as anticancer agents","type":"article-journal","volume":"20"},"uris":["http://www.mendeley.com/documents/?uuid=9dd327a5-8ffb-470c-8488-d2d31142acba"]}],"mendeley":{"formattedCitation":"(16,17)","plainTextFormattedCitation":"(16,17)","previouslyFormattedCitation":"(16,17)"},"properties":{"noteIndex":0},"schema":"https://github.com/citation-style-language/schema/raw/master/csl-citation.json"}</w:instrText>
      </w:r>
      <w:r w:rsidR="00023068">
        <w:rPr>
          <w:rFonts w:ascii="Times New Roman" w:hAnsi="Times New Roman" w:cs="Times New Roman"/>
          <w:sz w:val="24"/>
          <w:szCs w:val="24"/>
        </w:rPr>
        <w:fldChar w:fldCharType="separate"/>
      </w:r>
      <w:r w:rsidR="00023068" w:rsidRPr="00023068">
        <w:rPr>
          <w:rFonts w:ascii="Times New Roman" w:hAnsi="Times New Roman" w:cs="Times New Roman"/>
          <w:noProof/>
          <w:sz w:val="24"/>
          <w:szCs w:val="24"/>
        </w:rPr>
        <w:t>(16,17)</w:t>
      </w:r>
      <w:r w:rsidR="00023068">
        <w:rPr>
          <w:rFonts w:ascii="Times New Roman" w:hAnsi="Times New Roman" w:cs="Times New Roman"/>
          <w:sz w:val="24"/>
          <w:szCs w:val="24"/>
        </w:rPr>
        <w:fldChar w:fldCharType="end"/>
      </w:r>
      <w:r w:rsidRPr="00A24DF0">
        <w:rPr>
          <w:rFonts w:ascii="Times New Roman" w:hAnsi="Times New Roman" w:cs="Times New Roman"/>
          <w:sz w:val="24"/>
          <w:szCs w:val="24"/>
        </w:rPr>
        <w:t xml:space="preserve">. Caspase-3 is a central executioner protease in the apoptotic cascade, and its activation is a widely accepted indicator of apoptosis induction in cancer cells </w:t>
      </w:r>
      <w:r w:rsidR="00023068">
        <w:rPr>
          <w:rFonts w:ascii="Times New Roman" w:hAnsi="Times New Roman" w:cs="Times New Roman"/>
          <w:sz w:val="24"/>
          <w:szCs w:val="24"/>
        </w:rPr>
        <w:fldChar w:fldCharType="begin" w:fldLock="1"/>
      </w:r>
      <w:r w:rsidR="00023068">
        <w:rPr>
          <w:rFonts w:ascii="Times New Roman" w:hAnsi="Times New Roman" w:cs="Times New Roman"/>
          <w:sz w:val="24"/>
          <w:szCs w:val="24"/>
        </w:rPr>
        <w:instrText>ADDIN CSL_CITATION {"citationItems":[{"id":"ITEM-1","itemData":{"DOI":"10.1038/s41421-025-00791-3","ISBN":"4142102500791","ISSN":"20565968","abstract":"Caspases are critical regulators of cell death, development, innate immunity, host defense, and disease. Upon detection of pathogens, damage-associated molecular patterns, cytokines, or other homeostatic disruptions, innate immune sensors, such as NLRs, activate caspases to initiate distinct regulated cell death pathways, including non-lytic (apoptosis) and innate immune lytic (pyroptosis and PANoptosis) pathways. These cell death pathways are driven by specific caspases and distinguished by their unique molecular mechanisms, supramolecular complexes, and enzymatic properties. Traditionally, caspases are classified as either apoptotic (caspase-2, -3, -6, -7, -8, -9, and -10) or inflammatory (caspase-1, -4, -5, and -11). However, extensive data from the past decades have shown that apoptotic caspases can also drive lytic inflammatory cell death downstream of innate immune sensing and inflammatory responses, such as in the case of caspase-3, -6, -7, and -8. Therefore, more inclusive classification systems based on function, substrate specificity, or the presence of pro-domains have been proposed to better reflect the multifaceted roles of caspases. In this review, we categorize caspases into CARD-, DED-, and short/no pro-domain-containing groups and examine their critical functions in innate immunity and cell death, along with their structural and molecular mechanisms, including active site/exosite properties and substrates. Additionally, we highlight the emerging roles of caspases in cellular homeostasis and therapeutic targeting. Given the clinical relevance of caspases across multiple diseases, improved understanding of these proteins and their structure–function relationships is critical for developing effective treatment strategies.","author":[{"dropping-particle":"","family":"Nadendla","given":"Eswar Kumar","non-dropping-particle":"","parse-names":false,"suffix":""},{"dropping-particle":"","family":"Tweedell","given":"Rebecca E.","non-dropping-particle":"","parse-names":false,"suffix":""},{"dropping-particle":"","family":"Kasof","given":"Gary","non-dropping-particle":"","parse-names":false,"suffix":""},{"dropping-particle":"","family":"Kanneganti","given":"Thirumala Devi","non-dropping-particle":"","parse-names":false,"suffix":""}],"container-title":"Cell Discovery","id":"ITEM-1","issue":"1","issued":{"date-parts":[["2025"]]},"page":"62-64","publisher":"Springer US","title":"Caspases: structural and molecular mechanisms and functions in cell death, innate immunity, and disease","type":"article-journal","volume":"11"},"uris":["http://www.mendeley.com/documents/?uuid=bd84c493-9abf-4b2e-8475-f18285de6292"]},{"id":"ITEM-2","itemData":{"DOI":"10.3390/cells13221838","ISSN":"20734409","PMID":"39594587","abstract":"Cell survival and death are intricately governed by apoptosis, a meticulously controlled programmed cell death. Apoptosis is vital in facilitating embryonic development and maintaining tissue homeostasis and immunological functioning. It is a complex interplay of intrinsic and extrinsic signaling pathways that ultimately converges on executing the apoptotic program. The extrinsic pathway is initiated by the binding of death ligands such as TNF-α and Fas to their respective receptors on the cell surface. In contrast, the intrinsic pathway leads to increased permeability of the outer mitochondrial membrane and the release of apoptogenic factors like cytochrome c, which is regulated by the Bcl-2 family of proteins. Once activated, these pathways lead to a cascade of biochemical events, including caspase activation, DNA fragmentation, and the dismantling of cellular components. Dysregulation of apoptosis is implicated in various disorders, such as cancer, autoimmune diseases, neurodegenerative disorders, and cardiovascular diseases. This article focuses on elucidating the molecular mechanisms underlying apoptosis regulation, to develop targeted therapeutic strategies. Modulating apoptotic pathways holds immense potential in cancer treatment, where promoting apoptosis in malignant cells could lead to tumor regression. This article demonstrates the therapeutic potential of targeting apoptosis, providing options for treating cancer and neurological illnesses. The safety and effectiveness of apoptosis-targeting drugs are being assessed in ongoing preclinical and clinical trials (phase I–III), opening the door for more effective therapeutic approaches and better patient outcomes.","author":[{"dropping-particle":"","family":"Mustafa","given":"Mohd","non-dropping-particle":"","parse-names":false,"suffix":""},{"dropping-particle":"","family":"Ahmad","given":"Rizwan","non-dropping-particle":"","parse-names":false,"suffix":""},{"dropping-particle":"","family":"Tantry","given":"Irfan Qadir","non-dropping-particle":"","parse-names":false,"suffix":""},{"dropping-particle":"","family":"Ahmad","given":"Waleem","non-dropping-particle":"","parse-names":false,"suffix":""},{"dropping-particle":"","family":"Siddiqui","given":"Sana","non-dropping-particle":"","parse-names":false,"suffix":""},{"dropping-particle":"","family":"Alam","given":"Mudassir","non-dropping-particle":"","parse-names":false,"suffix":""},{"dropping-particle":"","family":"Abbas","given":"Kashif","non-dropping-particle":"","parse-names":false,"suffix":""},{"dropping-particle":"","family":"Moinuddin","given":"","non-dropping-particle":"","parse-names":false,"suffix":""},{"dropping-particle":"","family":"Hassan","given":"Md Imtaiyaz","non-dropping-particle":"","parse-names":false,"suffix":""},{"dropping-particle":"","family":"Habib","given":"Safia","non-dropping-particle":"","parse-names":false,"suffix":""},{"dropping-particle":"","family":"Islam","given":"Sidra","non-dropping-particle":"","parse-names":false,"suffix":""}],"container-title":"Cells","id":"ITEM-2","issue":"22","issued":{"date-parts":[["2024"]]},"page":"1-29","title":"Apoptosis: A Comprehensive Overview of Signaling Pathways, Morphological Changes, and Physiological Significance and Therapeutic Implications","type":"article-journal","volume":"13"},"uris":["http://www.mendeley.com/documents/?uuid=a07c719f-3d51-4b82-ac02-cdf215b4d07e"]}],"mendeley":{"formattedCitation":"(1,28)","plainTextFormattedCitation":"(1,28)","previouslyFormattedCitation":"(1,28)"},"properties":{"noteIndex":0},"schema":"https://github.com/citation-style-language/schema/raw/master/csl-citation.json"}</w:instrText>
      </w:r>
      <w:r w:rsidR="00023068">
        <w:rPr>
          <w:rFonts w:ascii="Times New Roman" w:hAnsi="Times New Roman" w:cs="Times New Roman"/>
          <w:sz w:val="24"/>
          <w:szCs w:val="24"/>
        </w:rPr>
        <w:fldChar w:fldCharType="separate"/>
      </w:r>
      <w:r w:rsidR="00023068" w:rsidRPr="00023068">
        <w:rPr>
          <w:rFonts w:ascii="Times New Roman" w:hAnsi="Times New Roman" w:cs="Times New Roman"/>
          <w:noProof/>
          <w:sz w:val="24"/>
          <w:szCs w:val="24"/>
        </w:rPr>
        <w:t>(1,28)</w:t>
      </w:r>
      <w:r w:rsidR="00023068">
        <w:rPr>
          <w:rFonts w:ascii="Times New Roman" w:hAnsi="Times New Roman" w:cs="Times New Roman"/>
          <w:sz w:val="24"/>
          <w:szCs w:val="24"/>
        </w:rPr>
        <w:fldChar w:fldCharType="end"/>
      </w:r>
      <w:r w:rsidRPr="00A24DF0">
        <w:rPr>
          <w:rFonts w:ascii="Times New Roman" w:hAnsi="Times New Roman" w:cs="Times New Roman"/>
          <w:sz w:val="24"/>
          <w:szCs w:val="24"/>
        </w:rPr>
        <w:t>. The observed increase in caspase-3 activity across escalating curcumin concentrations suggests that curcumin effectively promotes programmed cell death rather than nonspecific cytotoxicity. These findings are consistent with previous reports describing the pro-apoptotic effects of curcumin in multiple cancer cell lines, including breast cancer, thereby reinforcing its potential as a therapeutic agent in oncology</w:t>
      </w:r>
      <w:r w:rsidR="00023068">
        <w:rPr>
          <w:rFonts w:ascii="Times New Roman" w:hAnsi="Times New Roman" w:cs="Times New Roman"/>
          <w:sz w:val="24"/>
          <w:szCs w:val="24"/>
        </w:rPr>
        <w:t xml:space="preserve"> </w:t>
      </w:r>
      <w:r w:rsidR="00023068">
        <w:rPr>
          <w:rFonts w:ascii="Times New Roman" w:hAnsi="Times New Roman" w:cs="Times New Roman"/>
          <w:sz w:val="24"/>
          <w:szCs w:val="24"/>
        </w:rPr>
        <w:fldChar w:fldCharType="begin" w:fldLock="1"/>
      </w:r>
      <w:r w:rsidR="00F24804">
        <w:rPr>
          <w:rFonts w:ascii="Times New Roman" w:hAnsi="Times New Roman" w:cs="Times New Roman"/>
          <w:sz w:val="24"/>
          <w:szCs w:val="24"/>
        </w:rPr>
        <w:instrText>ADDIN CSL_CITATION {"citationItems":[{"id":"ITEM-1","itemData":{"DOI":"10.1016/j.biopha.2023.116034","ISSN":"19506007","PMID":"38141282","abstract":"The curry powder spices turmeric (Curcuma longa L.), which contains curcumin (diferuloylmethane), an orange-yellow chemical. Polyphenols are the most commonly used sources of curcumin. It combats oxidative stress and inflammation in diseases, such as hyperlipidemia, metabolic syndrome, arthritis, and depression. Most of these benefits are due to their anti-inflammatory and antioxidant properties. Curcumin consumption leads to decreased bioavailability, resulting in limited absorption, quick metabolism, and quick excretion, which hinders health improvement. Numerous factors can increase its bioavailability. Piperine enhances bioavailability when combined with curcumin in a complex. When combined with other enhancing agents, curcumin has a wide spectrum of health benefits. This review evaluates the therapeutic potential of curcumin with a specific emphasis on its approach based on molecular signaling pathways. This study investigated its influence on the progression of cancer, inflammation, and many health-related mechanisms, such as cell proliferation, apoptosis, and metastasis. Curcumin has a significant potential for the prevention and treatment of various diseases. Curcumin modulates several biochemical pathways and targets involved in cancer growth. Despite its limited tissue accumulation and bioavailability when administered orally, curcumin has proven useful. This review provides an in-depth analysis of curcumin's therapeutic applications, its molecular signaling pathway-based approach, and its potential for precision medicine in cancer and human health.","author":[{"dropping-particle":"","family":"Islam","given":"Md Rezaul","non-dropping-particle":"","parse-names":false,"suffix":""},{"dropping-particle":"","family":"Rauf","given":"Abdur","non-dropping-particle":"","parse-names":false,"suffix":""},{"dropping-particle":"","family":"Akash","given":"Shopnil","non-dropping-particle":"","parse-names":false,"suffix":""},{"dropping-particle":"","family":"Trisha","given":"Sadiya Islam","non-dropping-particle":"","parse-names":false,"suffix":""},{"dropping-particle":"","family":"Nasim","given":"Akram Hossain","non-dropping-particle":"","parse-names":false,"suffix":""},{"dropping-particle":"","family":"Akter","given":"Muniya","non-dropping-particle":"","parse-names":false,"suffix":""},{"dropping-particle":"","family":"Dhar","given":"Puja Sutro","non-dropping-particle":"","parse-names":false,"suffix":""},{"dropping-particle":"","family":"Ogaly","given":"Hanan A.","non-dropping-particle":"","parse-names":false,"suffix":""},{"dropping-particle":"","family":"Hemeg","given":"Hassan A.","non-dropping-particle":"","parse-names":false,"suffix":""},{"dropping-particle":"","family":"Wilairatana","given":"Polrat","non-dropping-particle":"","parse-names":false,"suffix":""},{"dropping-particle":"","family":"Thiruvengadam","given":"Muthu","non-dropping-particle":"","parse-names":false,"suffix":""}],"container-title":"Biomedicine and Pharmacotherapy","id":"ITEM-1","issued":{"date-parts":[["2024"]]},"page":"116034","publisher":"Elsevier Masson SAS","title":"Targeted therapies of curcumin focus on its therapeutic benefits in cancers and human health: Molecular signaling pathway-based approaches and future perspectives","type":"article-journal","volume":"170"},"uris":["http://www.mendeley.com/documents/?uuid=0a21934b-4335-43a4-acfe-028a50c64dd1"]},{"id":"ITEM-2","itemData":{"DOI":"10.3390/cancers14071671","ISSN":"20726694","abstract":"The Inhibitor of Apoptosis (IAP) family possesses the ability to inhibit programmed cell death through different mechanisms; additionally, some of its members have emerged as important regulators of the immune response. Both direct and indirect activity on caspases or the modulation of survival pathways, such as nuclear factor kappa-light-chain-enhancer of activated B cells (NF-κB), have been implicated in mediating its effects. As a result, abnormal expression of inhibitor apoptosis proteins (IAPs) can lead to dysregulated apoptosis promoting the development of different pathologies. In several cancer types IAPs are overexpressed, while their natural antagonist, the second mitochondrial-derived activator of caspases (Smac), appears to be downregulated, potentially contributing to the acquisition of resistance to traditional therapy. Recently developed Smac mimetics counteract IAP activity and show promise in the re-sensitization to apoptosis in cancer cells. Given the modest impact of Smac mimetics when used as a monotherapy, pairing of these compounds with other treatment modalities is increasingly being explored. Modulation of molecules such as tumor necrosis factor-α (TNF-α) present in the tumor microenvironment have been suggested to contribute to putative therapeutic efficacy of IAP inhibition, although published results do not show this consistently underlining the complex interaction between IAPs and cancer.","author":[{"dropping-particle":"","family":"Cetraro","given":"Pierina","non-dropping-particle":"","parse-names":false,"suffix":""},{"dropping-particle":"","family":"Plaza-Diaz","given":"Julio","non-dropping-particle":"","parse-names":false,"suffix":""},{"dropping-particle":"","family":"Mackenzie","given":"Alex","non-dropping-particle":"","parse-names":false,"suffix":""},{"dropping-particle":"","family":"Abadía-Molina","given":"Francisco","non-dropping-particle":"","parse-names":false,"suffix":""}],"container-title":"Cancers","id":"ITEM-2","issue":"7","issued":{"date-parts":[["2022"]]},"page":"1-25","title":"A Review of the Current Impact of Inhibitors of Apoptosis Proteins and Their Repression in Cancer","type":"article-journal","volume":"14"},"uris":["http://www.mendeley.com/documents/?uuid=7a688257-9b07-419b-af8b-e7631370da2a"]}],"mendeley":{"formattedCitation":"(15,29)","plainTextFormattedCitation":"(15,29)","previouslyFormattedCitation":"(15,29)"},"properties":{"noteIndex":0},"schema":"https://github.com/citation-style-language/schema/raw/master/csl-citation.json"}</w:instrText>
      </w:r>
      <w:r w:rsidR="00023068">
        <w:rPr>
          <w:rFonts w:ascii="Times New Roman" w:hAnsi="Times New Roman" w:cs="Times New Roman"/>
          <w:sz w:val="24"/>
          <w:szCs w:val="24"/>
        </w:rPr>
        <w:fldChar w:fldCharType="separate"/>
      </w:r>
      <w:r w:rsidR="00023068" w:rsidRPr="00023068">
        <w:rPr>
          <w:rFonts w:ascii="Times New Roman" w:hAnsi="Times New Roman" w:cs="Times New Roman"/>
          <w:noProof/>
          <w:sz w:val="24"/>
          <w:szCs w:val="24"/>
        </w:rPr>
        <w:t>(15,29)</w:t>
      </w:r>
      <w:r w:rsidR="00023068">
        <w:rPr>
          <w:rFonts w:ascii="Times New Roman" w:hAnsi="Times New Roman" w:cs="Times New Roman"/>
          <w:sz w:val="24"/>
          <w:szCs w:val="24"/>
        </w:rPr>
        <w:fldChar w:fldCharType="end"/>
      </w:r>
      <w:r w:rsidRPr="00A24DF0">
        <w:rPr>
          <w:rFonts w:ascii="Times New Roman" w:hAnsi="Times New Roman" w:cs="Times New Roman"/>
          <w:sz w:val="24"/>
          <w:szCs w:val="24"/>
        </w:rPr>
        <w:t>.</w:t>
      </w:r>
    </w:p>
    <w:p w14:paraId="732FB30F" w14:textId="69FCBBA6" w:rsidR="00023068" w:rsidRDefault="00023068" w:rsidP="00023068">
      <w:pPr>
        <w:spacing w:after="0" w:line="240" w:lineRule="auto"/>
        <w:ind w:firstLine="720"/>
        <w:jc w:val="both"/>
        <w:rPr>
          <w:rFonts w:ascii="Times New Roman" w:eastAsia="Times New Roman" w:hAnsi="Times New Roman" w:cs="Times New Roman"/>
          <w:sz w:val="24"/>
          <w:szCs w:val="24"/>
          <w:lang w:eastAsia="en-ID"/>
        </w:rPr>
      </w:pPr>
      <w:r w:rsidRPr="00023068">
        <w:rPr>
          <w:rFonts w:ascii="Times New Roman" w:eastAsia="Times New Roman" w:hAnsi="Times New Roman" w:cs="Times New Roman"/>
          <w:sz w:val="24"/>
          <w:szCs w:val="24"/>
          <w:lang w:eastAsia="en-ID"/>
        </w:rPr>
        <w:t>A key finding of this study is the dose-dependent increase in caspase-3 activity following curcumin exposure, with the highest activation observed at 80 µg/mL. This observation aligns with studies demonstrating that curcumin activates apoptosis primarily through the intrinsic mitochondrial pathway</w:t>
      </w:r>
      <w:r w:rsidR="00F24804">
        <w:rPr>
          <w:rFonts w:ascii="Times New Roman" w:eastAsia="Times New Roman" w:hAnsi="Times New Roman" w:cs="Times New Roman"/>
          <w:sz w:val="24"/>
          <w:szCs w:val="24"/>
          <w:lang w:eastAsia="en-ID"/>
        </w:rPr>
        <w:t xml:space="preserve"> </w:t>
      </w:r>
      <w:r w:rsidR="00F24804">
        <w:rPr>
          <w:rFonts w:ascii="Times New Roman" w:eastAsia="Times New Roman" w:hAnsi="Times New Roman" w:cs="Times New Roman"/>
          <w:sz w:val="24"/>
          <w:szCs w:val="24"/>
          <w:lang w:eastAsia="en-ID"/>
        </w:rPr>
        <w:fldChar w:fldCharType="begin" w:fldLock="1"/>
      </w:r>
      <w:r w:rsidR="00F24804">
        <w:rPr>
          <w:rFonts w:ascii="Times New Roman" w:eastAsia="Times New Roman" w:hAnsi="Times New Roman" w:cs="Times New Roman"/>
          <w:sz w:val="24"/>
          <w:szCs w:val="24"/>
          <w:lang w:eastAsia="en-ID"/>
        </w:rPr>
        <w:instrText>ADDIN CSL_CITATION {"citationItems":[{"id":"ITEM-1","itemData":{"ISSN":"1422-0067","author":[{"dropping-particle":"","family":"Morana","given":"Ornella","non-dropping-particle":"","parse-names":false,"suffix":""},{"dropping-particle":"","family":"Wood","given":"Will","non-dropping-particle":"","parse-names":false,"suffix":""},{"dropping-particle":"","family":"Gregory","given":"Christopher D","non-dropping-particle":"","parse-names":false,"suffix":""}],"container-title":"International journal of molecular sciences","id":"ITEM-1","issue":"3","issued":{"date-parts":[["2022"]]},"page":"1328","publisher":"MDPI","title":"The apoptosis paradox in cancer","type":"article-journal","volume":"23"},"uris":["http://www.mendeley.com/documents/?uuid=b546b58e-8d90-447b-90bf-533c730cd700"]},{"id":"ITEM-2","itemData":{"DOI":"10.1038/s12276-025-01470-9","ISSN":"20926413","PMID":"40555741","abstract":"Caspases are crucial regulators of programmed cell death, mediating pathways such as apoptosis, pyroptosis, necroptosis and ferroptosis. Their activity is intricately controlled by epigenetic modifications, molecular interactions and post-translational changes, reflecting their central role in cellular homeostasis and disease mechanisms. Dysregulated caspase functions are linked to a wide array of conditions, including cancer, neurodegenerative disorders and inflammatory diseases, establishing their importance as potential therapeutic targets. The roles and regulation of caspases across subcellular compartments and their molecular interactions provide critical insights into the complexity of programmed cell death. Here, this review synthesizes current knowledge on the diverse functions of caspases, offering a comprehensive foundation for exploring innovative therapeutic strategies.","author":[{"dropping-particle":"","family":"Dho","given":"So Hee","non-dropping-particle":"","parse-names":false,"suffix":""},{"dropping-particle":"","family":"Cho","given":"Minjeong","non-dropping-particle":"","parse-names":false,"suffix":""},{"dropping-particle":"","family":"Woo","given":"Wonjin","non-dropping-particle":"","parse-names":false,"suffix":""},{"dropping-particle":"","family":"Jeong","given":"Seolhee","non-dropping-particle":"","parse-names":false,"suffix":""},{"dropping-particle":"","family":"Kim","given":"Lark Kyun","non-dropping-particle":"","parse-names":false,"suffix":""}],"container-title":"Experimental and Molecular Medicine","id":"ITEM-2","issue":"6","issued":{"date-parts":[["2025"]]},"page":"1121-1132","publisher":"Springer US","title":"Caspases as master regulators of programmed cell death: apoptosis, pyroptosis and beyond","type":"article-journal","volume":"57"},"uris":["http://www.mendeley.com/documents/?uuid=7a798fbe-788c-4dcc-99ae-8daa2ca3f280"]},{"id":"ITEM-3","itemData":{"DOI":"10.1038/s41418-017-0012-4","ISSN":"14765403","PMID":"29362479","abstract":"Over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author":[{"dropping-particle":"","family":"Galluzzi","given":"Lorenzo","non-dropping-particle":"","parse-names":false,"suffix":""},{"dropping-particle":"","family":"Vitale","given":"Ilio","non-dropping-particle":"","parse-names":false,"suffix":""},{"dropping-particle":"","family":"Aaronson","given":"Stuart A.","non-dropping-particle":"","parse-names":false,"suffix":""},{"dropping-particle":"","family":"Abrams","given":"John M.","non-dropping-particle":"","parse-names":false,"suffix":""},{"dropping-particle":"","family":"Adam","given":"Dieter","non-dropping-particle":"","parse-names":false,"suffix":""},{"dropping-particle":"","family":"Agostinis","given":"Patrizia","non-dropping-particle":"","parse-names":false,"suffix":""},{"dropping-particle":"","family":"Alnemri","given":"Emad S.","non-dropping-particle":"","parse-names":false,"suffix":""},{"dropping-particle":"","family":"Altucci","given":"Lucia","non-dropping-particle":"","parse-names":false,"suffix":""},{"dropping-particle":"","family":"Amelio","given":"Ivano","non-dropping-particle":"","parse-names":false,"suffix":""},{"dropping-particle":"","family":"Andrews","given":"David W.","non-dropping-particle":"","parse-names":false,"suffix":""},{"dropping-particle":"","family":"Annicchiarico-Petruzzelli","given":"Margherita","non-dropping-particle":"","parse-names":false,"suffix":""},{"dropping-particle":"V.","family":"Antonov","given":"Alexey","non-dropping-particle":"","parse-names":false,"suffix":""},{"dropping-particle":"","family":"Arama","given":"Eli","non-dropping-particle":"","parse-names":false,"suffix":""},{"dropping-particle":"","family":"Baehrecke","given":"Eric H.","non-dropping-particle":"","parse-names":false,"suffix":""},{"dropping-particle":"","family":"Barlev","given":"Nickolai A.","non-dropping-particle":"","parse-names":false,"suffix":""},{"dropping-particle":"","family":"Bazan","given":"Nicolas G.","non-dropping-particle":"","parse-names":false,"suffix":""},{"dropping-particle":"","family":"Bernassola","given":"Francesca","non-dropping-particle":"","parse-names":false,"suffix":""},{"dropping-particle":"","family":"Bertrand","given":"Mathieu J.M.","non-dropping-particle":"","parse-names":false,"suffix":""},{"dropping-particle":"","family":"Bianchi","given":"Katiuscia","non-dropping-particle":"","parse-names":false,"suffix":""},{"dropping-particle":"V.","family":"Blagosklonny","given":"Mikhail","non-dropping-particle":"","parse-names":false,"suffix":""},{"dropping-particle":"","family":"Blomgren","given":"Klas","non-dropping-particle":"","parse-names":false,"suffix":""},{"dropping-particle":"","family":"Borner","given":"Christoph","non-dropping-particle":"","parse-names":false,"suffix":""},{"dropping-particle":"","family":"Boya","given":"Patricia","non-dropping-particle":"","parse-names":false,"suffix":""},{"dropping-particle":"","family":"Brenner","given":"Catherine","non-dropping-particle":"","parse-names":false,"suffix":""},{"dropping-particle":"","family":"Campanella","given":"Michelangelo","non-dropping-particle":"","parse-names":false,"suffix":""},{"dropping-particle":"","family":"Candi","given":"Eleonora","non-dropping-particle":"","parse-names":false,"suffix":""},{"dropping-particle":"","family":"Carmona-Gutierrez","given":"Didac","non-dropping-particle":"","parse-names":false,"suffix":""},{"dropping-particle":"","family":"Cecconi","given":"Francesco","non-dropping-particle":"","parse-names":false,"suffix":""},{"dropping-particle":"","family":"Chan","given":"Francis K.M.","non-dropping-particle":"","parse-names":false,"suffix":""},{"dropping-particle":"","family":"Chandel","given":"Navdeep S.","non-dropping-particle":"","parse-names":false,"suffix":""},{"dropping-particle":"","family":"Cheng","given":"Emily H.","non-dropping-particle":"","parse-names":false,"suffix":""},{"dropping-particle":"","family":"Chipuk","given":"Jerry E.","non-dropping-particle":"","parse-names":false,"suffix":""},{"dropping-particle":"","family":"Cidlowski","given":"John A.","non-dropping-particle":"","parse-names":false,"suffix":""},{"dropping-particle":"","family":"Ciechanover","given":"Aaron","non-dropping-particle":"","parse-names":false,"suffix":""},{"dropping-particle":"","family":"Cohen","given":"Gerald M.","non-dropping-particle":"","parse-names":false,"suffix":""},{"dropping-particle":"","family":"Conrad","given":"Marcus","non-dropping-particle":"","parse-names":false,"suffix":""},{"dropping-particle":"","family":"Cubillos-Ruiz","given":"Juan R.","non-dropping-particle":"","parse-names":false,"suffix":""},{"dropping-particle":"","family":"Czabotar","given":"Peter E.","non-dropping-particle":"","parse-names":false,"suffix":""},{"dropping-particle":"","family":"D'Angiolella","given":"Vincenzo","non-dropping-particle":"","parse-names":false,"suffix":""},{"dropping-particle":"","family":"Dawson","given":"Ted M.","non-dropping-particle":"","parse-names":false,"suffix":""},{"dropping-particle":"","family":"Dawson","given":"Valina L.","non-dropping-particle":"","parse-names":false,"suffix":""},{"dropping-particle":"","family":"Laurenzi","given":"Vincenzo","non-dropping-particle":"De","parse-names":false,"suffix":""},{"dropping-particle":"","family":"Maria","given":"Ruggero","non-dropping-particle":"De","parse-names":false,"suffix":""},{"dropping-particle":"","family":"Debatin","given":"Klaus Michael","non-dropping-particle":"","parse-names":false,"suffix":""},{"dropping-particle":"","family":"Deberardinis","given":"Ralph J.","non-dropping-particle":"","parse-names":false,"suffix":""},{"dropping-particle":"","family":"Deshmukh","given":"Mohanish","non-dropping-particle":"","parse-names":false,"suffix":""},{"dropping-particle":"","family":"Daniele","given":"Nicola","non-dropping-particle":"Di","parse-names":false,"suffix":""},{"dropping-particle":"","family":"Virgilio","given":"Francesco","non-dropping-particle":"Di","parse-names":false,"suffix":""},{"dropping-particle":"","family":"Dixit","given":"Vishva M.","non-dropping-particle":"","parse-names":false,"suffix":""},{"dropping-particle":"","family":"Dixon","given":"Scott J.","non-dropping-particle":"","parse-names":false,"suffix":""},{"dropping-particle":"","family":"Duckett","given":"Colin S.","non-dropping-particle":"","parse-names":false,"suffix":""},{"dropping-particle":"","family":"Dynlacht","given":"Brian D.","non-dropping-particle":"","parse-names":false,"suffix":""},{"dropping-particle":"","family":"El-Deiry","given":"Wafik S.","non-dropping-particle":"","parse-names":false,"suffix":""},{"dropping-particle":"","family":"Elrod","given":"John W.","non-dropping-particle":"","parse-names":false,"suffix":""},{"dropping-particle":"","family":"Fimia","given":"Gian Maria","non-dropping-particle":"","parse-names":false,"suffix":""},{"dropping-particle":"","family":"Fulda","given":"Simone","non-dropping-particle":"","parse-names":false,"suffix":""},{"dropping-particle":"","family":"García-Sáez","given":"Ana J.","non-dropping-particle":"","parse-names":false,"suffix":""},{"dropping-particle":"","family":"Garg","given":"Abhishek D.","non-dropping-particle":"","parse-names":false,"suffix":""},{"dropping-particle":"","family":"Garrido","given":"Carmen","non-dropping-particle":"","parse-names":false,"suffix":""},{"dropping-particle":"","family":"Gavathiotis","given":"Evripidis","non-dropping-particle":"","parse-names":false,"suffix":""},{"dropping-particle":"","family":"Golstein","given":"Pierre","non-dropping-particle":"","parse-names":false,"suffix":""},{"dropping-particle":"","family":"Gottlieb","given":"Eyal","non-dropping-particle":"","parse-names":false,"suffix":""},{"dropping-particle":"","family":"Green","given":"Douglas R.","non-dropping-particle":"","parse-names":false,"suffix":""},{"dropping-particle":"","family":"Greene","given":"Lloyd A.","non-dropping-particle":"","parse-names":false,"suffix":""},{"dropping-particle":"","family":"Gronemeyer","given":"Hinrich","non-dropping-particle":"","parse-names":false,"suffix":""},{"dropping-particle":"","family":"Gross","given":"Atan","non-dropping-particle":"","parse-names":false,"suffix":""},{"dropping-particle":"","family":"Hajnoczky","given":"Gyorgy","non-dropping-particle":"","parse-names":false,"suffix":""},{"dropping-particle":"","family":"Hardwick","given":"J. Marie","non-dropping-particle":"","parse-names":false,"suffix":""},{"dropping-particle":"","family":"Harris","given":"Isaac S.","non-dropping-particle":"","parse-names":false,"suffix":""},{"dropping-particle":"","family":"Hengartner","given":"Michael O.","non-dropping-particle":"","parse-names":false,"suffix":""},{"dropping-particle":"","family":"Hetz","given":"Claudio","non-dropping-particle":"","parse-names":false,"suffix":""},{"dropping-particle":"","family":"Ichijo","given":"Hidenori","non-dropping-particle":"","parse-names":false,"suffix":""},{"dropping-particle":"","family":"Jäättelä","given":"Marja","non-dropping-particle":"","parse-names":false,"suffix":""},{"dropping-particle":"","family":"Joseph","given":"Bertrand","non-dropping-particle":"","parse-names":false,"suffix":""},{"dropping-particle":"","family":"Jost","given":"Philipp J.","non-dropping-particle":"","parse-names":false,"suffix":""},{"dropping-particle":"","family":"Juin","given":"Philippe P.","non-dropping-particle":"","parse-names":false,"suffix":""},{"dropping-particle":"","family":"Kaiser","given":"William J.","non-dropping-particle":"","parse-names":false,"suffix":""},{"dropping-particle":"","family":"Karin","given":"Michael","non-dropping-particle":"","parse-names":false,"suffix":""},{"dropping-particle":"","family":"Kaufmann","given":"Thomas","non-dropping-particle":"","parse-names":false,"suffix":""},{"dropping-particle":"","family":"Kepp","given":"Oliver","non-dropping-particle":"","parse-names":false,"suffix":""},{"dropping-particle":"","family":"Kimchi","given":"Adi","non-dropping-particle":"","parse-names":false,"suffix":""},{"dropping-particle":"","family":"Kitsis","given":"Richard N.","non-dropping-particle":"","parse-names":false,"suffix":""},{"dropping-particle":"","family":"Klionsky","given":"Daniel J.","non-dropping-particle":"","parse-names":false,"suffix":""},{"dropping-particle":"","family":"Knight","given":"Richard A.","non-dropping-particle":"","parse-names":false,"suffix":""},{"dropping-particle":"","family":"Kumar","given":"Sharad","non-dropping-particle":"","parse-names":false,"suffix":""},{"dropping-particle":"","family":"Lee","given":"Sam W.","non-dropping-particle":"","parse-names":false,"suffix":""},{"dropping-particle":"","family":"Lemasters","given":"John J.","non-dropping-particle":"","parse-names":false,"suffix":""},{"dropping-particle":"","family":"Levine","given":"Beth","non-dropping-particle":"","parse-names":false,"suffix":""},{"dropping-particle":"","family":"Linkermann","given":"Andreas","non-dropping-particle":"","parse-names":false,"suffix":""},{"dropping-particle":"","family":"Lipton","given":"Stuart A.","non-dropping-particle":"","parse-names":false,"suffix":""},{"dropping-particle":"","family":"Lockshin","given":"Richard A.","non-dropping-particle":"","parse-names":false,"suffix":""},{"dropping-particle":"","family":"López-Otín","given":"Carlos","non-dropping-particle":"","parse-names":false,"suffix":""},{"dropping-particle":"","family":"Lowe","given":"Scott W.","non-dropping-particle":"","parse-names":false,"suffix":""},{"dropping-particle":"","family":"Luedde","given":"Tom","non-dropping-particle":"","parse-names":false,"suffix":""},{"dropping-particle":"","family":"Lugli","given":"Enrico","non-dropping-particle":"","parse-names":false,"suffix":""},{"dropping-particle":"","family":"MacFarlane","given":"Marion","non-dropping-particle":"","parse-names":false,"suffix":""},{"dropping-particle":"","family":"Madeo","given":"Frank","non-dropping-particle":"","parse-names":false,"suffix":""},{"dropping-particle":"","family":"Malewicz","given":"Michal","non-dropping-particle":"","parse-names":false,"suffix":""},{"dropping-particle":"","family":"Malorni","given":"Walter","non-dropping-particle":"","parse-names":false,"suffix":""},{"dropping-particle":"","family":"Manic","given":"Gwenola","non-dropping-particle":"","parse-names":false,"suffix":""},{"dropping-particle":"","family":"Marine","given":"Jean Christophe","non-dropping-particle":"","parse-names":false,"suffix":""},{"dropping-particle":"","family":"Martin","given":"Seamus J.","non-dropping-particle":"","parse-names":false,"suffix":""},{"dropping-particle":"","family":"Martinou","given":"Jean Claude","non-dropping-particle":"","parse-names":false,"suffix":""},{"dropping-particle":"","family":"Medema","given":"Jan Paul","non-dropping-particle":"","parse-names":false,"suffix":""},{"dropping-particle":"","family":"Mehlen","given":"Patrick","non-dropping-particle":"","parse-names":false,"suffix":""},{"dropping-particle":"","family":"Meier","given":"Pascal","non-dropping-particle":"","parse-names":false,"suffix":""},{"dropping-particle":"","family":"Melino","given":"Sonia","non-dropping-particle":"","parse-names":false,"suffix":""},{"dropping-particle":"","family":"Miao","given":"Edward A.","non-dropping-particle":"","parse-names":false,"suffix":""},{"dropping-particle":"","family":"Molkentin","given":"Jeffery D.","non-dropping-particle":"","parse-names":false,"suffix":""},{"dropping-particle":"","family":"Moll","given":"Ute M.","non-dropping-particle":"","parse-names":false,"suffix":""},{"dropping-particle":"","family":"Muñoz-Pinedo","given":"Cristina","non-dropping-particle":"","parse-names":false,"suffix":""},{"dropping-particle":"","family":"Nagata","given":"Shigekazu","non-dropping-particle":"","parse-names":false,"suffix":""},{"dropping-particle":"","family":"Nuñez","given":"Gabriel","non-dropping-particle":"","parse-names":false,"suffix":""},{"dropping-particle":"","family":"Oberst","given":"Andrew","non-dropping-particle":"","parse-names":false,"suffix":""},{"dropping-particle":"","family":"Oren","given":"Moshe","non-dropping-particle":"","parse-names":false,"suffix":""},{"dropping-particle":"","family":"Overholtzer","given":"Michael","non-dropping-particle":"","parse-names":false,"suffix":""},{"dropping-particle":"","family":"Pagano","given":"Michele","non-dropping-particle":"","parse-names":false,"suffix":""},{"dropping-particle":"","family":"Panaretakis","given":"Theocharis","non-dropping-particle":"","parse-names":false,"suffix":""},{"dropping-particle":"","family":"Pasparakis","given":"Manolis","non-dropping-particle":"","parse-names":false,"suffix":""},{"dropping-particle":"","family":"Penninger","given":"Josef M.","non-dropping-particle":"","parse-names":false,"suffix":""},{"dropping-particle":"","family":"Pereira","given":"David M.","non-dropping-particle":"","parse-names":false,"suffix":""},{"dropping-particle":"","family":"Pervaiz","given":"Shazib","non-dropping-particle":"","parse-names":false,"suffix":""},{"dropping-particle":"","family":"Peter","given":"Marcus E.","non-dropping-particle":"","parse-names":false,"suffix":""},{"dropping-particle":"","family":"Piacentini","given":"Mauro","non-dropping-particle":"","parse-names":false,"suffix":""},{"dropping-particle":"","family":"Pinton","given":"Paolo","non-dropping-particle":"","parse-names":false,"suffix":""},{"dropping-particle":"","family":"Prehn","given":"Jochen H.M.","non-dropping-particle":"","parse-names":false,"suffix":""},{"dropping-particle":"","family":"Puthalakath","given":"Hamsa","non-dropping-particle":"","parse-names":false,"suffix":""},{"dropping-particle":"","family":"Rabinovich","given":"Gabriel A.","non-dropping-particle":"","parse-names":false,"suffix":""},{"dropping-particle":"","family":"Rehm","given":"Markus","non-dropping-particle":"","parse-names":false,"suffix":""},{"dropping-particle":"","family":"Rizzuto","given":"Rosario","non-dropping-particle":"","parse-names":false,"suffix":""},{"dropping-particle":"","family":"Rodrigues","given":"Cecilia M.P.","non-dropping-particle":"","parse-names":false,"suffix":""},{"dropping-particle":"","family":"Rubinsztein","given":"David C.","non-dropping-particle":"","parse-names":false,"suffix":""},{"dropping-particle":"","family":"Rudel","given":"Thomas","non-dropping-particle":"","parse-names":false,"suffix":""},{"dropping-particle":"","family":"Ryan","given":"Kevin M.","non-dropping-particle":"","parse-names":false,"suffix":""},{"dropping-particle":"","family":"Sayan","given":"Emre","non-dropping-particle":"","parse-names":false,"suffix":""},{"dropping-particle":"","family":"Scorrano","given":"Luca","non-dropping-particle":"","parse-names":false,"suffix":""},{"dropping-particle":"","family":"Shao","given":"Feng","non-dropping-particle":"","parse-names":false,"suffix":""},{"dropping-particle":"","family":"Shi","given":"Yufang","non-dropping-particle":"","parse-names":false,"suffix":""},{"dropping-particle":"","family":"Silke","given":"John","non-dropping-particle":"","parse-names":false,"suffix":""},{"dropping-particle":"","family":"Simon","given":"Hans Uwe","non-dropping-particle":"","parse-names":false,"suffix":""},{"dropping-particle":"","family":"Sistigu","given":"Antonella","non-dropping-particle":"","parse-names":false,"suffix":""},{"dropping-particle":"","family":"Stockwell","given":"Brent R.","non-dropping-particle":"","parse-names":false,"suffix":""},{"dropping-particle":"","family":"Strasser","given":"Andreas","non-dropping-particle":"","parse-names":false,"suffix":""},{"dropping-particle":"","family":"Szabadkai","given":"Gyorgy","non-dropping-particle":"","parse-names":false,"suffix":""},{"dropping-particle":"","family":"Tait","given":"Stephen W.G.","non-dropping-particle":"","parse-names":false,"suffix":""},{"dropping-particle":"","family":"Tang","given":"Daolin","non-dropping-particle":"","parse-names":false,"suffix":""},{"dropping-particle":"","family":"Tavernarakis","given":"Nektarios","non-dropping-particle":"","parse-names":false,"suffix":""},{"dropping-particle":"","family":"Thorburn","given":"Andrew","non-dropping-particle":"","parse-names":false,"suffix":""},{"dropping-particle":"","family":"Tsujimoto","given":"Yoshihide","non-dropping-particle":"","parse-names":false,"suffix":""},{"dropping-particle":"","family":"Turk","given":"Boris","non-dropping-particle":"","parse-names":false,"suffix":""},{"dropping-particle":"","family":"Berghe","given":"Tom","non-dropping-particle":"Vanden","parse-names":false,"suffix":""},{"dropping-particle":"","family":"Vandenabeele","given":"Peter","non-dropping-particle":"","parse-names":false,"suffix":""},{"dropping-particle":"","family":"Heiden","given":"Matthew G.","non-dropping-particle":"Vander","parse-names":false,"suffix":""},{"dropping-particle":"","family":"Villunger","given":"Andreas","non-dropping-particle":"","parse-names":false,"suffix":""},{"dropping-particle":"","family":"Virgin","given":"Herbert W.","non-dropping-particle":"","parse-names":false,"suffix":""},{"dropping-particle":"","family":"Vousden","given":"Karen H.","non-dropping-particle":"","parse-names":false,"suffix":""},{"dropping-particle":"","family":"Vucic","given":"Domagoj","non-dropping-particle":"","parse-names":false,"suffix":""},{"dropping-particle":"","family":"Wagner","given":"Erwin F.","non-dropping-particle":"","parse-names":false,"suffix":""},{"dropping-particle":"","family":"Walczak","given":"Henning","non-dropping-particle":"","parse-names":false,"suffix":""},{"dropping-particle":"","family":"Wallach","given":"David","non-dropping-particle":"","parse-names":false,"suffix":""},{"dropping-particle":"","family":"Wang","given":"Ying","non-dropping-particle":"","parse-names":false,"suffix":""},{"dropping-particle":"","family":"Wells","given":"James A.","non-dropping-particle":"","parse-names":false,"suffix":""},{"dropping-particle":"","family":"Wood","given":"Will","non-dropping-particle":"","parse-names":false,"suffix":""},{"dropping-particle":"","family":"Yuan","given":"Junying","non-dropping-particle":"","parse-names":false,"suffix":""},{"dropping-particle":"","family":"Zakeri","given":"Zahra","non-dropping-particle":"","parse-names":false,"suffix":""},{"dropping-particle":"","family":"Zhivotovsky","given":"Boris","non-dropping-particle":"","parse-names":false,"suffix":""},{"dropping-particle":"","family":"Zitvogel","given":"Laurence","non-dropping-particle":"","parse-names":false,"suffix":""},{"dropping-particle":"","family":"Melino","given":"Gerry","non-dropping-particle":"","parse-names":false,"suffix":""},{"dropping-particle":"","family":"Kroemer","given":"Guido","non-dropping-particle":"","parse-names":false,"suffix":""}],"container-title":"Cell Death and Differentiation","id":"ITEM-3","issue":"3","issued":{"date-parts":[["2018"]]},"page":"486-541","title":"Molecular mechanisms of cell death: Recommendations of the Nomenclature Committee on Cell Death 2018","type":"article-journal","volume":"25"},"uris":["http://www.mendeley.com/documents/?uuid=3e97f9ad-a1af-40ae-9347-8f9cdb9e96b4"]}],"mendeley":{"formattedCitation":"(4,7,24)","plainTextFormattedCitation":"(4,7,24)","previouslyFormattedCitation":"(4,7,24)"},"properties":{"noteIndex":0},"schema":"https://github.com/citation-style-language/schema/raw/master/csl-citation.json"}</w:instrText>
      </w:r>
      <w:r w:rsidR="00F24804">
        <w:rPr>
          <w:rFonts w:ascii="Times New Roman" w:eastAsia="Times New Roman" w:hAnsi="Times New Roman" w:cs="Times New Roman"/>
          <w:sz w:val="24"/>
          <w:szCs w:val="24"/>
          <w:lang w:eastAsia="en-ID"/>
        </w:rPr>
        <w:fldChar w:fldCharType="separate"/>
      </w:r>
      <w:r w:rsidR="00F24804" w:rsidRPr="00F24804">
        <w:rPr>
          <w:rFonts w:ascii="Times New Roman" w:eastAsia="Times New Roman" w:hAnsi="Times New Roman" w:cs="Times New Roman"/>
          <w:noProof/>
          <w:sz w:val="24"/>
          <w:szCs w:val="24"/>
          <w:lang w:eastAsia="en-ID"/>
        </w:rPr>
        <w:t>(4,7,24)</w:t>
      </w:r>
      <w:r w:rsidR="00F24804">
        <w:rPr>
          <w:rFonts w:ascii="Times New Roman" w:eastAsia="Times New Roman" w:hAnsi="Times New Roman" w:cs="Times New Roman"/>
          <w:sz w:val="24"/>
          <w:szCs w:val="24"/>
          <w:lang w:eastAsia="en-ID"/>
        </w:rPr>
        <w:fldChar w:fldCharType="end"/>
      </w:r>
      <w:r w:rsidRPr="00023068">
        <w:rPr>
          <w:rFonts w:ascii="Times New Roman" w:eastAsia="Times New Roman" w:hAnsi="Times New Roman" w:cs="Times New Roman"/>
          <w:sz w:val="24"/>
          <w:szCs w:val="24"/>
          <w:lang w:eastAsia="en-ID"/>
        </w:rPr>
        <w:t xml:space="preserve">. Mechanistically, curcumin has been shown to facilitate mitochondrial membrane permeabilization, resulting in cytochrome-c release into the cytosol and subsequent activation of caspase-9, which in turn activates caspase-3 </w:t>
      </w:r>
      <w:r w:rsidR="00F24804">
        <w:rPr>
          <w:rFonts w:ascii="Times New Roman" w:eastAsia="Times New Roman" w:hAnsi="Times New Roman" w:cs="Times New Roman"/>
          <w:sz w:val="24"/>
          <w:szCs w:val="24"/>
          <w:lang w:eastAsia="en-ID"/>
        </w:rPr>
        <w:fldChar w:fldCharType="begin" w:fldLock="1"/>
      </w:r>
      <w:r w:rsidR="00F24804">
        <w:rPr>
          <w:rFonts w:ascii="Times New Roman" w:eastAsia="Times New Roman" w:hAnsi="Times New Roman" w:cs="Times New Roman"/>
          <w:sz w:val="24"/>
          <w:szCs w:val="24"/>
          <w:lang w:eastAsia="en-ID"/>
        </w:rPr>
        <w:instrText>ADDIN CSL_CITATION {"citationItems":[{"id":"ITEM-1","itemData":{"DOI":"10.18632/aging.100934","ISSN":"19454589","PMID":"27019364","abstract":"Apoptosis is a form of programmed cell death that results in the orderly and efficient removal of damaged cells, such as those resulting from DNA damage or during development. Apoptosis can be triggered by signals from within the cell, such as genotoxic stress, or by extrinsic signals, such as the binding of ligands to cell surface death receptors. Deregulation in apoptotic cell death machinery is an hallmark of cancer. Apoptosis alteration is responsible not only for tumor development and progression but also for tumor resistance to therapies. Most anticancer drugs currently used in clinical oncology exploit the intact apoptotic signaling pathways to trigger cancer cell death. Thus, defects in the death pathways may result in drug resistance so limiting the efficacy of therapies. Therefore, a better understanding of the apoptotic cell death signaling pathways may improve the efficacy of cancer therapy and bypass resistance. This review will highlight the role of the fundamental regulators of apoptosis and how their deregulation, including activation of antiapoptotic factors (i.e., Bcl-2, Bcl-xL, etc) or inactivation of proapoptotic factors (i.e., p53 pathway) ends up in cancer cell resistance to therapies. In addition, therapeutic strategies aimed at modulating apoptotic activity are briefly discussed.","author":[{"dropping-particle":"","family":"Pistritto","given":"Giuseppa","non-dropping-particle":"","parse-names":false,"suffix":""},{"dropping-particle":"","family":"Trisciuoglio","given":"Daniela","non-dropping-particle":"","parse-names":false,"suffix":""},{"dropping-particle":"","family":"Ceci","given":"Claudia","non-dropping-particle":"","parse-names":false,"suffix":""},{"dropping-particle":"","family":"Alessia Garufi","given":"","non-dropping-particle":"","parse-names":false,"suffix":""},{"dropping-particle":"","family":"D'Orazi","given":"Gabriella","non-dropping-particle":"","parse-names":false,"suffix":""}],"container-title":"Aging","id":"ITEM-1","issue":"4","issued":{"date-parts":[["2016"]]},"page":"603-619","title":"Apoptosis as anticancer mechanism: Function and dysfunction of its modulators and targeted therapeutic strategies","type":"article-journal","volume":"8"},"uris":["http://www.mendeley.com/documents/?uuid=26755bc5-72ca-4a82-a5ce-c7ccd53896a9"]},{"id":"ITEM-2","itemData":{"DOI":"10.3390/ijms20051033","ISSN":"14220067","abstract":"Cancer is the second leading cause of death in the world and one of the major public health problems. Despite the great advances in cancer therapy, the incidence and mortality rates of cancer remain high. Therefore, the quest for more efficient and less toxic cancer treatment strategies is still at the forefront of current research. Curcumin, the active ingredient of the Curcuma longa plant, has received great attention over the past two decades as an antioxidant, anti-inflammatory, and anticancer agent. In this review, a summary of the medicinal chemistry and pharmacology of curcumin and its derivatives in regard to anticancer activity, their main mechanisms of action, and cellular targets has been provided based on the literature data from the experimental and clinical evaluation of curcumin in cancer cell lines, animal models, and human subjects. In addition, the recent advances in the drug delivery systems for curcumin delivery to cancer cells have been highlighted.","author":[{"dropping-particle":"","family":"Tomeh","given":"Mhd Anas","non-dropping-particle":"","parse-names":false,"suffix":""},{"dropping-particle":"","family":"Hadianamrei","given":"Roja","non-dropping-particle":"","parse-names":false,"suffix":""},{"dropping-particle":"","family":"Zhao","given":"Xiubo","non-dropping-particle":"","parse-names":false,"suffix":""}],"container-title":"International Journal of Molecular Sciences","id":"ITEM-2","issue":"5","issued":{"date-parts":[["2019"]]},"title":"A review of curcumin and its derivatives as anticancer agents","type":"article-journal","volume":"20"},"uris":["http://www.mendeley.com/documents/?uuid=9dd327a5-8ffb-470c-8488-d2d31142acba"]}],"mendeley":{"formattedCitation":"(8,17)","plainTextFormattedCitation":"(8,17)","previouslyFormattedCitation":"(8,17)"},"properties":{"noteIndex":0},"schema":"https://github.com/citation-style-language/schema/raw/master/csl-citation.json"}</w:instrText>
      </w:r>
      <w:r w:rsidR="00F24804">
        <w:rPr>
          <w:rFonts w:ascii="Times New Roman" w:eastAsia="Times New Roman" w:hAnsi="Times New Roman" w:cs="Times New Roman"/>
          <w:sz w:val="24"/>
          <w:szCs w:val="24"/>
          <w:lang w:eastAsia="en-ID"/>
        </w:rPr>
        <w:fldChar w:fldCharType="separate"/>
      </w:r>
      <w:r w:rsidR="00F24804" w:rsidRPr="00F24804">
        <w:rPr>
          <w:rFonts w:ascii="Times New Roman" w:eastAsia="Times New Roman" w:hAnsi="Times New Roman" w:cs="Times New Roman"/>
          <w:noProof/>
          <w:sz w:val="24"/>
          <w:szCs w:val="24"/>
          <w:lang w:eastAsia="en-ID"/>
        </w:rPr>
        <w:t>(8,17)</w:t>
      </w:r>
      <w:r w:rsidR="00F24804">
        <w:rPr>
          <w:rFonts w:ascii="Times New Roman" w:eastAsia="Times New Roman" w:hAnsi="Times New Roman" w:cs="Times New Roman"/>
          <w:sz w:val="24"/>
          <w:szCs w:val="24"/>
          <w:lang w:eastAsia="en-ID"/>
        </w:rPr>
        <w:fldChar w:fldCharType="end"/>
      </w:r>
      <w:r w:rsidRPr="00023068">
        <w:rPr>
          <w:rFonts w:ascii="Times New Roman" w:eastAsia="Times New Roman" w:hAnsi="Times New Roman" w:cs="Times New Roman"/>
          <w:sz w:val="24"/>
          <w:szCs w:val="24"/>
          <w:lang w:eastAsia="en-ID"/>
        </w:rPr>
        <w:t>. Activated caspase-3 mediates the cleavage of essential cellular substrates, including cytoskeletal proteins, protein kinases, DNA repair enzymes, and endonuclease inhibitors, ultimately leading to chromatin condensation, DNA fragmentation, and apoptotic morphological changes</w:t>
      </w:r>
      <w:r w:rsidR="00F24804">
        <w:rPr>
          <w:rFonts w:ascii="Times New Roman" w:eastAsia="Times New Roman" w:hAnsi="Times New Roman" w:cs="Times New Roman"/>
          <w:sz w:val="24"/>
          <w:szCs w:val="24"/>
          <w:lang w:eastAsia="en-ID"/>
        </w:rPr>
        <w:t xml:space="preserve"> </w:t>
      </w:r>
      <w:r w:rsidR="00F24804">
        <w:rPr>
          <w:rFonts w:ascii="Times New Roman" w:eastAsia="Times New Roman" w:hAnsi="Times New Roman" w:cs="Times New Roman"/>
          <w:sz w:val="24"/>
          <w:szCs w:val="24"/>
          <w:lang w:eastAsia="en-ID"/>
        </w:rPr>
        <w:fldChar w:fldCharType="begin" w:fldLock="1"/>
      </w:r>
      <w:r w:rsidR="00F24804">
        <w:rPr>
          <w:rFonts w:ascii="Times New Roman" w:eastAsia="Times New Roman" w:hAnsi="Times New Roman" w:cs="Times New Roman"/>
          <w:sz w:val="24"/>
          <w:szCs w:val="24"/>
          <w:lang w:eastAsia="en-ID"/>
        </w:rPr>
        <w:instrText>ADDIN CSL_CITATION {"citationItems":[{"id":"ITEM-1","itemData":{"DOI":"10.1083/jcb.202201159","ISSN":"15408140","PMID":"35551578","abstract":"Caspase-3 is a widely expressed member of a conserved family of proteins, generally recognized for their activated proteolytic roles in the execution of apoptosis in cells responding to specific extrinsic or intrinsic inducers of this mode of cell death. However, accumulating evidence indicates that caspase-3 also plays key roles in regulating the growth and homeostatic maintenance of both normal and malignant cells and tissues in multicellular organisms. Given that yeast possess an ancestral caspase-like gene suggests that the caspase-3 protein may have acquired different functions later during evolution to better meet the needs of more complex multicellular organisms, but without necessarily losing all of the functions of its ancestral yeast precursor. This review provides an update on what has been learned about these interesting dichotomous roles of caspase-3, their evolution, and their potential relevance to malignant as well as normal cell biology.","author":[{"dropping-particle":"","family":"Eskandari","given":"Ebrahim","non-dropping-particle":"","parse-names":false,"suffix":""},{"dropping-particle":"","family":"Eaves","given":"Connie J.","non-dropping-particle":"","parse-names":false,"suffix":""}],"container-title":"Journal of Cell Biology","id":"ITEM-1","issue":"6","issued":{"date-parts":[["2022"]]},"page":"1-13","title":"Paradoxical roles of caspase-3 in regulating cell survival, proliferation, and tumorigenesis","type":"article-journal","volume":"221"},"uris":["http://www.mendeley.com/documents/?uuid=05d9cd3b-da47-4afe-8db2-4c8ca714f9ba"]},{"id":"ITEM-2","itemData":{"DOI":"10.1101/cshperspect.a041020","ISSN":"19430264","PMID":"35914782","author":[{"dropping-particle":"","family":"Green","given":"Douglas R.","non-dropping-particle":"","parse-names":false,"suffix":""}],"container-title":"Cold Spring Harbor Perspectives in Biology","id":"ITEM-2","issue":"8","issued":{"date-parts":[["2022"]]},"title":"Caspase Activation and Inhibition","type":"article-journal","volume":"14"},"uris":["http://www.mendeley.com/documents/?uuid=7fa98afa-ba1c-4399-a4d4-4db02ce8c0ca"]}],"mendeley":{"formattedCitation":"(3,30)","plainTextFormattedCitation":"(3,30)","previouslyFormattedCitation":"(3,30)"},"properties":{"noteIndex":0},"schema":"https://github.com/citation-style-language/schema/raw/master/csl-citation.json"}</w:instrText>
      </w:r>
      <w:r w:rsidR="00F24804">
        <w:rPr>
          <w:rFonts w:ascii="Times New Roman" w:eastAsia="Times New Roman" w:hAnsi="Times New Roman" w:cs="Times New Roman"/>
          <w:sz w:val="24"/>
          <w:szCs w:val="24"/>
          <w:lang w:eastAsia="en-ID"/>
        </w:rPr>
        <w:fldChar w:fldCharType="separate"/>
      </w:r>
      <w:r w:rsidR="00F24804" w:rsidRPr="00F24804">
        <w:rPr>
          <w:rFonts w:ascii="Times New Roman" w:eastAsia="Times New Roman" w:hAnsi="Times New Roman" w:cs="Times New Roman"/>
          <w:noProof/>
          <w:sz w:val="24"/>
          <w:szCs w:val="24"/>
          <w:lang w:eastAsia="en-ID"/>
        </w:rPr>
        <w:t>(3,30)</w:t>
      </w:r>
      <w:r w:rsidR="00F24804">
        <w:rPr>
          <w:rFonts w:ascii="Times New Roman" w:eastAsia="Times New Roman" w:hAnsi="Times New Roman" w:cs="Times New Roman"/>
          <w:sz w:val="24"/>
          <w:szCs w:val="24"/>
          <w:lang w:eastAsia="en-ID"/>
        </w:rPr>
        <w:fldChar w:fldCharType="end"/>
      </w:r>
      <w:r w:rsidRPr="00023068">
        <w:rPr>
          <w:rFonts w:ascii="Times New Roman" w:eastAsia="Times New Roman" w:hAnsi="Times New Roman" w:cs="Times New Roman"/>
          <w:sz w:val="24"/>
          <w:szCs w:val="24"/>
          <w:lang w:eastAsia="en-ID"/>
        </w:rPr>
        <w:t>.</w:t>
      </w:r>
    </w:p>
    <w:p w14:paraId="300FAA47" w14:textId="33F81403" w:rsidR="00F24804" w:rsidRDefault="00F24804" w:rsidP="00023068">
      <w:pPr>
        <w:spacing w:after="0" w:line="240" w:lineRule="auto"/>
        <w:ind w:firstLine="720"/>
        <w:jc w:val="both"/>
        <w:rPr>
          <w:rFonts w:ascii="Times New Roman" w:hAnsi="Times New Roman" w:cs="Times New Roman"/>
          <w:sz w:val="24"/>
          <w:szCs w:val="24"/>
        </w:rPr>
      </w:pPr>
      <w:r w:rsidRPr="00F24804">
        <w:rPr>
          <w:rFonts w:ascii="Times New Roman" w:hAnsi="Times New Roman" w:cs="Times New Roman"/>
          <w:sz w:val="24"/>
          <w:szCs w:val="24"/>
        </w:rPr>
        <w:t>Flow cytometry analysis corroborated the AO/EB staining findings, showing a significant increase in activated caspase-3 in curcumin-treated cells compared with untreated controls. Flow cytometry is widely recognized as a highly sensitive and quantitative method for detecting apoptosis through fluorescent labeling of activated caspases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{"citationItems":[{"id":"ITEM-1","itemData":{"DOI":"10.1002/cpz1.951","ISSN":"26911299","PMID":"38112058","abstract":"Apoptosis is a mode of programmed cell death that plays important roles in tissue sculpting during development, in the maintenance of tissue homeostasis in the adult, and in the eradication of injured or infected cells during pathological processes. Numerous physiological as well as pathological stimuli trigger apoptosis, such as engagement of plasma-membrane-associated Fas, TRAIL, or TNF receptors, growth factor deprivation, hypoxia, radiation, and exposure to diverse cytotoxic drugs. Apoptosis is coordinated by members of the caspase family of cysteine proteases, which, upon activation, trigger a series of dramatic morphological and biochemical changes including retraction from the substratum, cell shrinkage, extensive and protracted plasma membrane blebbing, chromatin condensation, DNA hydrolysis, nuclear fragmentation, and proteolytic cleavage of numerous caspase substrates. These dramatic structural and biochemical alterations result not only in the controlled dismantling of the cell, but also in the rapid recognition and removal of apoptotic cells by phagocytes through the cell surface display of phagocytotic triggers such as phosphatidylserine. Necrosis, which is typically nonprogrammed or imposed upon the cell by overwhelming membrane or organelle damage, is characterized by high-amplitude cell swelling, followed by rapid plasma membrane rupture and release of cellular contents into the extracellular space. Necrosis is often provoked by infectious agents or severe departure from physiological conditions due to toxins, temperature extremes, or physical injury. However, forms of programmed necrosis (necroptosis, pyroptosis, ferroptosis) can also occur in specific circumstances. Nonprogrammed and programmed necrosis can be distinguished from apoptosis by morphological features, based on the rapid uptake of vital dyes, and through the application of specific inhibitors of key molecules associated with the latter modes of cell death. This unit describes protocols for the measurement of apoptosis and necrosis and for distinguishing apoptosis from programmed as well as conventional necrosis. © 2023 The Authors. Current Protocols published by Wiley Periodicals LLC. Basic Protocol 1: Analysis of cell morphology by phase-contrast microscopy. Alternative Protocol 1: Assessment of morphological changes using eosin-methylene blue staining. Alternative Protocol 2: Analysis of nuclear morphology by fluorescence microscopy. Support Protocol: Preparation of cyto…","author":[{"dropping-particle":"","family":"Costigan","given":"Aoife","non-dropping-particle":"","parse-names":false,"suffix":""},{"dropping-particle":"","family":"Hollville","given":"Emilie","non-dropping-particle":"","parse-names":false,"suffix":""},{"dropping-particle":"","family":"Martin","given":"Seamus J.","non-dropping-particle":"","parse-names":false,"suffix":""}],"container-title":"Current Protocols","id":"ITEM-1","issue":"12","issued":{"date-parts":[["2023"]]},"page":"1-31","title":"Discriminating Between Apoptosis, Necrosis, Necroptosis, and Ferroptosis by Microscopy and Flow Cytometry","type":"article-journal","volume":"3"},"uris":["http://www.mendeley.com/documents/?uuid=0d099844-9053-42ee-b19b-9ecad406c9a4"]},{"id":"ITEM-2","itemData":{"DOI":"10.1007/978-94-017-0623-0_1","ISSN":"10731180","PMID":"9660728","abstract":"Flow cytometry is an innovative technology that measures certain cell parameters as the cells flow in a fluid stream and in single file past an analytical laser light source. Clinical applications of flow cytometry currently utilized in the laboratory include cell surface antigen determinations or immunophenotyping of hematologic cells, DNA analysis of hematopoietic malignancies and solid tumors, and measurement of CD4 (T helper/inducer cell) absolute counts and T helper/T suppressor (CD4/CD8) ratios in the evaluation of immune deficiency. Flow cytometry often offers a more rapid, sensitive, accurate, and quantitative means of analyzing a particular cell population in a heterogeneous cell suspension as compared to more traditional microscopic methods. This article is intended to provide a general understanding of the technological basis of how a flow cytometer functions as well as an overview of both current and future flow cytometric clinical laboratory applications.","author":[{"dropping-particle":"","family":"Villas","given":"B. H.","non-dropping-particle":"","parse-names":false,"suffix":""}],"container-title":"Cell vision : the journal of analytical morphology","id":"ITEM-2","issue":"1","issued":{"date-parts":[["1998"]]},"page":"56-61","title":"Flow cytometry: an overview.","type":"article-journal","volume":"5"},"uris":["http://www.mendeley.com/documents/?uuid=5bd27104-8e6a-4a0f-96a3-8fd0c37aa3eb"]}],"mendeley":{"formattedCitation":"(19,20)","plainTextFormattedCitation":"(19,20)","previouslyFormattedCitation":"(19,20)"},"properties":{"noteIndex":0},"schema":"https://github.com/citation-style-language/schema/raw/master/csl-citation.json"}</w:instrText>
      </w:r>
      <w:r>
        <w:rPr>
          <w:rFonts w:ascii="Times New Roman" w:hAnsi="Times New Roman" w:cs="Times New Roman"/>
          <w:sz w:val="24"/>
          <w:szCs w:val="24"/>
        </w:rPr>
        <w:fldChar w:fldCharType="separate"/>
      </w:r>
      <w:r w:rsidRPr="00F24804">
        <w:rPr>
          <w:rFonts w:ascii="Times New Roman" w:hAnsi="Times New Roman" w:cs="Times New Roman"/>
          <w:noProof/>
          <w:sz w:val="24"/>
          <w:szCs w:val="24"/>
        </w:rPr>
        <w:t>(19,20)</w:t>
      </w:r>
      <w:r>
        <w:rPr>
          <w:rFonts w:ascii="Times New Roman" w:hAnsi="Times New Roman" w:cs="Times New Roman"/>
          <w:sz w:val="24"/>
          <w:szCs w:val="24"/>
        </w:rPr>
        <w:fldChar w:fldCharType="end"/>
      </w:r>
      <w:r w:rsidRPr="00F24804">
        <w:rPr>
          <w:rFonts w:ascii="Times New Roman" w:hAnsi="Times New Roman" w:cs="Times New Roman"/>
          <w:sz w:val="24"/>
          <w:szCs w:val="24"/>
        </w:rPr>
        <w:t xml:space="preserve">. In contrast, AO/EB staining provides a simpler and rapid method for distinguishing live, apoptotic, and </w:t>
      </w:r>
      <w:r w:rsidRPr="00F24804">
        <w:rPr>
          <w:rFonts w:ascii="Times New Roman" w:hAnsi="Times New Roman" w:cs="Times New Roman"/>
          <w:sz w:val="24"/>
          <w:szCs w:val="24"/>
        </w:rPr>
        <w:lastRenderedPageBreak/>
        <w:t>necrotic cells based on membrane integrity and nuclear morphology</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7B704B">
        <w:rPr>
          <w:rFonts w:ascii="Times New Roman" w:hAnsi="Times New Roman" w:cs="Times New Roman"/>
          <w:sz w:val="24"/>
          <w:szCs w:val="24"/>
        </w:rPr>
        <w:instrText>ADDIN CSL_CITATION {"citationItems":[{"id":"ITEM-1","itemData":{"DOI":"10.12659/msmbr.893327","author":[{"dropping-particle":"","family":"Wu","given":"Xing","non-dropping-particle":"","parse-names":false,"suffix":""}],"container-title":"Medical Science Monitor Basic Research","id":"ITEM-1","issued":{"date-parts":[["2015"]]},"title":"Dual AO/EB Staining to Detect Apoptosis in Osteosarcoma Cells Compared With Flow Cytometry","type":"article-journal"},"uris":["http://www.mendeley.com/documents/?uuid=257aa71e-c19b-41ae-b136-c8ee3a84c211"]}],"mendeley":{"formattedCitation":"(21)","plainTextFormattedCitation":"(21)","previouslyFormattedCitation":"(21)"},"properties":{"noteIndex":0},"schema":"https://github.com/citation-style-language/schema/raw/master/csl-citation.json"}</w:instrText>
      </w:r>
      <w:r>
        <w:rPr>
          <w:rFonts w:ascii="Times New Roman" w:hAnsi="Times New Roman" w:cs="Times New Roman"/>
          <w:sz w:val="24"/>
          <w:szCs w:val="24"/>
        </w:rPr>
        <w:fldChar w:fldCharType="separate"/>
      </w:r>
      <w:r w:rsidRPr="00F24804">
        <w:rPr>
          <w:rFonts w:ascii="Times New Roman" w:hAnsi="Times New Roman" w:cs="Times New Roman"/>
          <w:noProof/>
          <w:sz w:val="24"/>
          <w:szCs w:val="24"/>
        </w:rPr>
        <w:t>(21)</w:t>
      </w:r>
      <w:r>
        <w:rPr>
          <w:rFonts w:ascii="Times New Roman" w:hAnsi="Times New Roman" w:cs="Times New Roman"/>
          <w:sz w:val="24"/>
          <w:szCs w:val="24"/>
        </w:rPr>
        <w:fldChar w:fldCharType="end"/>
      </w:r>
      <w:r w:rsidRPr="00F24804">
        <w:rPr>
          <w:rFonts w:ascii="Times New Roman" w:hAnsi="Times New Roman" w:cs="Times New Roman"/>
          <w:sz w:val="24"/>
          <w:szCs w:val="24"/>
        </w:rPr>
        <w:t>. The strong agreement between flow cytometry and AO/EB staining observed in this study underscores the reliability of both techniques in detecting curcumin-induced apoptosis. Furthermore, morphological evaluation via AO/EB staining suggests that lower concentrations of curcumin predominantly induce apoptosis, whereas higher concentrations may also trigger necrotic features, a phenomenon that has been reported in dose-dependent cytotoxic studies</w:t>
      </w:r>
      <w:r>
        <w:rPr>
          <w:rFonts w:ascii="Times New Roman" w:hAnsi="Times New Roman" w:cs="Times New Roman"/>
          <w:sz w:val="24"/>
          <w:szCs w:val="24"/>
        </w:rPr>
        <w:t xml:space="preserve"> </w:t>
      </w:r>
      <w:r w:rsidR="007B704B">
        <w:rPr>
          <w:rFonts w:ascii="Times New Roman" w:hAnsi="Times New Roman" w:cs="Times New Roman"/>
          <w:sz w:val="24"/>
          <w:szCs w:val="24"/>
        </w:rPr>
        <w:fldChar w:fldCharType="begin" w:fldLock="1"/>
      </w:r>
      <w:r w:rsidR="007B704B">
        <w:rPr>
          <w:rFonts w:ascii="Times New Roman" w:hAnsi="Times New Roman" w:cs="Times New Roman"/>
          <w:sz w:val="24"/>
          <w:szCs w:val="24"/>
        </w:rPr>
        <w:instrText>ADDIN CSL_CITATION {"citationItems":[{"id":"ITEM-1","itemData":{"DOI":"10.1007/s10495-022-01735-y","ISSN":"1573675X","PMID":"35713779","abstract":"Programmed cell death is considered a key player in a variety of cellular processes that helps to regulate tissue growth, embryogenesis, cell turnover, immune response, and other biological processes. Among different types of cell death, apoptosis has been studied widely, especially in the field of cancer research to understand and analyse cellular mechanisms, and signaling pathways that control cell cycle arrest. Hallmarks of different types of cell death have been identified by following the patterns and events through microscopy. Identified biomarkers have also supported drug development to induce cell death in cancerous cells. There are various serological and microscopic techniques with advantages and limitations, that are available and are being utilized to detect and study the mechanism of cell death. The complexity of the mechanism and difficulties in distinguishing among different types of programmed cell death make it challenging to carry out the interventions and delay its progression. In this review, mechanisms of different forms of programmed cell death along with their conventional and unconventional methods of detection of have been critically reviewed systematically and categorized on the basis of morphological hallmarks and biomarkers to understand the principle, mechanism, application, advantages and disadvantages of each method. Furthermore, a very comprehensive comparative analysis has been drawn to highlight the most efficient and effective methods of detection of programmed cell death, helping researchers to make a reliable and prudent selection among the available methods of cell death assay. Conclusively, how programmed cell death detection methods can be improved and can provide information about distinctive stages of cell death detection have been discussed.","author":[{"dropping-particle":"","family":"Kari","given":"Sana","non-dropping-particle":"","parse-names":false,"suffix":""},{"dropping-particle":"","family":"Subramanian","given":"Kumar","non-dropping-particle":"","parse-names":false,"suffix":""},{"dropping-particle":"","family":"Altomonte","given":"Ilenia Agata","non-dropping-particle":"","parse-names":false,"suffix":""},{"dropping-particle":"","family":"Murugesan","given":"Akshaya","non-dropping-particle":"","parse-names":false,"suffix":""},{"dropping-particle":"","family":"Yli-Harja","given":"Olli","non-dropping-particle":"","parse-names":false,"suffix":""},{"dropping-particle":"","family":"Kandhavelu","given":"Meenakshisundaram","non-dropping-particle":"","parse-names":false,"suffix":""}],"container-title":"Apoptosis","id":"ITEM-1","issue":"7-8","issued":{"date-parts":[["2022"]]},"page":"482-508","publisher":"Springer US","title":"Programmed cell death detection methods: a systematic review and a categorical comparison","type":"article-journal","volume":"27"},"uris":["http://www.mendeley.com/documents/?uuid=209e2cc1-496f-4bc8-b8c9-aa0aa781f3d5"]}],"mendeley":{"formattedCitation":"(26)","plainTextFormattedCitation":"(26)","previouslyFormattedCitation":"(26)"},"properties":{"noteIndex":0},"schema":"https://github.com/citation-style-language/schema/raw/master/csl-citation.json"}</w:instrText>
      </w:r>
      <w:r w:rsidR="007B704B">
        <w:rPr>
          <w:rFonts w:ascii="Times New Roman" w:hAnsi="Times New Roman" w:cs="Times New Roman"/>
          <w:sz w:val="24"/>
          <w:szCs w:val="24"/>
        </w:rPr>
        <w:fldChar w:fldCharType="separate"/>
      </w:r>
      <w:r w:rsidR="007B704B" w:rsidRPr="007B704B">
        <w:rPr>
          <w:rFonts w:ascii="Times New Roman" w:hAnsi="Times New Roman" w:cs="Times New Roman"/>
          <w:noProof/>
          <w:sz w:val="24"/>
          <w:szCs w:val="24"/>
        </w:rPr>
        <w:t>(26)</w:t>
      </w:r>
      <w:r w:rsidR="007B704B">
        <w:rPr>
          <w:rFonts w:ascii="Times New Roman" w:hAnsi="Times New Roman" w:cs="Times New Roman"/>
          <w:sz w:val="24"/>
          <w:szCs w:val="24"/>
        </w:rPr>
        <w:fldChar w:fldCharType="end"/>
      </w:r>
      <w:r w:rsidRPr="00F24804">
        <w:rPr>
          <w:rFonts w:ascii="Times New Roman" w:hAnsi="Times New Roman" w:cs="Times New Roman"/>
          <w:sz w:val="24"/>
          <w:szCs w:val="24"/>
        </w:rPr>
        <w:t>.</w:t>
      </w:r>
    </w:p>
    <w:p w14:paraId="07212878" w14:textId="7A278C04" w:rsidR="007B704B" w:rsidRDefault="007B704B" w:rsidP="00023068">
      <w:pPr>
        <w:spacing w:after="0" w:line="240" w:lineRule="auto"/>
        <w:ind w:firstLine="720"/>
        <w:jc w:val="both"/>
        <w:rPr>
          <w:rFonts w:ascii="Times New Roman" w:hAnsi="Times New Roman" w:cs="Times New Roman"/>
          <w:sz w:val="24"/>
          <w:szCs w:val="24"/>
        </w:rPr>
      </w:pPr>
      <w:r w:rsidRPr="007B704B">
        <w:rPr>
          <w:rFonts w:ascii="Times New Roman" w:hAnsi="Times New Roman" w:cs="Times New Roman"/>
          <w:sz w:val="24"/>
          <w:szCs w:val="24"/>
        </w:rPr>
        <w:t>The significant concordance between flow cytometry and AO/EB staining indicates that AO/EB staining can serve as a reliable alternative for apoptosis assessment, particularly in laboratories with limited access to advanced cytometry equipment. Although ethidium bromide is toxic and mutagenic and therefore unsuitable for in vivo applications, its controlled use in in vitro assays remains acceptable with appropriate safety measures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{"citationItems":[{"id":"ITEM-1","itemData":{"DOI":"10.20944/preprints202505.1106.v1","author":[{"dropping-particle":"","family":"Gurunathan","given":"A","non-dropping-particle":"","parse-names":false,"suffix":""},{"dropping-particle":"","family":"Subalakshmi M","given":"H","non-dropping-particle":"","parse-names":false,"suffix":""}],"container-title":"Preprints","id":"ITEM-1","issued":{"date-parts":[["2025"]]},"page":"0-24","title":"Decontaminating Ethidium Bromide: Advances in Adsorptive, Photocatalytic, and Biodegradation Approaches","type":"article-journal"},"uris":["http://www.mendeley.com/documents/?uuid=ae681ac3-9024-447c-a05e-8a312aaf4158"]}],"mendeley":{"formattedCitation":"(31)","plainTextFormattedCitation":"(31)","previouslyFormattedCitation":"(31)"},"properties":{"noteIndex":0},"schema":"https://github.com/citation-style-language/schema/raw/master/csl-citation.json"}</w:instrText>
      </w:r>
      <w:r>
        <w:rPr>
          <w:rFonts w:ascii="Times New Roman" w:hAnsi="Times New Roman" w:cs="Times New Roman"/>
          <w:sz w:val="24"/>
          <w:szCs w:val="24"/>
        </w:rPr>
        <w:fldChar w:fldCharType="separate"/>
      </w:r>
      <w:r w:rsidRPr="007B704B">
        <w:rPr>
          <w:rFonts w:ascii="Times New Roman" w:hAnsi="Times New Roman" w:cs="Times New Roman"/>
          <w:noProof/>
          <w:sz w:val="24"/>
          <w:szCs w:val="24"/>
        </w:rPr>
        <w:t>(31)</w:t>
      </w:r>
      <w:r>
        <w:rPr>
          <w:rFonts w:ascii="Times New Roman" w:hAnsi="Times New Roman" w:cs="Times New Roman"/>
          <w:sz w:val="24"/>
          <w:szCs w:val="24"/>
        </w:rPr>
        <w:fldChar w:fldCharType="end"/>
      </w:r>
      <w:r w:rsidRPr="007B704B">
        <w:rPr>
          <w:rFonts w:ascii="Times New Roman" w:hAnsi="Times New Roman" w:cs="Times New Roman"/>
          <w:sz w:val="24"/>
          <w:szCs w:val="24"/>
        </w:rPr>
        <w:t>. The complementary application of flow cytometry and AO/EB staining strengthens the conclusion that curcumin induces apoptosis in MCF-7 cells primarily via caspase-3 activation. Nevertheless, this study has limitations. The interpretation of flow cytometry data focused on apoptotic detection rather than necrosis, while AO/EB staining provided morphological confirmation without detailed mechanistic discrimination. Additionally, the relatively small sample size and the exclusive use of a single breast cancer cell line may limit the generalizability of the findings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436AC3">
        <w:rPr>
          <w:rFonts w:ascii="Times New Roman" w:hAnsi="Times New Roman" w:cs="Times New Roman"/>
          <w:sz w:val="24"/>
          <w:szCs w:val="24"/>
        </w:rPr>
        <w:instrText>ADDIN CSL_CITATION {"citationItems":[{"id":"ITEM-1","itemData":{"DOI":"10.3390/biology12111426","ISSN":"20797737","abstract":"The former conventional belief was that cell death resulted from either apoptosis or necrosis; however, in recent years, different pathways through which a cell can undergo cell death have been discovered. Various types of cell death are distinguished by specific morphological alterations in the cell’s structure, coupled with numerous biological activation processes. Various diseases, such as cancers, can occur due to the accumulation of damaged cells in the body caused by the dysregulation and failure of cell death. Thus, comprehending these cell death pathways is crucial for formulating effective therapeutic strategies. We focused on providing a comprehensive overview of the existing literature pertaining to various forms of cell death, encompassing apoptosis, anoikis, pyroptosis, NETosis, ferroptosis, autophagy, entosis, methuosis, paraptosis, mitoptosis, parthanatos, necroptosis, and necrosis.","author":[{"dropping-particle":"","family":"Hajibabaie","given":"Fatemeh","non-dropping-particle":"","parse-names":false,"suffix":""},{"dropping-particle":"","family":"Abedpoor","given":"Navid","non-dropping-particle":"","parse-names":false,"suffix":""},{"dropping-particle":"","family":"Mohamadynejad","given":"Parisa","non-dropping-particle":"","parse-names":false,"suffix":""}],"container-title":"Biology","id":"ITEM-1","issue":"11","issued":{"date-parts":[["2023"]]},"page":"1-29","title":"Types of Cell Death from a Molecular Perspective","type":"article-journal","volume":"12"},"uris":["http://www.mendeley.com/documents/?uuid=c271d807-dcbe-47df-9236-15f4f1b436f9"]}],"mendeley":{"formattedCitation":"(32)","plainTextFormattedCitation":"(32)","previouslyFormattedCitation":"(32)"},"properties":{"noteIndex":0},"schema":"https://github.com/citation-style-language/schema/raw/master/csl-citation.json"}</w:instrText>
      </w:r>
      <w:r>
        <w:rPr>
          <w:rFonts w:ascii="Times New Roman" w:hAnsi="Times New Roman" w:cs="Times New Roman"/>
          <w:sz w:val="24"/>
          <w:szCs w:val="24"/>
        </w:rPr>
        <w:fldChar w:fldCharType="separate"/>
      </w:r>
      <w:r w:rsidRPr="007B704B">
        <w:rPr>
          <w:rFonts w:ascii="Times New Roman" w:hAnsi="Times New Roman" w:cs="Times New Roman"/>
          <w:noProof/>
          <w:sz w:val="24"/>
          <w:szCs w:val="24"/>
        </w:rPr>
        <w:t>(32)</w:t>
      </w:r>
      <w:r>
        <w:rPr>
          <w:rFonts w:ascii="Times New Roman" w:hAnsi="Times New Roman" w:cs="Times New Roman"/>
          <w:sz w:val="24"/>
          <w:szCs w:val="24"/>
        </w:rPr>
        <w:fldChar w:fldCharType="end"/>
      </w:r>
      <w:r w:rsidRPr="007B704B">
        <w:rPr>
          <w:rFonts w:ascii="Times New Roman" w:hAnsi="Times New Roman" w:cs="Times New Roman"/>
          <w:sz w:val="24"/>
          <w:szCs w:val="24"/>
        </w:rPr>
        <w:t>.</w:t>
      </w:r>
    </w:p>
    <w:p w14:paraId="295CC095" w14:textId="21A389B1" w:rsidR="007B704B" w:rsidRDefault="007B704B" w:rsidP="00023068">
      <w:pPr>
        <w:spacing w:after="0" w:line="240" w:lineRule="auto"/>
        <w:ind w:firstLine="720"/>
        <w:jc w:val="both"/>
        <w:rPr>
          <w:rFonts w:ascii="Times New Roman" w:hAnsi="Times New Roman" w:cs="Times New Roman"/>
          <w:sz w:val="24"/>
          <w:szCs w:val="24"/>
        </w:rPr>
      </w:pPr>
      <w:r w:rsidRPr="007B704B">
        <w:rPr>
          <w:rFonts w:ascii="Times New Roman" w:hAnsi="Times New Roman" w:cs="Times New Roman"/>
          <w:sz w:val="24"/>
          <w:szCs w:val="24"/>
        </w:rPr>
        <w:t>Future studies should incorporate a broader range of breast cancer subtypes and larger sample sizes to validate the observed effects of curcumin across heterogeneous tumor models. Moreover, the present study evaluated only short-term curcumin exposure; therefore, long-term investigations are required to determine whether its pro-apoptotic effects are sustained and whether resistance mechanisms emerge over time</w:t>
      </w:r>
      <w:r>
        <w:rPr>
          <w:rFonts w:ascii="Times New Roman" w:hAnsi="Times New Roman" w:cs="Times New Roman"/>
          <w:sz w:val="24"/>
          <w:szCs w:val="24"/>
        </w:rPr>
        <w:t xml:space="preserve"> </w:t>
      </w:r>
      <w:r w:rsidR="00436AC3">
        <w:rPr>
          <w:rFonts w:ascii="Times New Roman" w:hAnsi="Times New Roman" w:cs="Times New Roman"/>
          <w:sz w:val="24"/>
          <w:szCs w:val="24"/>
        </w:rPr>
        <w:fldChar w:fldCharType="begin" w:fldLock="1"/>
      </w:r>
      <w:r w:rsidR="00436AC3">
        <w:rPr>
          <w:rFonts w:ascii="Times New Roman" w:hAnsi="Times New Roman" w:cs="Times New Roman"/>
          <w:sz w:val="24"/>
          <w:szCs w:val="24"/>
        </w:rPr>
        <w:instrText>ADDIN CSL_CITATION {"citationItems":[{"id":"ITEM-1","itemData":{"DOI":"10.1002/mco2.70024","ISSN":"26882663","abstract":"Programmed cell death represents a precisely regulated and active cellular demise, governed by a complex network of specific genes and proteins. The identification of multiple forms of programmed cell death has significantly advanced the understanding of its intricate mechanisms, as demonstrated in recent studies. A thorough grasp of these processes is essential across various biological disciplines and in the study of diseases. Nonetheless, despite notable progress, the exploration of the relationship between programmed cell death and disease, as well as its clinical application, are still in a nascent stage. Therefore, further exploration of programmed cell death and the development of corresponding therapeutic methods and strategies holds substantial potential. Our review provides a detailed examination of the primary mechanisms behind apoptosis, autophagy, necroptosis, pyroptosis, and ferroptosis. Following this, the discussion delves into biological functions and diseases associated dysregulated programmed cell death. Finally, we highlight existing and potential therapeutic targets and strategies focused on cancers and neurodegenerative diseases. This review aims to summarize the latest insights on programmed cell death from mechanisms to diseases and provides a more reliable approach for clinical transformation.","author":[{"dropping-particle":"","family":"Qian","given":"Shen'er","non-dropping-particle":"","parse-names":false,"suffix":""},{"dropping-particle":"","family":"Long","given":"Yao","non-dropping-particle":"","parse-names":false,"suffix":""},{"dropping-particle":"","family":"Tan","given":"Guolin","non-dropping-particle":"","parse-names":false,"suffix":""},{"dropping-particle":"","family":"Li","given":"Xiaoguang","non-dropping-particle":"","parse-names":false,"suffix":""},{"dropping-particle":"","family":"Xiang","given":"Bo","non-dropping-particle":"","parse-names":false,"suffix":""},{"dropping-particle":"","family":"Tao","given":"Yongguang","non-dropping-particle":"","parse-names":false,"suffix":""},{"dropping-particle":"","family":"Xie","given":"Zuozhong","non-dropping-particle":"","parse-names":false,"suffix":""},{"dropping-particle":"","family":"Zhang","given":"Xiaowei","non-dropping-particle":"","parse-names":false,"suffix":""}],"container-title":"MedComm","id":"ITEM-1","issue":"12","issued":{"date-parts":[["2024"]]},"page":"1-33","title":"Programmed cell death: molecular mechanisms, biological functions, diseases, and therapeutic targets","type":"article-journal","volume":"5"},"uris":["http://www.mendeley.com/documents/?uuid=b9691d55-1ac7-4b5c-a7c4-5de7b93a7a58"]},{"id":"ITEM-2","itemData":{"DOI":"10.3390/foods6100092","ISBN":"1321377452","ISSN":"23048158","PMID":"29065496","abstract":"Turmeric, a spice that has long been recognized for its medicinal properties, has received interest from both the medical/scientific world and from culinary enthusiasts, as it is the major source of the polyphenol curcumin. It aids in the management of oxidative and inflammatory conditions, metabolic syndrome, arthritis, anxiety, and hyperlipidemia. It may also help in the management of exercise-induced inflammation and muscle soreness, thus enhancing recovery and performance in active people. In addition, a relatively low dose of the complex can provide health benefits for people that do not have diagnosed health conditions. Most of these benefits can be attributed to its antioxidant and anti-inflammatory effects. Ingesting curcumin by itself does not lead to the associated health benefits due to its poor bioavailability, which appears to be primarily due to poor absorption, rapid metabolism, and rapid elimination. There are several components that can increase bioavailability. For example, piperine is the major active component of black pepper and, when combined in a complex with curcumin, has been shown to increase bioavailability by 2000%. Curcumin combined with enhancing agents provides multiple health benefits. The purpose of this review is to provide a brief overview of the plethora of research regarding the health benefits of curcumin.","author":[{"dropping-particle":"","family":"Hewlings","given":"Susan J.","non-dropping-particle":"","parse-names":false,"suffix":""},{"dropping-particle":"","family":"Kalman","given":"Douglas S.","non-dropping-particle":"","parse-names":false,"suffix":""}],"container-title":"Foods","id":"ITEM-2","issue":"10","issued":{"date-parts":[["2017"]]},"page":"1-11","title":"Curcumin: A review of its effects on human health","type":"article-journal","volume":"6"},"uris":["http://www.mendeley.com/documents/?uuid=975d4bcf-d3aa-4b0d-8b81-b90d9e778e29"]}],"mendeley":{"formattedCitation":"(12,33)","plainTextFormattedCitation":"(12,33)","previouslyFormattedCitation":"(12,33)"},"properties":{"noteIndex":0},"schema":"https://github.com/citation-style-language/schema/raw/master/csl-citation.json"}</w:instrText>
      </w:r>
      <w:r w:rsidR="00436AC3">
        <w:rPr>
          <w:rFonts w:ascii="Times New Roman" w:hAnsi="Times New Roman" w:cs="Times New Roman"/>
          <w:sz w:val="24"/>
          <w:szCs w:val="24"/>
        </w:rPr>
        <w:fldChar w:fldCharType="separate"/>
      </w:r>
      <w:r w:rsidR="00436AC3" w:rsidRPr="00436AC3">
        <w:rPr>
          <w:rFonts w:ascii="Times New Roman" w:hAnsi="Times New Roman" w:cs="Times New Roman"/>
          <w:noProof/>
          <w:sz w:val="24"/>
          <w:szCs w:val="24"/>
        </w:rPr>
        <w:t>(12,33)</w:t>
      </w:r>
      <w:r w:rsidR="00436AC3">
        <w:rPr>
          <w:rFonts w:ascii="Times New Roman" w:hAnsi="Times New Roman" w:cs="Times New Roman"/>
          <w:sz w:val="24"/>
          <w:szCs w:val="24"/>
        </w:rPr>
        <w:fldChar w:fldCharType="end"/>
      </w:r>
      <w:r w:rsidRPr="007B704B">
        <w:rPr>
          <w:rFonts w:ascii="Times New Roman" w:hAnsi="Times New Roman" w:cs="Times New Roman"/>
          <w:sz w:val="24"/>
          <w:szCs w:val="24"/>
        </w:rPr>
        <w:t>. Importantly, in vivo studies are essential to assess the therapeutic relevance of curcumin in the context of tumor microenvironment complexity and systemic pharmacokinetics</w:t>
      </w:r>
      <w:r w:rsidR="00436AC3">
        <w:rPr>
          <w:rFonts w:ascii="Times New Roman" w:hAnsi="Times New Roman" w:cs="Times New Roman"/>
          <w:sz w:val="24"/>
          <w:szCs w:val="24"/>
        </w:rPr>
        <w:t xml:space="preserve"> </w:t>
      </w:r>
      <w:r w:rsidR="00436AC3">
        <w:rPr>
          <w:rFonts w:ascii="Times New Roman" w:hAnsi="Times New Roman" w:cs="Times New Roman"/>
          <w:sz w:val="24"/>
          <w:szCs w:val="24"/>
        </w:rPr>
        <w:fldChar w:fldCharType="begin" w:fldLock="1"/>
      </w:r>
      <w:r w:rsidR="00436AC3">
        <w:rPr>
          <w:rFonts w:ascii="Times New Roman" w:hAnsi="Times New Roman" w:cs="Times New Roman"/>
          <w:sz w:val="24"/>
          <w:szCs w:val="24"/>
        </w:rPr>
        <w:instrText>ADDIN CSL_CITATION {"citationItems":[{"id":"ITEM-1","itemData":{"DOI":"10.1158/2159-8290.CD-21-1059","ISSN":"21598290","PMID":"35022204","abstract":"The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medicine.","author":[{"dropping-particle":"","family":"Hanahan","given":"Douglas","non-dropping-particle":"","parse-names":false,"suffix":""}],"container-title":"Cancer Discovery","id":"ITEM-1","issue":"1","issued":{"date-parts":[["2022"]]},"page":"31-46","title":"Hallmarks of Cancer: New Dimensions","type":"article-journal","volume":"12"},"uris":["http://www.mendeley.com/documents/?uuid=4cc0fb97-eedf-4251-8f6c-72750ec858b6"]}],"mendeley":{"formattedCitation":"(6)","plainTextFormattedCitation":"(6)","previouslyFormattedCitation":"(6)"},"properties":{"noteIndex":0},"schema":"https://github.com/citation-style-language/schema/raw/master/csl-citation.json"}</w:instrText>
      </w:r>
      <w:r w:rsidR="00436AC3">
        <w:rPr>
          <w:rFonts w:ascii="Times New Roman" w:hAnsi="Times New Roman" w:cs="Times New Roman"/>
          <w:sz w:val="24"/>
          <w:szCs w:val="24"/>
        </w:rPr>
        <w:fldChar w:fldCharType="separate"/>
      </w:r>
      <w:r w:rsidR="00436AC3" w:rsidRPr="00436AC3">
        <w:rPr>
          <w:rFonts w:ascii="Times New Roman" w:hAnsi="Times New Roman" w:cs="Times New Roman"/>
          <w:noProof/>
          <w:sz w:val="24"/>
          <w:szCs w:val="24"/>
        </w:rPr>
        <w:t>(6)</w:t>
      </w:r>
      <w:r w:rsidR="00436AC3">
        <w:rPr>
          <w:rFonts w:ascii="Times New Roman" w:hAnsi="Times New Roman" w:cs="Times New Roman"/>
          <w:sz w:val="24"/>
          <w:szCs w:val="24"/>
        </w:rPr>
        <w:fldChar w:fldCharType="end"/>
      </w:r>
      <w:r w:rsidRPr="007B704B">
        <w:rPr>
          <w:rFonts w:ascii="Times New Roman" w:hAnsi="Times New Roman" w:cs="Times New Roman"/>
          <w:sz w:val="24"/>
          <w:szCs w:val="24"/>
        </w:rPr>
        <w:t>. Clinically, curcumin’s low toxicity profile and ability to enhance apoptosis suggest its potential use as an adjuvant agent in breast cancer therapy. Several recent studies have demonstrated that curcumin can sensitize cancer cells to conventional chemotherapeutic agents and reduce drug resistance, highlighting its promise in combination treatment strategies</w:t>
      </w:r>
      <w:r w:rsidR="00436AC3">
        <w:rPr>
          <w:rFonts w:ascii="Times New Roman" w:hAnsi="Times New Roman" w:cs="Times New Roman"/>
          <w:sz w:val="24"/>
          <w:szCs w:val="24"/>
        </w:rPr>
        <w:t xml:space="preserve"> </w:t>
      </w:r>
      <w:r w:rsidR="00436AC3">
        <w:rPr>
          <w:rFonts w:ascii="Times New Roman" w:hAnsi="Times New Roman" w:cs="Times New Roman"/>
          <w:sz w:val="24"/>
          <w:szCs w:val="24"/>
        </w:rPr>
        <w:fldChar w:fldCharType="begin" w:fldLock="1"/>
      </w:r>
      <w:r w:rsidR="00436AC3">
        <w:rPr>
          <w:rFonts w:ascii="Times New Roman" w:hAnsi="Times New Roman" w:cs="Times New Roman"/>
          <w:sz w:val="24"/>
          <w:szCs w:val="24"/>
        </w:rPr>
        <w:instrText>ADDIN CSL_CITATION {"citationItems":[{"id":"ITEM-1","itemData":{"DOI":"10.1016/j.biopha.2021.112567","ISSN":"19506007","PMID":"34953392","abstract":"Curcumin, a phytochemical derived from the rhizome of turmeric (Curcuma longa L.), has a broad group of substances with antibacterial, anti-inflammatory, anti-oxidant, anticancer activities. The anticancer activity of curcumin and its derivatives are mainly related to its regulation of signal transduction pathways. However, due to the low oral availability of curcumin, fast metabolism and other pharmacokinetic properties limit the application of curcumin in the treatment of cancer. Evidence suggests that curcumin combined with photodynamic therapy can overcome the limitation of curcumin's low bioavailability by acting on apoptosis pathways, such as B-cell lymphoma 2 (Bcl-2) and caspase family, and affecting cell cycle. This paper reviews the structure and pharmacokinetics of curcumin, focusing on the anticancer activity of curcumin combined with photodynamic therapy and the effects on cancer-related signal pathways.","author":[{"dropping-particle":"","family":"Xie","given":"Liguo","non-dropping-particle":"","parse-names":false,"suffix":""},{"dropping-particle":"","family":"Ji","given":"Xiuling","non-dropping-particle":"","parse-names":false,"suffix":""},{"dropping-particle":"","family":"Zhang","given":"Qi","non-dropping-particle":"","parse-names":false,"suffix":""},{"dropping-particle":"","family":"Wei","given":"Yunlin","non-dropping-particle":"","parse-names":false,"suffix":""}],"container-title":"Biomedicine and Pharmacotherapy","id":"ITEM-1","issue":"November 2021","issued":{"date-parts":[["2022"]]},"page":"112567","publisher":"Elsevier Masson SAS","title":"Curcumin combined with photodynamic therapy, promising therapies for the treatment of cancer","type":"article-journal","volume":"146"},"uris":["http://www.mendeley.com/documents/?uuid=d5757efb-9635-4206-9318-3b16438fed11"]},{"id":"ITEM-2","itemData":{"DOI":"10.3390/biomedicines12081801","ISSN":"22279059","abstract":"Resistance to cancer drugs is a complex phenomenon that poses a significant challenge in the treatment of various malignancies. This review comprehensively explores cancer resistance mechanisms and discusses emerging strategies and modalities to overcome this obstacle. Many factors contribute to cancer resistance, including genetic mutations, activation of alternative signaling pathways, and alterations in the tumor microenvironment. Innovative approaches, such as targeted protein degradation, immunotherapy combinations, precision medicine, and novel drug delivery systems, hold promise for improving treatment outcomes. Understanding the intricacies of cancer resistance and leveraging innovative modalities are essential for advancing cancer therapy.","author":[{"dropping-particle":"","family":"Koirala","given":"Mahesh","non-dropping-particle":"","parse-names":false,"suffix":""},{"dropping-particle":"","family":"DiPaola","given":"Mario","non-dropping-particle":"","parse-names":false,"suffix":""}],"container-title":"Biomedicines","id":"ITEM-2","issue":"8","issued":{"date-parts":[["2024"]]},"page":"1-19","title":"Overcoming Cancer Resistance: Strategies and Modalities for Effective Treatment","type":"article-journal","volume":"12"},"uris":["http://www.mendeley.com/documents/?uuid=ba030f5a-17dc-49fc-9a13-2fc0b2154b6c"]}],"mendeley":{"formattedCitation":"(34,35)","plainTextFormattedCitation":"(34,35)"},"properties":{"noteIndex":0},"schema":"https://github.com/citation-style-language/schema/raw/master/csl-citation.json"}</w:instrText>
      </w:r>
      <w:r w:rsidR="00436AC3">
        <w:rPr>
          <w:rFonts w:ascii="Times New Roman" w:hAnsi="Times New Roman" w:cs="Times New Roman"/>
          <w:sz w:val="24"/>
          <w:szCs w:val="24"/>
        </w:rPr>
        <w:fldChar w:fldCharType="separate"/>
      </w:r>
      <w:r w:rsidR="00436AC3" w:rsidRPr="00436AC3">
        <w:rPr>
          <w:rFonts w:ascii="Times New Roman" w:hAnsi="Times New Roman" w:cs="Times New Roman"/>
          <w:noProof/>
          <w:sz w:val="24"/>
          <w:szCs w:val="24"/>
        </w:rPr>
        <w:t>(34,35)</w:t>
      </w:r>
      <w:r w:rsidR="00436AC3">
        <w:rPr>
          <w:rFonts w:ascii="Times New Roman" w:hAnsi="Times New Roman" w:cs="Times New Roman"/>
          <w:sz w:val="24"/>
          <w:szCs w:val="24"/>
        </w:rPr>
        <w:fldChar w:fldCharType="end"/>
      </w:r>
      <w:r w:rsidRPr="007B704B">
        <w:rPr>
          <w:rFonts w:ascii="Times New Roman" w:hAnsi="Times New Roman" w:cs="Times New Roman"/>
          <w:sz w:val="24"/>
          <w:szCs w:val="24"/>
        </w:rPr>
        <w:t>.</w:t>
      </w:r>
    </w:p>
    <w:p w14:paraId="19E60838" w14:textId="28D619AC" w:rsidR="00253B63" w:rsidRDefault="00253B63" w:rsidP="00253B63">
      <w:pPr>
        <w:spacing w:after="0" w:line="240" w:lineRule="auto"/>
        <w:jc w:val="both"/>
        <w:rPr>
          <w:rFonts w:ascii="Times New Roman" w:hAnsi="Times New Roman" w:cs="Times New Roman"/>
          <w:sz w:val="24"/>
          <w:szCs w:val="24"/>
        </w:rPr>
      </w:pPr>
    </w:p>
    <w:p w14:paraId="2D9F022D" w14:textId="77777777" w:rsidR="00253B63" w:rsidRDefault="00253B63" w:rsidP="00253B63">
      <w:pPr>
        <w:rPr>
          <w:rFonts w:ascii="Times New Roman" w:hAnsi="Times New Roman" w:cs="Times New Roman"/>
          <w:b/>
          <w:sz w:val="24"/>
          <w:szCs w:val="24"/>
        </w:rPr>
      </w:pPr>
      <w:r w:rsidRPr="00253B63">
        <w:rPr>
          <w:rFonts w:ascii="Times New Roman" w:hAnsi="Times New Roman" w:cs="Times New Roman"/>
          <w:b/>
          <w:sz w:val="24"/>
          <w:szCs w:val="24"/>
        </w:rPr>
        <w:t>CONCLUSIONS</w:t>
      </w:r>
    </w:p>
    <w:p w14:paraId="762560A7" w14:textId="7C719CF3" w:rsidR="00253B63" w:rsidRPr="00253B63" w:rsidRDefault="00253B63" w:rsidP="00253B63">
      <w:pPr>
        <w:ind w:firstLine="720"/>
        <w:rPr>
          <w:rFonts w:ascii="Times New Roman" w:hAnsi="Times New Roman" w:cs="Times New Roman"/>
          <w:b/>
          <w:sz w:val="24"/>
          <w:szCs w:val="24"/>
        </w:rPr>
      </w:pPr>
      <w:r w:rsidRPr="00253B63">
        <w:rPr>
          <w:rFonts w:ascii="Times New Roman" w:hAnsi="Times New Roman" w:cs="Times New Roman"/>
          <w:sz w:val="24"/>
          <w:szCs w:val="24"/>
        </w:rPr>
        <w:t>Curcumin induced the activation of caspase-3 in MCF-7 breast cancer cell lines, both using flow cytometry and AO/EB staining. The comparison of flow cytometry and AO/EB staining highlights the reliability of AO/EB staining as a viable alternative for apoptosis detection, particularly in research settings with limited resources.</w:t>
      </w:r>
    </w:p>
    <w:p w14:paraId="17E70D17" w14:textId="77777777" w:rsidR="00253B63" w:rsidRPr="00253B63" w:rsidRDefault="00253B63" w:rsidP="00253B63">
      <w:pPr>
        <w:rPr>
          <w:rFonts w:ascii="Times New Roman" w:hAnsi="Times New Roman" w:cs="Times New Roman"/>
          <w:b/>
          <w:sz w:val="24"/>
          <w:szCs w:val="24"/>
        </w:rPr>
      </w:pPr>
      <w:r w:rsidRPr="00253B63">
        <w:rPr>
          <w:rFonts w:ascii="Times New Roman" w:hAnsi="Times New Roman" w:cs="Times New Roman"/>
          <w:b/>
          <w:sz w:val="24"/>
          <w:szCs w:val="24"/>
        </w:rPr>
        <w:t>DECLARATIONS</w:t>
      </w:r>
    </w:p>
    <w:p w14:paraId="15EDE2CE" w14:textId="77777777" w:rsidR="00253B63" w:rsidRPr="00253B63" w:rsidRDefault="00253B63" w:rsidP="00253B63">
      <w:pPr>
        <w:spacing w:after="0"/>
        <w:rPr>
          <w:rFonts w:ascii="Times New Roman" w:hAnsi="Times New Roman" w:cs="Times New Roman"/>
          <w:b/>
          <w:sz w:val="24"/>
          <w:szCs w:val="24"/>
        </w:rPr>
      </w:pPr>
      <w:r w:rsidRPr="00253B63">
        <w:rPr>
          <w:rFonts w:ascii="Times New Roman" w:hAnsi="Times New Roman" w:cs="Times New Roman"/>
          <w:b/>
          <w:sz w:val="24"/>
          <w:szCs w:val="24"/>
        </w:rPr>
        <w:t>Competing interest</w:t>
      </w:r>
    </w:p>
    <w:p w14:paraId="6222BC32" w14:textId="77777777" w:rsidR="00253B63" w:rsidRPr="00253B63" w:rsidRDefault="00253B63" w:rsidP="00253B63">
      <w:pPr>
        <w:spacing w:after="0"/>
        <w:jc w:val="both"/>
        <w:rPr>
          <w:rFonts w:ascii="Times New Roman" w:hAnsi="Times New Roman" w:cs="Times New Roman"/>
          <w:sz w:val="24"/>
          <w:szCs w:val="24"/>
        </w:rPr>
      </w:pPr>
      <w:r w:rsidRPr="00253B63">
        <w:rPr>
          <w:rFonts w:ascii="Times New Roman" w:hAnsi="Times New Roman" w:cs="Times New Roman"/>
          <w:sz w:val="24"/>
          <w:szCs w:val="24"/>
        </w:rPr>
        <w:t>The author(s) declare no competing interest in this study.</w:t>
      </w:r>
    </w:p>
    <w:p w14:paraId="699AAF51" w14:textId="77777777" w:rsidR="00253B63" w:rsidRPr="00253B63" w:rsidRDefault="00253B63" w:rsidP="00253B63">
      <w:pPr>
        <w:spacing w:after="0"/>
        <w:rPr>
          <w:rFonts w:ascii="Times New Roman" w:hAnsi="Times New Roman" w:cs="Times New Roman"/>
          <w:b/>
          <w:sz w:val="24"/>
          <w:szCs w:val="24"/>
        </w:rPr>
      </w:pPr>
    </w:p>
    <w:p w14:paraId="6E449881" w14:textId="77777777" w:rsidR="00253B63" w:rsidRPr="00253B63" w:rsidRDefault="00253B63" w:rsidP="00253B63">
      <w:pPr>
        <w:spacing w:after="0"/>
        <w:rPr>
          <w:rFonts w:ascii="Times New Roman" w:hAnsi="Times New Roman" w:cs="Times New Roman"/>
          <w:b/>
          <w:sz w:val="24"/>
          <w:szCs w:val="24"/>
        </w:rPr>
      </w:pPr>
      <w:r w:rsidRPr="00253B63">
        <w:rPr>
          <w:rFonts w:ascii="Times New Roman" w:hAnsi="Times New Roman" w:cs="Times New Roman"/>
          <w:b/>
          <w:sz w:val="24"/>
          <w:szCs w:val="24"/>
        </w:rPr>
        <w:t>Ethics approval and consent to participate</w:t>
      </w:r>
    </w:p>
    <w:p w14:paraId="589B8426" w14:textId="25F2CC16" w:rsidR="00253B63" w:rsidRPr="00253B63" w:rsidRDefault="00253B63" w:rsidP="00253B63">
      <w:pPr>
        <w:spacing w:after="0"/>
        <w:jc w:val="both"/>
        <w:rPr>
          <w:rFonts w:ascii="Times New Roman" w:hAnsi="Times New Roman" w:cs="Times New Roman"/>
          <w:sz w:val="24"/>
          <w:szCs w:val="24"/>
        </w:rPr>
      </w:pPr>
      <w:r>
        <w:rPr>
          <w:rFonts w:ascii="Times New Roman" w:hAnsi="Times New Roman" w:cs="Times New Roman"/>
          <w:sz w:val="24"/>
          <w:szCs w:val="24"/>
        </w:rPr>
        <w:t>A</w:t>
      </w:r>
      <w:r w:rsidRPr="00253B63">
        <w:rPr>
          <w:rFonts w:ascii="Times New Roman" w:hAnsi="Times New Roman" w:cs="Times New Roman"/>
          <w:sz w:val="24"/>
          <w:szCs w:val="24"/>
        </w:rPr>
        <w:t>pplicable.</w:t>
      </w:r>
    </w:p>
    <w:p w14:paraId="6129863C" w14:textId="77777777" w:rsidR="00253B63" w:rsidRPr="00253B63" w:rsidRDefault="00253B63" w:rsidP="00253B63">
      <w:pPr>
        <w:spacing w:after="0"/>
        <w:jc w:val="both"/>
        <w:rPr>
          <w:rFonts w:ascii="Times New Roman" w:hAnsi="Times New Roman" w:cs="Times New Roman"/>
          <w:sz w:val="24"/>
          <w:szCs w:val="24"/>
        </w:rPr>
      </w:pPr>
    </w:p>
    <w:p w14:paraId="110FA33C" w14:textId="77777777" w:rsidR="00253B63" w:rsidRPr="00253B63" w:rsidRDefault="00253B63" w:rsidP="00253B63">
      <w:pPr>
        <w:spacing w:after="0"/>
        <w:jc w:val="both"/>
        <w:rPr>
          <w:rFonts w:ascii="Times New Roman" w:hAnsi="Times New Roman" w:cs="Times New Roman"/>
          <w:b/>
          <w:sz w:val="24"/>
          <w:szCs w:val="24"/>
        </w:rPr>
      </w:pPr>
      <w:r w:rsidRPr="00253B63">
        <w:rPr>
          <w:rFonts w:ascii="Times New Roman" w:hAnsi="Times New Roman" w:cs="Times New Roman"/>
          <w:b/>
          <w:sz w:val="24"/>
          <w:szCs w:val="24"/>
        </w:rPr>
        <w:t>Funding</w:t>
      </w:r>
    </w:p>
    <w:p w14:paraId="1FF5FCCE" w14:textId="77777777" w:rsidR="00253B63" w:rsidRPr="00253B63" w:rsidRDefault="00253B63" w:rsidP="00253B63">
      <w:pPr>
        <w:spacing w:after="0"/>
        <w:jc w:val="both"/>
        <w:rPr>
          <w:rFonts w:ascii="Times New Roman" w:hAnsi="Times New Roman" w:cs="Times New Roman"/>
          <w:sz w:val="24"/>
          <w:szCs w:val="24"/>
        </w:rPr>
      </w:pPr>
      <w:r w:rsidRPr="00253B63">
        <w:rPr>
          <w:rFonts w:ascii="Times New Roman" w:hAnsi="Times New Roman" w:cs="Times New Roman"/>
          <w:sz w:val="24"/>
          <w:szCs w:val="24"/>
        </w:rPr>
        <w:t>This research receives no external funding.</w:t>
      </w:r>
    </w:p>
    <w:p w14:paraId="3AF033AB" w14:textId="77777777" w:rsidR="00253B63" w:rsidRPr="00253B63" w:rsidRDefault="00253B63" w:rsidP="00253B63">
      <w:pPr>
        <w:spacing w:after="0"/>
        <w:rPr>
          <w:rFonts w:ascii="Times New Roman" w:hAnsi="Times New Roman" w:cs="Times New Roman"/>
          <w:b/>
          <w:sz w:val="24"/>
          <w:szCs w:val="24"/>
        </w:rPr>
      </w:pPr>
    </w:p>
    <w:p w14:paraId="0861112E" w14:textId="0B90EA15" w:rsidR="00E60374" w:rsidRDefault="00253B63" w:rsidP="00253B63">
      <w:pPr>
        <w:rPr>
          <w:rFonts w:ascii="Times New Roman" w:eastAsia="Times New Roman" w:hAnsi="Times New Roman" w:cs="Times New Roman"/>
          <w:sz w:val="24"/>
          <w:szCs w:val="24"/>
          <w:lang w:eastAsia="en-ID"/>
        </w:rPr>
      </w:pPr>
      <w:r w:rsidRPr="00253B63">
        <w:rPr>
          <w:rFonts w:ascii="Times New Roman" w:hAnsi="Times New Roman" w:cs="Times New Roman"/>
          <w:b/>
          <w:sz w:val="24"/>
          <w:szCs w:val="24"/>
        </w:rPr>
        <w:t xml:space="preserve">REFERENCES </w:t>
      </w:r>
    </w:p>
    <w:p w14:paraId="760E8DE8" w14:textId="4CF0A57B" w:rsidR="00436AC3" w:rsidRPr="00436AC3" w:rsidRDefault="00023068"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Pr>
          <w:rFonts w:ascii="Times New Roman" w:eastAsia="Times New Roman" w:hAnsi="Times New Roman" w:cs="Times New Roman"/>
          <w:sz w:val="24"/>
          <w:szCs w:val="24"/>
          <w:lang w:eastAsia="en-ID"/>
        </w:rPr>
        <w:fldChar w:fldCharType="begin" w:fldLock="1"/>
      </w:r>
      <w:r>
        <w:rPr>
          <w:rFonts w:ascii="Times New Roman" w:eastAsia="Times New Roman" w:hAnsi="Times New Roman" w:cs="Times New Roman"/>
          <w:sz w:val="24"/>
          <w:szCs w:val="24"/>
          <w:lang w:eastAsia="en-ID"/>
        </w:rPr>
        <w:instrText xml:space="preserve">ADDIN Mendeley Bibliography CSL_BIBLIOGRAPHY </w:instrText>
      </w:r>
      <w:r>
        <w:rPr>
          <w:rFonts w:ascii="Times New Roman" w:eastAsia="Times New Roman" w:hAnsi="Times New Roman" w:cs="Times New Roman"/>
          <w:sz w:val="24"/>
          <w:szCs w:val="24"/>
          <w:lang w:eastAsia="en-ID"/>
        </w:rPr>
        <w:fldChar w:fldCharType="separate"/>
      </w:r>
      <w:r w:rsidR="00436AC3" w:rsidRPr="00436AC3">
        <w:rPr>
          <w:rFonts w:ascii="Times New Roman" w:hAnsi="Times New Roman" w:cs="Times New Roman"/>
          <w:noProof/>
          <w:sz w:val="24"/>
          <w:szCs w:val="24"/>
        </w:rPr>
        <w:t>1.</w:t>
      </w:r>
      <w:r w:rsidR="00436AC3" w:rsidRPr="00436AC3">
        <w:rPr>
          <w:rFonts w:ascii="Times New Roman" w:hAnsi="Times New Roman" w:cs="Times New Roman"/>
          <w:noProof/>
          <w:sz w:val="24"/>
          <w:szCs w:val="24"/>
        </w:rPr>
        <w:tab/>
        <w:t xml:space="preserve">Nadendla EK, Tweedell RE, Kasof G, Kanneganti TD. Caspases: structural and </w:t>
      </w:r>
      <w:r w:rsidR="00436AC3" w:rsidRPr="00436AC3">
        <w:rPr>
          <w:rFonts w:ascii="Times New Roman" w:hAnsi="Times New Roman" w:cs="Times New Roman"/>
          <w:noProof/>
          <w:sz w:val="24"/>
          <w:szCs w:val="24"/>
        </w:rPr>
        <w:lastRenderedPageBreak/>
        <w:t>molecular mechanisms and functions in cell death, innate immunity, and disease. Cell Discov [Internet]. 2025;11(1):62–4. Available from: http://dx.doi.org/10.1038/s41421-025-00791-3</w:t>
      </w:r>
    </w:p>
    <w:p w14:paraId="276705E1"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w:t>
      </w:r>
      <w:r w:rsidRPr="00436AC3">
        <w:rPr>
          <w:rFonts w:ascii="Times New Roman" w:hAnsi="Times New Roman" w:cs="Times New Roman"/>
          <w:noProof/>
          <w:sz w:val="24"/>
          <w:szCs w:val="24"/>
        </w:rPr>
        <w:tab/>
        <w:t xml:space="preserve">Yilmaz MA, Ertas A, Yener I, Akdeniz M, Oguz Cakir 5 MA, Demirtas I, et al. A comprehensive LC–MS/MS method validation for the quantitative investigation of 37 fingerprint phytochemicals in Achillea species: A detailed examination of A. coarctata and A. monocephala. J Pharm Biomed Anal. 2018;154:413–24. </w:t>
      </w:r>
    </w:p>
    <w:p w14:paraId="3659414F"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3.</w:t>
      </w:r>
      <w:r w:rsidRPr="00436AC3">
        <w:rPr>
          <w:rFonts w:ascii="Times New Roman" w:hAnsi="Times New Roman" w:cs="Times New Roman"/>
          <w:noProof/>
          <w:sz w:val="24"/>
          <w:szCs w:val="24"/>
        </w:rPr>
        <w:tab/>
        <w:t xml:space="preserve">Eskandari E, Eaves CJ. Paradoxical roles of caspase-3 in regulating cell survival, proliferation, and tumorigenesis. J Cell Biol. 2022;221(6):1–13. </w:t>
      </w:r>
    </w:p>
    <w:p w14:paraId="192B52DC"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4.</w:t>
      </w:r>
      <w:r w:rsidRPr="00436AC3">
        <w:rPr>
          <w:rFonts w:ascii="Times New Roman" w:hAnsi="Times New Roman" w:cs="Times New Roman"/>
          <w:noProof/>
          <w:sz w:val="24"/>
          <w:szCs w:val="24"/>
        </w:rPr>
        <w:tab/>
        <w:t>Dho SH, Cho M, Woo W, Jeong S, Kim LK. Caspases as master regulators of programmed cell death: apoptosis, pyroptosis and beyond. Exp Mol Med [Internet]. 2025;57(6):1121–32. Available from: http://dx.doi.org/10.1038/s12276-025-01470-9</w:t>
      </w:r>
    </w:p>
    <w:p w14:paraId="2E168FA0"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5.</w:t>
      </w:r>
      <w:r w:rsidRPr="00436AC3">
        <w:rPr>
          <w:rFonts w:ascii="Times New Roman" w:hAnsi="Times New Roman" w:cs="Times New Roman"/>
          <w:noProof/>
          <w:sz w:val="24"/>
          <w:szCs w:val="24"/>
        </w:rPr>
        <w:tab/>
        <w:t>Julien O, Wells JA. Caspases and their substrates. Cell Death Differ [Internet]. 2017;24(8):1380–9. Available from: http://dx.doi.org/10.1038/cdd.2017.44</w:t>
      </w:r>
    </w:p>
    <w:p w14:paraId="3290AE77"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6.</w:t>
      </w:r>
      <w:r w:rsidRPr="00436AC3">
        <w:rPr>
          <w:rFonts w:ascii="Times New Roman" w:hAnsi="Times New Roman" w:cs="Times New Roman"/>
          <w:noProof/>
          <w:sz w:val="24"/>
          <w:szCs w:val="24"/>
        </w:rPr>
        <w:tab/>
        <w:t xml:space="preserve">Hanahan D. Hallmarks of Cancer: New Dimensions. Cancer Discov. 2022;12(1):31–46. </w:t>
      </w:r>
    </w:p>
    <w:p w14:paraId="7381CDB0"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7.</w:t>
      </w:r>
      <w:r w:rsidRPr="00436AC3">
        <w:rPr>
          <w:rFonts w:ascii="Times New Roman" w:hAnsi="Times New Roman" w:cs="Times New Roman"/>
          <w:noProof/>
          <w:sz w:val="24"/>
          <w:szCs w:val="24"/>
        </w:rPr>
        <w:tab/>
        <w:t xml:space="preserve">Morana O, Wood W, Gregory CD. The apoptosis paradox in cancer. Int J Mol Sci. 2022;23(3):1328. </w:t>
      </w:r>
    </w:p>
    <w:p w14:paraId="55BCDD8F"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8.</w:t>
      </w:r>
      <w:r w:rsidRPr="00436AC3">
        <w:rPr>
          <w:rFonts w:ascii="Times New Roman" w:hAnsi="Times New Roman" w:cs="Times New Roman"/>
          <w:noProof/>
          <w:sz w:val="24"/>
          <w:szCs w:val="24"/>
        </w:rPr>
        <w:tab/>
        <w:t xml:space="preserve">Pistritto G, Trisciuoglio D, Ceci C, Alessia Garufi, D’Orazi G. Apoptosis as anticancer mechanism: Function and dysfunction of its modulators and targeted therapeutic strategies. Aging (Albany NY). 2016;8(4):603–19. </w:t>
      </w:r>
    </w:p>
    <w:p w14:paraId="498CA445"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9.</w:t>
      </w:r>
      <w:r w:rsidRPr="00436AC3">
        <w:rPr>
          <w:rFonts w:ascii="Times New Roman" w:hAnsi="Times New Roman" w:cs="Times New Roman"/>
          <w:noProof/>
          <w:sz w:val="24"/>
          <w:szCs w:val="24"/>
        </w:rPr>
        <w:tab/>
        <w:t xml:space="preserve">Obeng E. Apoptosis (programmed cell death) and its signals - A review. Brazilian J Biol. 81(4):1133–43. </w:t>
      </w:r>
    </w:p>
    <w:p w14:paraId="3386C56E"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10.</w:t>
      </w:r>
      <w:r w:rsidRPr="00436AC3">
        <w:rPr>
          <w:rFonts w:ascii="Times New Roman" w:hAnsi="Times New Roman" w:cs="Times New Roman"/>
          <w:noProof/>
          <w:sz w:val="24"/>
          <w:szCs w:val="24"/>
        </w:rPr>
        <w:tab/>
        <w:t xml:space="preserve">Shen J, Tower J. Programmed cell death and apoptosis in aging and life span regulation. Discov Med. 2009;8(43):223–6. </w:t>
      </w:r>
    </w:p>
    <w:p w14:paraId="5450E90C"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11.</w:t>
      </w:r>
      <w:r w:rsidRPr="00436AC3">
        <w:rPr>
          <w:rFonts w:ascii="Times New Roman" w:hAnsi="Times New Roman" w:cs="Times New Roman"/>
          <w:noProof/>
          <w:sz w:val="24"/>
          <w:szCs w:val="24"/>
        </w:rPr>
        <w:tab/>
        <w:t xml:space="preserve">Green DR. The Coming Decade of Cell Death Research: Five Riddles Douglas. Cells. 2019;177(5):1094–107. </w:t>
      </w:r>
    </w:p>
    <w:p w14:paraId="3F095444"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12.</w:t>
      </w:r>
      <w:r w:rsidRPr="00436AC3">
        <w:rPr>
          <w:rFonts w:ascii="Times New Roman" w:hAnsi="Times New Roman" w:cs="Times New Roman"/>
          <w:noProof/>
          <w:sz w:val="24"/>
          <w:szCs w:val="24"/>
        </w:rPr>
        <w:tab/>
        <w:t xml:space="preserve">Hewlings SJ, Kalman DS. Curcumin: A review of its effects on human health. Foods. 2017;6(10):1–11. </w:t>
      </w:r>
    </w:p>
    <w:p w14:paraId="63F2858D"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13.</w:t>
      </w:r>
      <w:r w:rsidRPr="00436AC3">
        <w:rPr>
          <w:rFonts w:ascii="Times New Roman" w:hAnsi="Times New Roman" w:cs="Times New Roman"/>
          <w:noProof/>
          <w:sz w:val="24"/>
          <w:szCs w:val="24"/>
        </w:rPr>
        <w:tab/>
        <w:t xml:space="preserve">Giordano A, Tommonaro G. Curcumin and cancer. Nutrients. 2019;11(10). </w:t>
      </w:r>
    </w:p>
    <w:p w14:paraId="69FA4BAF"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14.</w:t>
      </w:r>
      <w:r w:rsidRPr="00436AC3">
        <w:rPr>
          <w:rFonts w:ascii="Times New Roman" w:hAnsi="Times New Roman" w:cs="Times New Roman"/>
          <w:noProof/>
          <w:sz w:val="24"/>
          <w:szCs w:val="24"/>
        </w:rPr>
        <w:tab/>
        <w:t xml:space="preserve">Rahmah NA, Harliansyah, Suyatna FD, Kanoko M, Primariadewi, Rustamadji, et al. Curcumin as an anti-proliferative agent in breast cancer through RASSF1A, Bax, and caspase protein. Sib J Oncol. 2022;21(6):91–8. </w:t>
      </w:r>
    </w:p>
    <w:p w14:paraId="42367422"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15.</w:t>
      </w:r>
      <w:r w:rsidRPr="00436AC3">
        <w:rPr>
          <w:rFonts w:ascii="Times New Roman" w:hAnsi="Times New Roman" w:cs="Times New Roman"/>
          <w:noProof/>
          <w:sz w:val="24"/>
          <w:szCs w:val="24"/>
        </w:rPr>
        <w:tab/>
        <w:t>Islam MR, Rauf A, Akash S, Trisha SI, Nasim AH, Akter M, et al. Targeted therapies of curcumin focus on its therapeutic benefits in cancers and human health: Molecular signaling pathway-based approaches and future perspectives. Biomed Pharmacother [Internet]. 2024;170:116034. Available from: https://doi.org/10.1016/j.biopha.2023.116034</w:t>
      </w:r>
    </w:p>
    <w:p w14:paraId="3E1203FC"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16.</w:t>
      </w:r>
      <w:r w:rsidRPr="00436AC3">
        <w:rPr>
          <w:rFonts w:ascii="Times New Roman" w:hAnsi="Times New Roman" w:cs="Times New Roman"/>
          <w:noProof/>
          <w:sz w:val="24"/>
          <w:szCs w:val="24"/>
        </w:rPr>
        <w:tab/>
        <w:t xml:space="preserve">Rahmah NA, Harliansyah, Suyatna FD, Kanoko M, Rustamadji P, Prihartono J, et al. The Role of curcumin on apoptosis through The RASSF1A and Bax pathways in breast cancer. Indones J Cancer Chemoprevention. 2020;11(2):67–74. </w:t>
      </w:r>
    </w:p>
    <w:p w14:paraId="542FA6E6"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17.</w:t>
      </w:r>
      <w:r w:rsidRPr="00436AC3">
        <w:rPr>
          <w:rFonts w:ascii="Times New Roman" w:hAnsi="Times New Roman" w:cs="Times New Roman"/>
          <w:noProof/>
          <w:sz w:val="24"/>
          <w:szCs w:val="24"/>
        </w:rPr>
        <w:tab/>
        <w:t xml:space="preserve">Tomeh MA, Hadianamrei R, Zhao X. A review of curcumin and its derivatives as anticancer agents. Int J Mol Sci. 2019;20(5). </w:t>
      </w:r>
    </w:p>
    <w:p w14:paraId="4322A2EA"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18.</w:t>
      </w:r>
      <w:r w:rsidRPr="00436AC3">
        <w:rPr>
          <w:rFonts w:ascii="Times New Roman" w:hAnsi="Times New Roman" w:cs="Times New Roman"/>
          <w:noProof/>
          <w:sz w:val="24"/>
          <w:szCs w:val="24"/>
        </w:rPr>
        <w:tab/>
        <w:t>Fu YS, Chen TH, Weng L, Huang L, Lai D, Weng CF. Pharmacological properties and underlying mechanisms of curcumin and prospects in medicinal potential. Biomed Pharmacother [Internet]. 2021;141(July):111888. Available from: https://doi.org/10.1016/j.biopha.2021.111888</w:t>
      </w:r>
    </w:p>
    <w:p w14:paraId="22D0D149"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19.</w:t>
      </w:r>
      <w:r w:rsidRPr="00436AC3">
        <w:rPr>
          <w:rFonts w:ascii="Times New Roman" w:hAnsi="Times New Roman" w:cs="Times New Roman"/>
          <w:noProof/>
          <w:sz w:val="24"/>
          <w:szCs w:val="24"/>
        </w:rPr>
        <w:tab/>
        <w:t xml:space="preserve">Villas BH. Flow cytometry: an overview. Cell Vis. 1998;5(1):56–61. </w:t>
      </w:r>
    </w:p>
    <w:p w14:paraId="3FF9B509"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20.</w:t>
      </w:r>
      <w:r w:rsidRPr="00436AC3">
        <w:rPr>
          <w:rFonts w:ascii="Times New Roman" w:hAnsi="Times New Roman" w:cs="Times New Roman"/>
          <w:noProof/>
          <w:sz w:val="24"/>
          <w:szCs w:val="24"/>
        </w:rPr>
        <w:tab/>
        <w:t xml:space="preserve">Costigan A, Hollville E, Martin SJ. Discriminating Between Apoptosis, Necrosis, Necroptosis, and Ferroptosis by Microscopy and Flow Cytometry. Curr Protoc. </w:t>
      </w:r>
      <w:r w:rsidRPr="00436AC3">
        <w:rPr>
          <w:rFonts w:ascii="Times New Roman" w:hAnsi="Times New Roman" w:cs="Times New Roman"/>
          <w:noProof/>
          <w:sz w:val="24"/>
          <w:szCs w:val="24"/>
        </w:rPr>
        <w:lastRenderedPageBreak/>
        <w:t xml:space="preserve">2023;3(12):1–31. </w:t>
      </w:r>
    </w:p>
    <w:p w14:paraId="69A2FA1A"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21.</w:t>
      </w:r>
      <w:r w:rsidRPr="00436AC3">
        <w:rPr>
          <w:rFonts w:ascii="Times New Roman" w:hAnsi="Times New Roman" w:cs="Times New Roman"/>
          <w:noProof/>
          <w:sz w:val="24"/>
          <w:szCs w:val="24"/>
        </w:rPr>
        <w:tab/>
        <w:t xml:space="preserve">Wu X. Dual AO/EB Staining to Detect Apoptosis in Osteosarcoma Cells Compared With Flow Cytometry. Med Sci Monit Basic Res. 2015; </w:t>
      </w:r>
    </w:p>
    <w:p w14:paraId="2C619D80"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22.</w:t>
      </w:r>
      <w:r w:rsidRPr="00436AC3">
        <w:rPr>
          <w:rFonts w:ascii="Times New Roman" w:hAnsi="Times New Roman" w:cs="Times New Roman"/>
          <w:noProof/>
          <w:sz w:val="24"/>
          <w:szCs w:val="24"/>
        </w:rPr>
        <w:tab/>
        <w:t xml:space="preserve">Selcen S, Wieland L, De Oliveira T, Ghadimi M, Conradi LC, Schneider G, et al. Integrated real-time imaging of executioner caspase dynamics, apoptosis-induced proliferation, and immunogenic cell death using a stable fluorescent reporter platform. Cell Death Discov. 2025;11(1). </w:t>
      </w:r>
    </w:p>
    <w:p w14:paraId="37E3FA1D"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23.</w:t>
      </w:r>
      <w:r w:rsidRPr="00436AC3">
        <w:rPr>
          <w:rFonts w:ascii="Times New Roman" w:hAnsi="Times New Roman" w:cs="Times New Roman"/>
          <w:noProof/>
          <w:sz w:val="24"/>
          <w:szCs w:val="24"/>
        </w:rPr>
        <w:tab/>
        <w:t xml:space="preserve">Elmore SA, Dixon D, Hailey JR, Harada T, Herbert RA, Maronpot RR, et al. Recommendations from the INHAND Apoptosis/Necrosis Working Group. Toxicol Pathol. 2016;44(2):173–88. </w:t>
      </w:r>
    </w:p>
    <w:p w14:paraId="3FFEF05E"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24.</w:t>
      </w:r>
      <w:r w:rsidRPr="00436AC3">
        <w:rPr>
          <w:rFonts w:ascii="Times New Roman" w:hAnsi="Times New Roman" w:cs="Times New Roman"/>
          <w:noProof/>
          <w:sz w:val="24"/>
          <w:szCs w:val="24"/>
        </w:rPr>
        <w:tab/>
        <w:t xml:space="preserve">Galluzzi L, Vitale I, Aaronson SA, Abrams JM, Adam D, Agostinis P, et al. Molecular mechanisms of cell death: Recommendations of the Nomenclature Committee on Cell Death 2018. Cell Death Differ. 2018;25(3):486–541. </w:t>
      </w:r>
    </w:p>
    <w:p w14:paraId="32582B14"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25.</w:t>
      </w:r>
      <w:r w:rsidRPr="00436AC3">
        <w:rPr>
          <w:rFonts w:ascii="Times New Roman" w:hAnsi="Times New Roman" w:cs="Times New Roman"/>
          <w:noProof/>
          <w:sz w:val="24"/>
          <w:szCs w:val="24"/>
        </w:rPr>
        <w:tab/>
        <w:t>Singh S, Singh N, Singh AN. Ethidium bromide: Is a stain turning into a pollutant? A synthesis on its status, waste management, monitoring challenges and ecological risks to the environment. Int J Res Anal Rev [Internet]. 2018;5(4):226–33. Available from: https://www.researchgate.net/publication/341524958</w:t>
      </w:r>
    </w:p>
    <w:p w14:paraId="7B796B70"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26.</w:t>
      </w:r>
      <w:r w:rsidRPr="00436AC3">
        <w:rPr>
          <w:rFonts w:ascii="Times New Roman" w:hAnsi="Times New Roman" w:cs="Times New Roman"/>
          <w:noProof/>
          <w:sz w:val="24"/>
          <w:szCs w:val="24"/>
        </w:rPr>
        <w:tab/>
        <w:t>Kari S, Subramanian K, Altomonte IA, Murugesan A, Yli-Harja O, Kandhavelu M. Programmed cell death detection methods: a systematic review and a categorical comparison. Apoptosis [Internet]. 2022;27(7–8):482–508. Available from: https://doi.org/10.1007/s10495-022-01735-y</w:t>
      </w:r>
    </w:p>
    <w:p w14:paraId="7C1BAB55"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27.</w:t>
      </w:r>
      <w:r w:rsidRPr="00436AC3">
        <w:rPr>
          <w:rFonts w:ascii="Times New Roman" w:hAnsi="Times New Roman" w:cs="Times New Roman"/>
          <w:noProof/>
          <w:sz w:val="24"/>
          <w:szCs w:val="24"/>
        </w:rPr>
        <w:tab/>
        <w:t xml:space="preserve">Vitale I, Pietrocola F, Guilbaud E, Aaronson SA, Abrams JM, Adam D, et al. Apoptotic cell death in disease—Current understanding of the NCCD 2023. Vol. 30, Cell Death and Differentiation. 2023. 1097–1154 p. </w:t>
      </w:r>
    </w:p>
    <w:p w14:paraId="4C88E1A0"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28.</w:t>
      </w:r>
      <w:r w:rsidRPr="00436AC3">
        <w:rPr>
          <w:rFonts w:ascii="Times New Roman" w:hAnsi="Times New Roman" w:cs="Times New Roman"/>
          <w:noProof/>
          <w:sz w:val="24"/>
          <w:szCs w:val="24"/>
        </w:rPr>
        <w:tab/>
        <w:t xml:space="preserve">Mustafa M, Ahmad R, Tantry IQ, Ahmad W, Siddiqui S, Alam M, et al. Apoptosis: A Comprehensive Overview of Signaling Pathways, Morphological Changes, and Physiological Significance and Therapeutic Implications. Cells. 2024;13(22):1–29. </w:t>
      </w:r>
    </w:p>
    <w:p w14:paraId="3A4499CE"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29.</w:t>
      </w:r>
      <w:r w:rsidRPr="00436AC3">
        <w:rPr>
          <w:rFonts w:ascii="Times New Roman" w:hAnsi="Times New Roman" w:cs="Times New Roman"/>
          <w:noProof/>
          <w:sz w:val="24"/>
          <w:szCs w:val="24"/>
        </w:rPr>
        <w:tab/>
        <w:t xml:space="preserve">Cetraro P, Plaza-Diaz J, Mackenzie A, Abadía-Molina F. A Review of the Current Impact of Inhibitors of Apoptosis Proteins and Their Repression in Cancer. Cancers (Basel). 2022;14(7):1–25. </w:t>
      </w:r>
    </w:p>
    <w:p w14:paraId="74CD5624"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30.</w:t>
      </w:r>
      <w:r w:rsidRPr="00436AC3">
        <w:rPr>
          <w:rFonts w:ascii="Times New Roman" w:hAnsi="Times New Roman" w:cs="Times New Roman"/>
          <w:noProof/>
          <w:sz w:val="24"/>
          <w:szCs w:val="24"/>
        </w:rPr>
        <w:tab/>
        <w:t xml:space="preserve">Green DR. Caspase Activation and Inhibition. Cold Spring Harb Perspect Biol. 2022;14(8). </w:t>
      </w:r>
    </w:p>
    <w:p w14:paraId="046E88E9"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31.</w:t>
      </w:r>
      <w:r w:rsidRPr="00436AC3">
        <w:rPr>
          <w:rFonts w:ascii="Times New Roman" w:hAnsi="Times New Roman" w:cs="Times New Roman"/>
          <w:noProof/>
          <w:sz w:val="24"/>
          <w:szCs w:val="24"/>
        </w:rPr>
        <w:tab/>
        <w:t xml:space="preserve">Gurunathan A, Subalakshmi M H. Decontaminating Ethidium Bromide: Advances in Adsorptive, Photocatalytic, and Biodegradation Approaches. Preprints. 2025;0–24. </w:t>
      </w:r>
    </w:p>
    <w:p w14:paraId="1F87006E"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32.</w:t>
      </w:r>
      <w:r w:rsidRPr="00436AC3">
        <w:rPr>
          <w:rFonts w:ascii="Times New Roman" w:hAnsi="Times New Roman" w:cs="Times New Roman"/>
          <w:noProof/>
          <w:sz w:val="24"/>
          <w:szCs w:val="24"/>
        </w:rPr>
        <w:tab/>
        <w:t xml:space="preserve">Hajibabaie F, Abedpoor N, Mohamadynejad P. Types of Cell Death from a Molecular Perspective. Biology (Basel). 2023;12(11):1–29. </w:t>
      </w:r>
    </w:p>
    <w:p w14:paraId="19282EC4"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33.</w:t>
      </w:r>
      <w:r w:rsidRPr="00436AC3">
        <w:rPr>
          <w:rFonts w:ascii="Times New Roman" w:hAnsi="Times New Roman" w:cs="Times New Roman"/>
          <w:noProof/>
          <w:sz w:val="24"/>
          <w:szCs w:val="24"/>
        </w:rPr>
        <w:tab/>
        <w:t xml:space="preserve">Qian S, Long Y, Tan G, Li X, Xiang B, Tao Y, et al. Programmed cell death: molecular mechanisms, biological functions, diseases, and therapeutic targets. MedComm. 2024;5(12):1–33. </w:t>
      </w:r>
    </w:p>
    <w:p w14:paraId="3596CE86"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436AC3">
        <w:rPr>
          <w:rFonts w:ascii="Times New Roman" w:hAnsi="Times New Roman" w:cs="Times New Roman"/>
          <w:noProof/>
          <w:sz w:val="24"/>
          <w:szCs w:val="24"/>
        </w:rPr>
        <w:t>34.</w:t>
      </w:r>
      <w:r w:rsidRPr="00436AC3">
        <w:rPr>
          <w:rFonts w:ascii="Times New Roman" w:hAnsi="Times New Roman" w:cs="Times New Roman"/>
          <w:noProof/>
          <w:sz w:val="24"/>
          <w:szCs w:val="24"/>
        </w:rPr>
        <w:tab/>
        <w:t>Xie L, Ji X, Zhang Q, Wei Y. Curcumin combined with photodynamic therapy, promising therapies for the treatment of cancer. Biomed Pharmacother [Internet]. 2022;146(November 2021):112567. Available from: https://doi.org/10.1016/j.biopha.2021.112567</w:t>
      </w:r>
    </w:p>
    <w:p w14:paraId="757DC2CB" w14:textId="77777777" w:rsidR="00436AC3" w:rsidRPr="00436AC3" w:rsidRDefault="00436AC3" w:rsidP="00436AC3">
      <w:pPr>
        <w:widowControl w:val="0"/>
        <w:autoSpaceDE w:val="0"/>
        <w:autoSpaceDN w:val="0"/>
        <w:adjustRightInd w:val="0"/>
        <w:spacing w:after="0" w:line="240" w:lineRule="auto"/>
        <w:ind w:left="640" w:hanging="640"/>
        <w:rPr>
          <w:rFonts w:ascii="Times New Roman" w:hAnsi="Times New Roman" w:cs="Times New Roman"/>
          <w:noProof/>
          <w:sz w:val="24"/>
        </w:rPr>
      </w:pPr>
      <w:r w:rsidRPr="00436AC3">
        <w:rPr>
          <w:rFonts w:ascii="Times New Roman" w:hAnsi="Times New Roman" w:cs="Times New Roman"/>
          <w:noProof/>
          <w:sz w:val="24"/>
          <w:szCs w:val="24"/>
        </w:rPr>
        <w:t>35.</w:t>
      </w:r>
      <w:r w:rsidRPr="00436AC3">
        <w:rPr>
          <w:rFonts w:ascii="Times New Roman" w:hAnsi="Times New Roman" w:cs="Times New Roman"/>
          <w:noProof/>
          <w:sz w:val="24"/>
          <w:szCs w:val="24"/>
        </w:rPr>
        <w:tab/>
        <w:t xml:space="preserve">Koirala M, DiPaola M. Overcoming Cancer Resistance: Strategies and Modalities for Effective Treatment. Biomedicines. 2024;12(8):1–19. </w:t>
      </w:r>
    </w:p>
    <w:p w14:paraId="02BF3C8B" w14:textId="3F3A71EA" w:rsidR="00023068" w:rsidRDefault="00023068" w:rsidP="00023068">
      <w:pPr>
        <w:spacing w:after="0" w:line="24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fldChar w:fldCharType="end"/>
      </w:r>
    </w:p>
    <w:p w14:paraId="40310123" w14:textId="33058178" w:rsidR="00253B63" w:rsidRDefault="00253B63" w:rsidP="00023068">
      <w:pPr>
        <w:spacing w:after="0" w:line="240" w:lineRule="auto"/>
        <w:jc w:val="both"/>
        <w:rPr>
          <w:rFonts w:ascii="Times New Roman" w:eastAsia="Times New Roman" w:hAnsi="Times New Roman" w:cs="Times New Roman"/>
          <w:sz w:val="24"/>
          <w:szCs w:val="24"/>
          <w:lang w:eastAsia="en-ID"/>
        </w:rPr>
      </w:pPr>
    </w:p>
    <w:p w14:paraId="7544A5B1" w14:textId="659573FB" w:rsidR="00253B63" w:rsidRDefault="00253B63" w:rsidP="00023068">
      <w:pPr>
        <w:spacing w:after="0" w:line="240" w:lineRule="auto"/>
        <w:jc w:val="both"/>
        <w:rPr>
          <w:rFonts w:ascii="Times New Roman" w:eastAsia="Times New Roman" w:hAnsi="Times New Roman" w:cs="Times New Roman"/>
          <w:sz w:val="24"/>
          <w:szCs w:val="24"/>
          <w:lang w:eastAsia="en-ID"/>
        </w:rPr>
      </w:pPr>
    </w:p>
    <w:p w14:paraId="318F479D" w14:textId="60BB2D4C" w:rsidR="00253B63" w:rsidRDefault="00253B63" w:rsidP="00023068">
      <w:pPr>
        <w:spacing w:after="0" w:line="240" w:lineRule="auto"/>
        <w:jc w:val="both"/>
        <w:rPr>
          <w:rFonts w:ascii="Times New Roman" w:eastAsia="Times New Roman" w:hAnsi="Times New Roman" w:cs="Times New Roman"/>
          <w:sz w:val="24"/>
          <w:szCs w:val="24"/>
          <w:lang w:eastAsia="en-ID"/>
        </w:rPr>
      </w:pPr>
    </w:p>
    <w:p w14:paraId="07C59F98" w14:textId="43883BAC" w:rsidR="00253B63" w:rsidRDefault="00253B63" w:rsidP="00023068">
      <w:pPr>
        <w:spacing w:after="0" w:line="240" w:lineRule="auto"/>
        <w:jc w:val="both"/>
        <w:rPr>
          <w:rFonts w:ascii="Times New Roman" w:eastAsia="Times New Roman" w:hAnsi="Times New Roman" w:cs="Times New Roman"/>
          <w:sz w:val="24"/>
          <w:szCs w:val="24"/>
          <w:lang w:eastAsia="en-ID"/>
        </w:rPr>
      </w:pPr>
    </w:p>
    <w:p w14:paraId="5C660AD4" w14:textId="51BA3C95" w:rsidR="00253B63" w:rsidRPr="003A1F74" w:rsidRDefault="00253B63" w:rsidP="00023068">
      <w:pPr>
        <w:spacing w:after="0" w:line="240" w:lineRule="auto"/>
        <w:jc w:val="both"/>
        <w:rPr>
          <w:rFonts w:ascii="Times New Roman" w:eastAsia="Times New Roman" w:hAnsi="Times New Roman" w:cs="Times New Roman"/>
          <w:sz w:val="24"/>
          <w:szCs w:val="24"/>
          <w:lang w:eastAsia="en-ID"/>
        </w:rPr>
      </w:pPr>
      <w:r>
        <w:rPr>
          <w:b/>
          <w:noProof/>
          <w:sz w:val="24"/>
          <w:szCs w:val="24"/>
          <w:lang w:eastAsia="ko-KR"/>
        </w:rPr>
        <w:lastRenderedPageBreak/>
        <w:drawing>
          <wp:inline distT="0" distB="0" distL="0" distR="0" wp14:anchorId="70B30A99" wp14:editId="1FAA940F">
            <wp:extent cx="5149850" cy="7249233"/>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9850" cy="7249233"/>
                    </a:xfrm>
                    <a:prstGeom prst="rect">
                      <a:avLst/>
                    </a:prstGeom>
                    <a:noFill/>
                    <a:ln>
                      <a:noFill/>
                    </a:ln>
                  </pic:spPr>
                </pic:pic>
              </a:graphicData>
            </a:graphic>
          </wp:inline>
        </w:drawing>
      </w:r>
    </w:p>
    <w:sectPr w:rsidR="00253B63" w:rsidRPr="003A1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8764CD"/>
    <w:multiLevelType w:val="multilevel"/>
    <w:tmpl w:val="AA366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2AF3"/>
    <w:multiLevelType w:val="multilevel"/>
    <w:tmpl w:val="CDC8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60D"/>
    <w:multiLevelType w:val="multilevel"/>
    <w:tmpl w:val="492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A5"/>
    <w:rsid w:val="00023068"/>
    <w:rsid w:val="00065145"/>
    <w:rsid w:val="00210788"/>
    <w:rsid w:val="00253B63"/>
    <w:rsid w:val="00322B7B"/>
    <w:rsid w:val="003A1F74"/>
    <w:rsid w:val="003E5E09"/>
    <w:rsid w:val="00416EA5"/>
    <w:rsid w:val="00436AC3"/>
    <w:rsid w:val="00584B84"/>
    <w:rsid w:val="007136A6"/>
    <w:rsid w:val="007B704B"/>
    <w:rsid w:val="00A24DF0"/>
    <w:rsid w:val="00BC43FB"/>
    <w:rsid w:val="00C73D06"/>
    <w:rsid w:val="00D917BD"/>
    <w:rsid w:val="00E60374"/>
    <w:rsid w:val="00F045EA"/>
    <w:rsid w:val="00F15E66"/>
    <w:rsid w:val="00F24804"/>
    <w:rsid w:val="00FB63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9D99"/>
  <w15:chartTrackingRefBased/>
  <w15:docId w15:val="{42C67E25-DB8D-44C0-A241-015A596C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A1F74"/>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1F74"/>
    <w:rPr>
      <w:rFonts w:ascii="Times New Roman" w:eastAsia="Times New Roman" w:hAnsi="Times New Roman" w:cs="Times New Roman"/>
      <w:b/>
      <w:bCs/>
      <w:sz w:val="36"/>
      <w:szCs w:val="36"/>
      <w:lang w:eastAsia="en-ID"/>
    </w:rPr>
  </w:style>
  <w:style w:type="paragraph" w:styleId="NormalWeb">
    <w:name w:val="Normal (Web)"/>
    <w:basedOn w:val="Normal"/>
    <w:uiPriority w:val="99"/>
    <w:semiHidden/>
    <w:unhideWhenUsed/>
    <w:rsid w:val="003A1F7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3A1F74"/>
    <w:rPr>
      <w:b/>
      <w:bCs/>
    </w:rPr>
  </w:style>
  <w:style w:type="character" w:styleId="Emphasis">
    <w:name w:val="Emphasis"/>
    <w:basedOn w:val="DefaultParagraphFont"/>
    <w:uiPriority w:val="20"/>
    <w:qFormat/>
    <w:rsid w:val="003A1F74"/>
    <w:rPr>
      <w:i/>
      <w:iCs/>
    </w:rPr>
  </w:style>
  <w:style w:type="paragraph" w:styleId="BalloonText">
    <w:name w:val="Balloon Text"/>
    <w:basedOn w:val="Normal"/>
    <w:link w:val="BalloonTextChar"/>
    <w:uiPriority w:val="99"/>
    <w:semiHidden/>
    <w:unhideWhenUsed/>
    <w:rsid w:val="00BC43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3FB"/>
    <w:rPr>
      <w:rFonts w:ascii="Segoe UI" w:hAnsi="Segoe UI" w:cs="Segoe UI"/>
      <w:sz w:val="18"/>
      <w:szCs w:val="18"/>
    </w:rPr>
  </w:style>
  <w:style w:type="paragraph" w:styleId="ListParagraph">
    <w:name w:val="List Paragraph"/>
    <w:basedOn w:val="Normal"/>
    <w:uiPriority w:val="34"/>
    <w:qFormat/>
    <w:rsid w:val="00436AC3"/>
    <w:pPr>
      <w:spacing w:after="200" w:line="276" w:lineRule="auto"/>
      <w:ind w:left="720"/>
      <w:contextualSpacing/>
    </w:pPr>
    <w:rPr>
      <w:rFonts w:ascii="Calibri" w:eastAsia="Calibri" w:hAnsi="Calibri" w:cs="Calibri"/>
      <w:lang w:val="en-GB"/>
    </w:rPr>
  </w:style>
  <w:style w:type="table" w:styleId="TableGrid">
    <w:name w:val="Table Grid"/>
    <w:basedOn w:val="TableNormal"/>
    <w:uiPriority w:val="59"/>
    <w:rsid w:val="00436AC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2452830">
      <w:bodyDiv w:val="1"/>
      <w:marLeft w:val="0"/>
      <w:marRight w:val="0"/>
      <w:marTop w:val="0"/>
      <w:marBottom w:val="0"/>
      <w:divBdr>
        <w:top w:val="none" w:sz="0" w:space="0" w:color="auto"/>
        <w:left w:val="none" w:sz="0" w:space="0" w:color="auto"/>
        <w:bottom w:val="none" w:sz="0" w:space="0" w:color="auto"/>
        <w:right w:val="none" w:sz="0" w:space="0" w:color="auto"/>
      </w:divBdr>
    </w:div>
    <w:div w:id="131930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ID">
                <a:solidFill>
                  <a:sysClr val="windowText" lastClr="000000"/>
                </a:solidFill>
              </a:rPr>
              <a:t>Curcumin</a:t>
            </a:r>
          </a:p>
        </c:rich>
      </c:tx>
      <c:layout>
        <c:manualLayout>
          <c:xMode val="edge"/>
          <c:yMode val="edge"/>
          <c:x val="0.6880423291037665"/>
          <c:y val="0.31778469223605121"/>
        </c:manualLayout>
      </c:layout>
      <c:overlay val="0"/>
      <c:spPr>
        <a:noFill/>
        <a:ln>
          <a:noFill/>
        </a:ln>
        <a:effectLst/>
      </c:spPr>
    </c:title>
    <c:autoTitleDeleted val="0"/>
    <c:plotArea>
      <c:layout>
        <c:manualLayout>
          <c:layoutTarget val="inner"/>
          <c:xMode val="edge"/>
          <c:yMode val="edge"/>
          <c:x val="0.13208132837561973"/>
          <c:y val="0.13129203539823009"/>
          <c:w val="0.57125856663750374"/>
          <c:h val="0.53043327991080758"/>
        </c:manualLayout>
      </c:layout>
      <c:barChart>
        <c:barDir val="col"/>
        <c:grouping val="clustered"/>
        <c:varyColors val="0"/>
        <c:ser>
          <c:idx val="0"/>
          <c:order val="0"/>
          <c:tx>
            <c:strRef>
              <c:f>Sheet1!$B$1</c:f>
              <c:strCache>
                <c:ptCount val="1"/>
                <c:pt idx="0">
                  <c:v>No exposure</c:v>
                </c:pt>
              </c:strCache>
            </c:strRef>
          </c:tx>
          <c:spPr>
            <a:solidFill>
              <a:schemeClr val="accent1"/>
            </a:solidFill>
            <a:ln>
              <a:noFill/>
            </a:ln>
            <a:effectLst/>
          </c:spPr>
          <c:invertIfNegative val="0"/>
          <c:dLbls>
            <c:dLbl>
              <c:idx val="0"/>
              <c:tx>
                <c:rich>
                  <a:bodyPr/>
                  <a:lstStyle/>
                  <a:p>
                    <a:r>
                      <a:rPr lang="en-US"/>
                      <a:t>1.12</a:t>
                    </a:r>
                  </a:p>
                </c:rich>
              </c:tx>
              <c:dLblPos val="out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0-C310-4C23-9363-1AC30C8E1C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Flow cytometry</c:v>
                </c:pt>
                <c:pt idx="1">
                  <c:v>AO/EB Staining</c:v>
                </c:pt>
              </c:strCache>
            </c:strRef>
          </c:cat>
          <c:val>
            <c:numRef>
              <c:f>Sheet1!$B$2:$B$3</c:f>
              <c:numCache>
                <c:formatCode>General</c:formatCode>
                <c:ptCount val="2"/>
                <c:pt idx="0">
                  <c:v>1.1200000000000001</c:v>
                </c:pt>
                <c:pt idx="1">
                  <c:v>30</c:v>
                </c:pt>
              </c:numCache>
            </c:numRef>
          </c:val>
          <c:extLst xmlns="http://schemas.openxmlformats.org/drawingml/2006/chart">
            <c:ext xmlns:c16="http://schemas.microsoft.com/office/drawing/2014/chart" uri="{C3380CC4-5D6E-409C-BE32-E72D297353CC}">
              <c16:uniqueId val="{00000001-C310-4C23-9363-1AC30C8E1C30}"/>
            </c:ext>
          </c:extLst>
        </c:ser>
        <c:ser>
          <c:idx val="1"/>
          <c:order val="1"/>
          <c:tx>
            <c:strRef>
              <c:f>Sheet1!$C$1</c:f>
              <c:strCache>
                <c:ptCount val="1"/>
                <c:pt idx="0">
                  <c:v>Low concentration (70 µg/mL)</c:v>
                </c:pt>
              </c:strCache>
            </c:strRef>
          </c:tx>
          <c:spPr>
            <a:solidFill>
              <a:schemeClr val="accent2"/>
            </a:solidFill>
            <a:ln>
              <a:noFill/>
            </a:ln>
            <a:effectLst/>
          </c:spPr>
          <c:invertIfNegative val="0"/>
          <c:dLbls>
            <c:dLbl>
              <c:idx val="0"/>
              <c:tx>
                <c:rich>
                  <a:bodyPr/>
                  <a:lstStyle/>
                  <a:p>
                    <a:r>
                      <a:rPr lang="en-US"/>
                      <a:t>71.04</a:t>
                    </a:r>
                  </a:p>
                </c:rich>
              </c:tx>
              <c:dLblPos val="out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2-C310-4C23-9363-1AC30C8E1C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Flow cytometry</c:v>
                </c:pt>
                <c:pt idx="1">
                  <c:v>AO/EB Staining</c:v>
                </c:pt>
              </c:strCache>
            </c:strRef>
          </c:cat>
          <c:val>
            <c:numRef>
              <c:f>Sheet1!$C$2:$C$3</c:f>
              <c:numCache>
                <c:formatCode>General</c:formatCode>
                <c:ptCount val="2"/>
                <c:pt idx="0">
                  <c:v>71.94</c:v>
                </c:pt>
                <c:pt idx="1">
                  <c:v>40</c:v>
                </c:pt>
              </c:numCache>
            </c:numRef>
          </c:val>
          <c:extLst xmlns="http://schemas.openxmlformats.org/drawingml/2006/chart">
            <c:ext xmlns:c16="http://schemas.microsoft.com/office/drawing/2014/chart" uri="{C3380CC4-5D6E-409C-BE32-E72D297353CC}">
              <c16:uniqueId val="{00000003-C310-4C23-9363-1AC30C8E1C30}"/>
            </c:ext>
          </c:extLst>
        </c:ser>
        <c:ser>
          <c:idx val="2"/>
          <c:order val="2"/>
          <c:tx>
            <c:strRef>
              <c:f>Sheet1!$D$1</c:f>
              <c:strCache>
                <c:ptCount val="1"/>
                <c:pt idx="0">
                  <c:v>High concentration (80 µg/mL)</c:v>
                </c:pt>
              </c:strCache>
            </c:strRef>
          </c:tx>
          <c:spPr>
            <a:solidFill>
              <a:schemeClr val="accent3"/>
            </a:solidFill>
            <a:ln>
              <a:noFill/>
            </a:ln>
            <a:effectLst/>
          </c:spPr>
          <c:invertIfNegative val="0"/>
          <c:dLbls>
            <c:dLbl>
              <c:idx val="0"/>
              <c:tx>
                <c:rich>
                  <a:bodyPr/>
                  <a:lstStyle/>
                  <a:p>
                    <a:r>
                      <a:rPr lang="en-US"/>
                      <a:t>94.75</a:t>
                    </a:r>
                  </a:p>
                </c:rich>
              </c:tx>
              <c:dLblPos val="out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4-C310-4C23-9363-1AC30C8E1C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Flow cytometry</c:v>
                </c:pt>
                <c:pt idx="1">
                  <c:v>AO/EB Staining</c:v>
                </c:pt>
              </c:strCache>
            </c:strRef>
          </c:cat>
          <c:val>
            <c:numRef>
              <c:f>Sheet1!$D$2:$D$3</c:f>
              <c:numCache>
                <c:formatCode>General</c:formatCode>
                <c:ptCount val="2"/>
                <c:pt idx="0">
                  <c:v>94.75</c:v>
                </c:pt>
                <c:pt idx="1">
                  <c:v>72</c:v>
                </c:pt>
              </c:numCache>
            </c:numRef>
          </c:val>
          <c:extLst xmlns="http://schemas.openxmlformats.org/drawingml/2006/chart">
            <c:ext xmlns:c16="http://schemas.microsoft.com/office/drawing/2014/chart" uri="{C3380CC4-5D6E-409C-BE32-E72D297353CC}">
              <c16:uniqueId val="{00000005-C310-4C23-9363-1AC30C8E1C30}"/>
            </c:ext>
          </c:extLst>
        </c:ser>
        <c:dLbls>
          <c:dLblPos val="outEnd"/>
          <c:showLegendKey val="0"/>
          <c:showVal val="1"/>
          <c:showCatName val="0"/>
          <c:showSerName val="0"/>
          <c:showPercent val="0"/>
          <c:showBubbleSize val="0"/>
        </c:dLbls>
        <c:gapWidth val="219"/>
        <c:overlap val="-27"/>
        <c:axId val="304010368"/>
        <c:axId val="304011904"/>
      </c:barChart>
      <c:catAx>
        <c:axId val="304010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n-US"/>
          </a:p>
        </c:txPr>
        <c:crossAx val="304011904"/>
        <c:crosses val="autoZero"/>
        <c:auto val="1"/>
        <c:lblAlgn val="ctr"/>
        <c:lblOffset val="100"/>
        <c:noMultiLvlLbl val="0"/>
      </c:catAx>
      <c:valAx>
        <c:axId val="304011904"/>
        <c:scaling>
          <c:orientation val="minMax"/>
        </c:scaling>
        <c:delete val="0"/>
        <c:axPos val="l"/>
        <c:title>
          <c:tx>
            <c:rich>
              <a:bodyPr rot="-5400000" spcFirstLastPara="1" vertOverflow="ellipsis" vert="horz" wrap="square" anchor="ctr" anchorCtr="1"/>
              <a:lstStyle/>
              <a:p>
                <a:pPr>
                  <a:defRPr sz="1600" b="0" i="0" u="none" strike="noStrike" kern="1200" baseline="0">
                    <a:solidFill>
                      <a:sysClr val="windowText" lastClr="000000"/>
                    </a:solidFill>
                    <a:latin typeface="+mn-lt"/>
                    <a:ea typeface="+mn-ea"/>
                    <a:cs typeface="+mn-cs"/>
                  </a:defRPr>
                </a:pPr>
                <a:r>
                  <a:rPr lang="en-ID" sz="1600">
                    <a:solidFill>
                      <a:sysClr val="windowText" lastClr="000000"/>
                    </a:solidFill>
                  </a:rPr>
                  <a:t>Apoptotic Cells (%)</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040103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xmlns="http://schemas.openxmlformats.org/drawingml/2006/char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E37DE-D98E-4685-9A2B-8C9C124A7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31176</Words>
  <Characters>177708</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2026-02-07T13:45:00Z</dcterms:created>
  <dcterms:modified xsi:type="dcterms:W3CDTF">2026-02-07T17:10:00Z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http://www.zotero.org/styles/vancouver</vt:lpwstr>
  </property>
  <property fmtid="{D5CDD505-2E9C-101B-9397-08002B2CF9AE}" pid="24" name="Mendeley Unique User Id_1">
    <vt:lpwstr>63ea8dd6-49e6-3d6d-b4f5-c35426cfca44</vt:lpwstr>
  </property>
</Properties>
</file>