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81B6E" w14:textId="6614EB37" w:rsidR="00A90CCD" w:rsidRDefault="00A90CCD" w:rsidP="00A90CCD">
      <w:pPr>
        <w:jc w:val="both"/>
        <w:rPr>
          <w:rFonts w:ascii="Times New Roman" w:hAnsi="Times New Roman" w:cs="Times New Roman"/>
          <w:b/>
          <w:bCs/>
          <w:sz w:val="28"/>
          <w:szCs w:val="28"/>
        </w:rPr>
      </w:pPr>
      <w:r w:rsidRPr="00A90CCD">
        <w:rPr>
          <w:rFonts w:ascii="Times New Roman" w:hAnsi="Times New Roman" w:cs="Times New Roman"/>
          <w:b/>
          <w:bCs/>
          <w:sz w:val="28"/>
          <w:szCs w:val="28"/>
        </w:rPr>
        <w:t>Iatrogenic Glans Penis Injury During Circumcision: Clinical Spectrum, Mechanisms, and Medicolegal Implications—A Systematic Review</w:t>
      </w:r>
    </w:p>
    <w:p w14:paraId="5EA69C1C" w14:textId="77777777" w:rsidR="007148D2" w:rsidRDefault="007148D2" w:rsidP="007148D2">
      <w:pPr>
        <w:spacing w:line="240" w:lineRule="auto"/>
        <w:jc w:val="center"/>
        <w:rPr>
          <w:rFonts w:eastAsia="TimesNewRomanPSMT"/>
          <w:i/>
          <w:sz w:val="22"/>
          <w:szCs w:val="22"/>
          <w:vertAlign w:val="superscript"/>
        </w:rPr>
      </w:pPr>
      <w:r>
        <w:rPr>
          <w:rFonts w:eastAsia="TimesNewRomanPSMT"/>
          <w:i/>
          <w:sz w:val="22"/>
          <w:szCs w:val="22"/>
        </w:rPr>
        <w:t>Abdul Hakim Nitiprodjo*)</w:t>
      </w:r>
      <w:r>
        <w:rPr>
          <w:rFonts w:eastAsia="TimesNewRomanPSMT"/>
          <w:i/>
          <w:sz w:val="22"/>
          <w:szCs w:val="22"/>
          <w:vertAlign w:val="superscript"/>
        </w:rPr>
        <w:t>1</w:t>
      </w:r>
      <w:r>
        <w:rPr>
          <w:rFonts w:eastAsia="TimesNewRomanPSMT"/>
          <w:i/>
          <w:sz w:val="22"/>
          <w:szCs w:val="22"/>
        </w:rPr>
        <w:t>, Andi Muh. Maulana</w:t>
      </w:r>
      <w:r>
        <w:rPr>
          <w:rFonts w:eastAsia="TimesNewRomanPSMT"/>
          <w:i/>
          <w:sz w:val="22"/>
          <w:szCs w:val="22"/>
          <w:vertAlign w:val="superscript"/>
        </w:rPr>
        <w:t>2</w:t>
      </w:r>
      <w:r>
        <w:rPr>
          <w:rFonts w:eastAsia="TimesNewRomanPSMT"/>
          <w:i/>
          <w:sz w:val="22"/>
          <w:szCs w:val="22"/>
        </w:rPr>
        <w:t>, Prima Maharani Putri</w:t>
      </w:r>
      <w:r>
        <w:rPr>
          <w:rFonts w:eastAsia="TimesNewRomanPSMT"/>
          <w:i/>
          <w:sz w:val="22"/>
          <w:szCs w:val="22"/>
          <w:vertAlign w:val="superscript"/>
        </w:rPr>
        <w:t>3</w:t>
      </w:r>
      <w:r>
        <w:rPr>
          <w:rFonts w:eastAsia="TimesNewRomanPSMT"/>
          <w:i/>
          <w:sz w:val="22"/>
          <w:szCs w:val="22"/>
        </w:rPr>
        <w:t>, Tegar Fitriyana S. Karso</w:t>
      </w:r>
      <w:r>
        <w:rPr>
          <w:rFonts w:eastAsia="TimesNewRomanPSMT"/>
          <w:i/>
          <w:sz w:val="22"/>
          <w:szCs w:val="22"/>
          <w:vertAlign w:val="superscript"/>
        </w:rPr>
        <w:t>4</w:t>
      </w:r>
    </w:p>
    <w:p w14:paraId="38BFC3C7" w14:textId="77777777" w:rsidR="007148D2" w:rsidRDefault="007148D2" w:rsidP="007148D2">
      <w:pPr>
        <w:spacing w:line="240" w:lineRule="auto"/>
        <w:jc w:val="center"/>
        <w:rPr>
          <w:rFonts w:eastAsia="TimesNewRomanPSMT"/>
          <w:sz w:val="22"/>
          <w:szCs w:val="22"/>
        </w:rPr>
      </w:pPr>
    </w:p>
    <w:p w14:paraId="2FC66875" w14:textId="77777777" w:rsidR="007148D2" w:rsidRDefault="007148D2" w:rsidP="007148D2">
      <w:pPr>
        <w:spacing w:line="240" w:lineRule="auto"/>
        <w:rPr>
          <w:rFonts w:eastAsia="TimesNewRomanPSMT"/>
          <w:i/>
          <w:sz w:val="22"/>
          <w:szCs w:val="22"/>
        </w:rPr>
      </w:pPr>
      <w:r>
        <w:rPr>
          <w:rFonts w:eastAsia="TimesNewRomanPSMT"/>
          <w:i/>
          <w:sz w:val="22"/>
          <w:szCs w:val="22"/>
          <w:vertAlign w:val="superscript"/>
        </w:rPr>
        <w:t>1</w:t>
      </w:r>
      <w:r>
        <w:rPr>
          <w:rFonts w:eastAsia="TimesNewRomanPSMT"/>
          <w:i/>
          <w:sz w:val="22"/>
          <w:szCs w:val="22"/>
        </w:rPr>
        <w:t>Bagian Ilmu Kedokteran Forensik dan Medikolegal,</w:t>
      </w:r>
      <w:r>
        <w:rPr>
          <w:rFonts w:eastAsia="TimesNewRomanPSMT"/>
          <w:i/>
          <w:sz w:val="22"/>
          <w:szCs w:val="22"/>
          <w:lang w:val="id-ID"/>
        </w:rPr>
        <w:t xml:space="preserve"> Fakultas Kedokteran</w:t>
      </w:r>
      <w:r>
        <w:rPr>
          <w:rFonts w:eastAsia="TimesNewRomanPSMT"/>
          <w:i/>
          <w:sz w:val="22"/>
          <w:szCs w:val="22"/>
        </w:rPr>
        <w:t>,</w:t>
      </w:r>
      <w:r>
        <w:rPr>
          <w:rFonts w:eastAsia="TimesNewRomanPSMT"/>
          <w:i/>
          <w:sz w:val="22"/>
          <w:szCs w:val="22"/>
          <w:lang w:val="id-ID"/>
        </w:rPr>
        <w:t xml:space="preserve"> Universitas Muhammadiyah Purwokerto</w:t>
      </w:r>
      <w:r>
        <w:rPr>
          <w:rFonts w:eastAsia="TimesNewRomanPSMT"/>
          <w:i/>
          <w:sz w:val="22"/>
          <w:szCs w:val="22"/>
        </w:rPr>
        <w:t>, Central Java, Indonesia</w:t>
      </w:r>
    </w:p>
    <w:p w14:paraId="69A22F10" w14:textId="77777777" w:rsidR="007148D2" w:rsidRDefault="007148D2" w:rsidP="007148D2">
      <w:pPr>
        <w:spacing w:line="240" w:lineRule="auto"/>
        <w:rPr>
          <w:rFonts w:eastAsia="TimesNewRomanPSMT"/>
          <w:i/>
          <w:sz w:val="22"/>
          <w:szCs w:val="22"/>
        </w:rPr>
      </w:pPr>
      <w:r>
        <w:rPr>
          <w:rFonts w:eastAsia="TimesNewRomanPSMT"/>
          <w:i/>
          <w:sz w:val="22"/>
          <w:szCs w:val="22"/>
          <w:vertAlign w:val="superscript"/>
        </w:rPr>
        <w:t>2</w:t>
      </w:r>
      <w:r>
        <w:rPr>
          <w:rFonts w:eastAsia="TimesNewRomanPSMT"/>
          <w:i/>
          <w:sz w:val="22"/>
          <w:szCs w:val="22"/>
        </w:rPr>
        <w:t xml:space="preserve">Bagian Ilmu Anatomi, </w:t>
      </w:r>
      <w:r>
        <w:rPr>
          <w:rFonts w:eastAsia="TimesNewRomanPSMT"/>
          <w:i/>
          <w:sz w:val="22"/>
          <w:szCs w:val="22"/>
          <w:lang w:val="id-ID"/>
        </w:rPr>
        <w:t>Fakultas Kedokteran</w:t>
      </w:r>
      <w:r>
        <w:rPr>
          <w:rFonts w:eastAsia="TimesNewRomanPSMT"/>
          <w:i/>
          <w:sz w:val="22"/>
          <w:szCs w:val="22"/>
        </w:rPr>
        <w:t xml:space="preserve">, Universitas </w:t>
      </w:r>
      <w:r>
        <w:rPr>
          <w:rFonts w:eastAsia="TimesNewRomanPSMT"/>
          <w:i/>
          <w:sz w:val="22"/>
          <w:szCs w:val="22"/>
          <w:lang w:val="id-ID"/>
        </w:rPr>
        <w:t>Muhammadiyah Purwokerto</w:t>
      </w:r>
      <w:r>
        <w:rPr>
          <w:rFonts w:eastAsia="TimesNewRomanPSMT"/>
          <w:i/>
          <w:sz w:val="22"/>
          <w:szCs w:val="22"/>
        </w:rPr>
        <w:t>, Central Java, Indonesia</w:t>
      </w:r>
    </w:p>
    <w:p w14:paraId="0DF45B7F" w14:textId="77777777" w:rsidR="007148D2" w:rsidRDefault="007148D2" w:rsidP="007148D2">
      <w:pPr>
        <w:spacing w:line="240" w:lineRule="auto"/>
        <w:rPr>
          <w:rFonts w:eastAsia="TimesNewRomanPSMT"/>
          <w:i/>
          <w:sz w:val="22"/>
          <w:szCs w:val="22"/>
        </w:rPr>
      </w:pPr>
      <w:r>
        <w:rPr>
          <w:rFonts w:eastAsia="TimesNewRomanPSMT"/>
          <w:i/>
          <w:sz w:val="22"/>
          <w:szCs w:val="22"/>
          <w:vertAlign w:val="superscript"/>
        </w:rPr>
        <w:t>3</w:t>
      </w:r>
      <w:r>
        <w:rPr>
          <w:rFonts w:eastAsia="TimesNewRomanPSMT"/>
          <w:i/>
          <w:sz w:val="22"/>
          <w:szCs w:val="22"/>
        </w:rPr>
        <w:t xml:space="preserve">Bagian Ilmu Etikomedikolegal, </w:t>
      </w:r>
      <w:r>
        <w:rPr>
          <w:rFonts w:eastAsia="TimesNewRomanPSMT"/>
          <w:i/>
          <w:sz w:val="22"/>
          <w:szCs w:val="22"/>
          <w:lang w:val="id-ID"/>
        </w:rPr>
        <w:t>Fakultas Kedokteran</w:t>
      </w:r>
      <w:r>
        <w:rPr>
          <w:rFonts w:eastAsia="TimesNewRomanPSMT"/>
          <w:i/>
          <w:sz w:val="22"/>
          <w:szCs w:val="22"/>
        </w:rPr>
        <w:t xml:space="preserve">, Universitas </w:t>
      </w:r>
      <w:r>
        <w:rPr>
          <w:rFonts w:eastAsia="TimesNewRomanPSMT"/>
          <w:i/>
          <w:sz w:val="22"/>
          <w:szCs w:val="22"/>
          <w:lang w:val="id-ID"/>
        </w:rPr>
        <w:t>Muhammadiyah Purwokerto</w:t>
      </w:r>
      <w:r>
        <w:rPr>
          <w:rFonts w:eastAsia="TimesNewRomanPSMT"/>
          <w:i/>
          <w:sz w:val="22"/>
          <w:szCs w:val="22"/>
        </w:rPr>
        <w:t>, Central Java, Indonesia</w:t>
      </w:r>
    </w:p>
    <w:p w14:paraId="32CC93D2" w14:textId="30F57717" w:rsidR="007148D2" w:rsidRDefault="007148D2" w:rsidP="007148D2">
      <w:pPr>
        <w:spacing w:line="240" w:lineRule="auto"/>
        <w:rPr>
          <w:rFonts w:eastAsia="TimesNewRomanPSMT"/>
          <w:i/>
          <w:sz w:val="22"/>
          <w:szCs w:val="22"/>
        </w:rPr>
      </w:pPr>
      <w:r>
        <w:rPr>
          <w:rFonts w:eastAsia="TimesNewRomanPSMT"/>
          <w:i/>
          <w:sz w:val="22"/>
          <w:szCs w:val="22"/>
          <w:vertAlign w:val="superscript"/>
        </w:rPr>
        <w:t>4</w:t>
      </w:r>
      <w:r>
        <w:rPr>
          <w:rFonts w:eastAsia="TimesNewRomanPSMT"/>
          <w:i/>
          <w:sz w:val="22"/>
          <w:szCs w:val="22"/>
        </w:rPr>
        <w:t xml:space="preserve">Bagian Ilmu Anatomi, </w:t>
      </w:r>
      <w:r>
        <w:rPr>
          <w:rFonts w:eastAsia="TimesNewRomanPSMT"/>
          <w:i/>
          <w:sz w:val="22"/>
          <w:szCs w:val="22"/>
          <w:lang w:val="id-ID"/>
        </w:rPr>
        <w:t>Fakultas Kedokteran</w:t>
      </w:r>
      <w:r>
        <w:rPr>
          <w:rFonts w:eastAsia="TimesNewRomanPSMT"/>
          <w:i/>
          <w:sz w:val="22"/>
          <w:szCs w:val="22"/>
        </w:rPr>
        <w:t>, Universitas Pasundan</w:t>
      </w:r>
      <w:r>
        <w:rPr>
          <w:rFonts w:eastAsia="TimesNewRomanPSMT"/>
          <w:i/>
          <w:sz w:val="22"/>
          <w:szCs w:val="22"/>
          <w:lang w:val="id-ID"/>
        </w:rPr>
        <w:t xml:space="preserve"> </w:t>
      </w:r>
      <w:r>
        <w:rPr>
          <w:rFonts w:eastAsia="TimesNewRomanPSMT"/>
          <w:i/>
          <w:sz w:val="22"/>
          <w:szCs w:val="22"/>
        </w:rPr>
        <w:t>Bandung, West Java, Indonesia</w:t>
      </w:r>
    </w:p>
    <w:p w14:paraId="4DBADC63" w14:textId="77777777" w:rsidR="007148D2" w:rsidRPr="007148D2" w:rsidRDefault="007148D2" w:rsidP="007148D2">
      <w:pPr>
        <w:spacing w:line="240" w:lineRule="auto"/>
        <w:rPr>
          <w:rFonts w:eastAsia="TimesNewRomanPSMT"/>
          <w:i/>
          <w:sz w:val="22"/>
          <w:szCs w:val="22"/>
        </w:rPr>
      </w:pPr>
    </w:p>
    <w:p w14:paraId="43B00C25" w14:textId="063BB7D5" w:rsidR="0065179B" w:rsidRPr="00542BC0" w:rsidRDefault="00A612D0" w:rsidP="0065179B">
      <w:pPr>
        <w:rPr>
          <w:rFonts w:ascii="Times New Roman" w:hAnsi="Times New Roman" w:cs="Times New Roman"/>
          <w:b/>
          <w:bCs/>
        </w:rPr>
      </w:pPr>
      <w:r w:rsidRPr="00542BC0">
        <w:rPr>
          <w:rFonts w:ascii="Times New Roman" w:hAnsi="Times New Roman" w:cs="Times New Roman"/>
          <w:b/>
          <w:bCs/>
        </w:rPr>
        <w:t>ABSTRACT</w:t>
      </w:r>
    </w:p>
    <w:p w14:paraId="3E07682B" w14:textId="5DFD8171" w:rsidR="00B24BE6" w:rsidRPr="00B24BE6" w:rsidRDefault="00B24BE6" w:rsidP="00B24BE6">
      <w:pPr>
        <w:spacing w:after="0"/>
        <w:jc w:val="both"/>
        <w:rPr>
          <w:rFonts w:ascii="Times New Roman" w:hAnsi="Times New Roman" w:cs="Times New Roman"/>
        </w:rPr>
      </w:pPr>
      <w:r w:rsidRPr="00B24BE6">
        <w:rPr>
          <w:rFonts w:ascii="Times New Roman" w:hAnsi="Times New Roman" w:cs="Times New Roman"/>
          <w:b/>
          <w:bCs/>
        </w:rPr>
        <w:t>Background</w:t>
      </w:r>
      <w:r>
        <w:rPr>
          <w:rFonts w:ascii="Times New Roman" w:hAnsi="Times New Roman" w:cs="Times New Roman"/>
          <w:b/>
          <w:bCs/>
        </w:rPr>
        <w:t xml:space="preserve">. </w:t>
      </w:r>
      <w:r w:rsidRPr="00B24BE6">
        <w:rPr>
          <w:rFonts w:ascii="Times New Roman" w:hAnsi="Times New Roman" w:cs="Times New Roman"/>
        </w:rPr>
        <w:t>Iatrogenic injury to the glans penis during circumcision represents a rare but severe complication with significant clinical and medicolegal consequences. Although circumcision is widely performed and generally considered safe, reports of glans injury—including ischemia, necrosis, and amputation—continue to emerge across diverse settings. However, existing evidence remains fragmented and lacks comprehensive synthesis.</w:t>
      </w:r>
    </w:p>
    <w:p w14:paraId="3D341675" w14:textId="02D3A534" w:rsidR="00B24BE6" w:rsidRPr="00B24BE6" w:rsidRDefault="00B24BE6" w:rsidP="00B24BE6">
      <w:pPr>
        <w:spacing w:after="0"/>
        <w:jc w:val="both"/>
        <w:rPr>
          <w:rFonts w:ascii="Times New Roman" w:hAnsi="Times New Roman" w:cs="Times New Roman"/>
        </w:rPr>
      </w:pPr>
      <w:r w:rsidRPr="00B24BE6">
        <w:rPr>
          <w:rFonts w:ascii="Times New Roman" w:hAnsi="Times New Roman" w:cs="Times New Roman"/>
          <w:b/>
          <w:bCs/>
        </w:rPr>
        <w:t>Objective</w:t>
      </w:r>
      <w:r>
        <w:rPr>
          <w:rFonts w:ascii="Times New Roman" w:hAnsi="Times New Roman" w:cs="Times New Roman"/>
          <w:b/>
          <w:bCs/>
        </w:rPr>
        <w:t xml:space="preserve">. </w:t>
      </w:r>
      <w:r w:rsidRPr="00B24BE6">
        <w:rPr>
          <w:rFonts w:ascii="Times New Roman" w:hAnsi="Times New Roman" w:cs="Times New Roman"/>
        </w:rPr>
        <w:t>This systematic review aimed to synthesize available evidence on the clinical spectrum, mechanisms, risk factors, management outcomes, and medicolegal implications of iatrogenic glans penis injury during circumcision.</w:t>
      </w:r>
    </w:p>
    <w:p w14:paraId="124E625E" w14:textId="093ABC19" w:rsidR="00B24BE6" w:rsidRPr="00B24BE6" w:rsidRDefault="00B24BE6" w:rsidP="00B24BE6">
      <w:pPr>
        <w:spacing w:after="0"/>
        <w:jc w:val="both"/>
        <w:rPr>
          <w:rFonts w:ascii="Times New Roman" w:hAnsi="Times New Roman" w:cs="Times New Roman"/>
        </w:rPr>
      </w:pPr>
      <w:r w:rsidRPr="00B24BE6">
        <w:rPr>
          <w:rFonts w:ascii="Times New Roman" w:hAnsi="Times New Roman" w:cs="Times New Roman"/>
          <w:b/>
          <w:bCs/>
        </w:rPr>
        <w:t>Methods</w:t>
      </w:r>
      <w:r>
        <w:rPr>
          <w:rFonts w:ascii="Times New Roman" w:hAnsi="Times New Roman" w:cs="Times New Roman"/>
          <w:b/>
          <w:bCs/>
        </w:rPr>
        <w:t xml:space="preserve">. </w:t>
      </w:r>
      <w:r w:rsidRPr="00B24BE6">
        <w:rPr>
          <w:rFonts w:ascii="Times New Roman" w:hAnsi="Times New Roman" w:cs="Times New Roman"/>
        </w:rPr>
        <w:t>A systematic review was conducted in accordance with the PRISMA 2020 guidelines. A comprehensive search was performed across PubMed, ScienceDirect, Cochrane Library, Wiley Online Library, ProQuest, and JSTOR. Eligible studies included case reports and case series describing iatrogenic glans or penile injury related to circumcision. Data were extracted on clinical characteristics, mechanisms, management, outcomes, and medicolegal aspects. Methodological quality was assessed using the Joanna Briggs Institute (JBI) critical appraisal tools.</w:t>
      </w:r>
    </w:p>
    <w:p w14:paraId="64207E26" w14:textId="0494C3F0" w:rsidR="00B24BE6" w:rsidRPr="00B24BE6" w:rsidRDefault="00B24BE6" w:rsidP="00B24BE6">
      <w:pPr>
        <w:spacing w:after="0"/>
        <w:jc w:val="both"/>
        <w:rPr>
          <w:rFonts w:ascii="Times New Roman" w:hAnsi="Times New Roman" w:cs="Times New Roman"/>
        </w:rPr>
      </w:pPr>
      <w:r w:rsidRPr="00B24BE6">
        <w:rPr>
          <w:rFonts w:ascii="Times New Roman" w:hAnsi="Times New Roman" w:cs="Times New Roman"/>
          <w:b/>
          <w:bCs/>
        </w:rPr>
        <w:t>Results</w:t>
      </w:r>
      <w:r>
        <w:rPr>
          <w:rFonts w:ascii="Times New Roman" w:hAnsi="Times New Roman" w:cs="Times New Roman"/>
          <w:b/>
          <w:bCs/>
        </w:rPr>
        <w:t xml:space="preserve">. </w:t>
      </w:r>
      <w:r w:rsidRPr="00B24BE6">
        <w:rPr>
          <w:rFonts w:ascii="Times New Roman" w:hAnsi="Times New Roman" w:cs="Times New Roman"/>
        </w:rPr>
        <w:t xml:space="preserve">A total of 27 studies were included, of which 20 contributed to the primary clinical analysis (14 case reports and 6 case series). The clinical spectrum ranged from glans ischemia and necrosis to partial and total penile amputation. Mechanisms of injury included inadequate glans visualization, clamp-based or blind techniques, thermal injury from electrocautery, and vascular compromise following anesthesia or infection. Operator-related factors, particularly procedures performed by untrained or non-specialist providers, were consistently identified as major risk factors, although complications also occurred in formal healthcare settings. Management strategies varied from conservative therapy to complex reconstructive procedures, with outcomes ranging from full functional recovery to long-term complications such as urethral stricture and penile deformity. Methodological quality of case reports was generally high, whereas case series </w:t>
      </w:r>
      <w:r w:rsidRPr="00B24BE6">
        <w:rPr>
          <w:rFonts w:ascii="Times New Roman" w:hAnsi="Times New Roman" w:cs="Times New Roman"/>
        </w:rPr>
        <w:lastRenderedPageBreak/>
        <w:t>demonstrated variable quality. Medicolegal analysis revealed that such injuries are frequently associated with malpractice claims, particularly in cases involving procedural errors, inadequate training, or lack of informed consent.</w:t>
      </w:r>
    </w:p>
    <w:p w14:paraId="4D945504" w14:textId="6A4BC363" w:rsidR="00B24BE6" w:rsidRPr="00B24BE6" w:rsidRDefault="00B24BE6" w:rsidP="00B24BE6">
      <w:pPr>
        <w:spacing w:after="0"/>
        <w:jc w:val="both"/>
        <w:rPr>
          <w:rFonts w:ascii="Times New Roman" w:hAnsi="Times New Roman" w:cs="Times New Roman"/>
        </w:rPr>
      </w:pPr>
      <w:r w:rsidRPr="00B24BE6">
        <w:rPr>
          <w:rFonts w:ascii="Times New Roman" w:hAnsi="Times New Roman" w:cs="Times New Roman"/>
          <w:b/>
          <w:bCs/>
        </w:rPr>
        <w:t>Conclusion</w:t>
      </w:r>
      <w:r>
        <w:rPr>
          <w:rFonts w:ascii="Times New Roman" w:hAnsi="Times New Roman" w:cs="Times New Roman"/>
          <w:b/>
          <w:bCs/>
        </w:rPr>
        <w:t xml:space="preserve">. </w:t>
      </w:r>
      <w:r w:rsidRPr="00B24BE6">
        <w:rPr>
          <w:rFonts w:ascii="Times New Roman" w:hAnsi="Times New Roman" w:cs="Times New Roman"/>
        </w:rPr>
        <w:t>Iatrogenic glans penis injury during circumcision is a rare but preventable complication with substantial clinical and legal implications. These injuries arise from identifiable technical and systemic factors, emphasizing the need for improved surgical training, adherence to standardized techniques, and strengthened regulatory oversight to enhance patient safety and reduce medicolegal risk.</w:t>
      </w:r>
    </w:p>
    <w:p w14:paraId="4E8E52CB" w14:textId="44156175" w:rsidR="00B24BE6" w:rsidRPr="00B24BE6" w:rsidRDefault="00B24BE6" w:rsidP="00B24BE6">
      <w:pPr>
        <w:spacing w:after="0"/>
        <w:jc w:val="both"/>
      </w:pPr>
      <w:r w:rsidRPr="00B24BE6">
        <w:rPr>
          <w:rFonts w:ascii="Times New Roman" w:hAnsi="Times New Roman" w:cs="Times New Roman"/>
          <w:b/>
          <w:bCs/>
        </w:rPr>
        <w:t>Keywords:</w:t>
      </w:r>
      <w:r w:rsidR="00943B93">
        <w:rPr>
          <w:rFonts w:ascii="Times New Roman" w:hAnsi="Times New Roman" w:cs="Times New Roman"/>
          <w:b/>
          <w:bCs/>
        </w:rPr>
        <w:t xml:space="preserve"> </w:t>
      </w:r>
      <w:r w:rsidRPr="00B24BE6">
        <w:rPr>
          <w:rFonts w:ascii="Times New Roman" w:hAnsi="Times New Roman" w:cs="Times New Roman"/>
          <w:i/>
          <w:iCs/>
        </w:rPr>
        <w:t>Circumcision; Glans penis injury; Penile amputation; Iatrogenic complications; Surgical error; Medicolegal</w:t>
      </w:r>
    </w:p>
    <w:p w14:paraId="316B930E" w14:textId="77777777" w:rsidR="00A612D0" w:rsidRDefault="00A612D0" w:rsidP="0065179B"/>
    <w:p w14:paraId="0CDE1267" w14:textId="3931F85B" w:rsidR="00A612D0" w:rsidRDefault="00A612D0" w:rsidP="006F6E47">
      <w:pPr>
        <w:spacing w:after="0"/>
        <w:rPr>
          <w:rFonts w:ascii="Times New Roman" w:hAnsi="Times New Roman" w:cs="Times New Roman"/>
          <w:b/>
          <w:bCs/>
        </w:rPr>
      </w:pPr>
      <w:r w:rsidRPr="00F16C1B">
        <w:rPr>
          <w:rFonts w:ascii="Times New Roman" w:hAnsi="Times New Roman" w:cs="Times New Roman"/>
          <w:b/>
          <w:bCs/>
        </w:rPr>
        <w:t>INTRODUCTION</w:t>
      </w:r>
    </w:p>
    <w:p w14:paraId="70B00196" w14:textId="31E58A9B" w:rsidR="006F6E47" w:rsidRPr="006F6E47" w:rsidRDefault="006F6E47" w:rsidP="006F6E47">
      <w:pPr>
        <w:spacing w:after="0"/>
        <w:ind w:firstLine="630"/>
        <w:jc w:val="both"/>
        <w:rPr>
          <w:rFonts w:ascii="Times New Roman" w:hAnsi="Times New Roman" w:cs="Times New Roman"/>
        </w:rPr>
      </w:pPr>
      <w:r w:rsidRPr="006F6E47">
        <w:rPr>
          <w:rFonts w:ascii="Times New Roman" w:hAnsi="Times New Roman" w:cs="Times New Roman"/>
        </w:rPr>
        <w:t xml:space="preserve">Circumcision is one of the most commonly performed surgical procedures worldwide, undertaken for religious, cultural, and medical reasons across diverse populations </w:t>
      </w:r>
      <w:sdt>
        <w:sdtPr>
          <w:rPr>
            <w:rFonts w:ascii="Times New Roman" w:hAnsi="Times New Roman" w:cs="Times New Roman"/>
            <w:color w:val="000000"/>
          </w:rPr>
          <w:tag w:val="MENDELEY_CITATION_v3_eyJjaXRhdGlvbklEIjoiTUVOREVMRVlfQ0lUQVRJT05fODZmNjg5NWItN2MwZC00ZWYxLWI2YTYtNGZmMTQ2MDMzZjY3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
          <w:id w:val="1632670316"/>
          <w:placeholder>
            <w:docPart w:val="DefaultPlaceholder_-1854013440"/>
          </w:placeholder>
        </w:sdtPr>
        <w:sdtContent>
          <w:r w:rsidR="000B40D5" w:rsidRPr="000B40D5">
            <w:rPr>
              <w:rFonts w:ascii="Times New Roman" w:eastAsia="Times New Roman" w:hAnsi="Times New Roman" w:cs="Times New Roman"/>
              <w:color w:val="000000"/>
            </w:rPr>
            <w:t>(Highton et al., 2022; Militello &amp; Pais, 2023; Razzaque et al., 2024)</w:t>
          </w:r>
        </w:sdtContent>
      </w:sdt>
      <w:r w:rsidRPr="006F6E47">
        <w:rPr>
          <w:rFonts w:ascii="Times New Roman" w:hAnsi="Times New Roman" w:cs="Times New Roman"/>
        </w:rPr>
        <w:t xml:space="preserve">. Although generally considered a safe and straightforward procedure when performed under appropriate conditions, circumcision is not without risk, and a wide spectrum of complications has been reported, ranging from minor bleeding and infection to severe and potentially life-altering injuries </w:t>
      </w:r>
      <w:sdt>
        <w:sdtPr>
          <w:rPr>
            <w:rFonts w:ascii="Times New Roman" w:hAnsi="Times New Roman" w:cs="Times New Roman"/>
            <w:color w:val="000000"/>
          </w:rPr>
          <w:tag w:val="MENDELEY_CITATION_v3_eyJjaXRhdGlvbklEIjoiTUVOREVMRVlfQ0lUQVRJT05fZTVjYjk4NjktZWZiZC00Mzk1LWIwZjgtZTM2NjE0Y2IyNmMy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
          <w:id w:val="1770889664"/>
          <w:placeholder>
            <w:docPart w:val="DefaultPlaceholder_-1854013440"/>
          </w:placeholder>
        </w:sdtPr>
        <w:sdtContent>
          <w:r w:rsidR="000B40D5" w:rsidRPr="000B40D5">
            <w:rPr>
              <w:rFonts w:ascii="Times New Roman" w:hAnsi="Times New Roman" w:cs="Times New Roman"/>
              <w:color w:val="000000"/>
            </w:rPr>
            <w:t>(Dhaliwal et al., 2025; Schröder et al., 2022)</w:t>
          </w:r>
        </w:sdtContent>
      </w:sdt>
      <w:r w:rsidRPr="006F6E47">
        <w:rPr>
          <w:rFonts w:ascii="Times New Roman" w:hAnsi="Times New Roman" w:cs="Times New Roman"/>
        </w:rPr>
        <w:t>.</w:t>
      </w:r>
    </w:p>
    <w:p w14:paraId="2B39CA22" w14:textId="33789833" w:rsidR="006F6E47" w:rsidRPr="006F6E47" w:rsidRDefault="006F6E47" w:rsidP="006F6E47">
      <w:pPr>
        <w:spacing w:after="0"/>
        <w:ind w:firstLine="630"/>
        <w:jc w:val="both"/>
        <w:rPr>
          <w:rFonts w:ascii="Times New Roman" w:hAnsi="Times New Roman" w:cs="Times New Roman"/>
        </w:rPr>
      </w:pPr>
      <w:r w:rsidRPr="006F6E47">
        <w:rPr>
          <w:rFonts w:ascii="Times New Roman" w:hAnsi="Times New Roman" w:cs="Times New Roman"/>
        </w:rPr>
        <w:t xml:space="preserve">Among these complications, iatrogenic injury to the glans penis represents one of the most serious and devastating outcomes. Such injuries include glans laceration, ischemia, necrosis, and partial or complete amputation, all of which may result in long-term functional, cosmetic, and psychological consequences </w:t>
      </w:r>
      <w:sdt>
        <w:sdtPr>
          <w:rPr>
            <w:rFonts w:ascii="Times New Roman" w:hAnsi="Times New Roman" w:cs="Times New Roman"/>
            <w:color w:val="000000"/>
          </w:rPr>
          <w:tag w:val="MENDELEY_CITATION_v3_eyJjaXRhdGlvbklEIjoiTUVOREVMRVlfQ0lUQVRJT05fMmM1YWNlOWUtZjgxNS00OWJkLTkyYTMtZTcxOTMwMjA3MDNk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
          <w:id w:val="-241796441"/>
          <w:placeholder>
            <w:docPart w:val="DefaultPlaceholder_-1854013440"/>
          </w:placeholder>
        </w:sdtPr>
        <w:sdtContent>
          <w:r w:rsidR="000B40D5" w:rsidRPr="000B40D5">
            <w:rPr>
              <w:rFonts w:ascii="Times New Roman" w:eastAsia="Times New Roman" w:hAnsi="Times New Roman" w:cs="Times New Roman"/>
              <w:color w:val="000000"/>
            </w:rPr>
            <w:t>(M. B. I. Hakim et al., 2023; Harrington &amp; MacDonald, 2025)</w:t>
          </w:r>
        </w:sdtContent>
      </w:sdt>
      <w:r w:rsidRPr="006F6E47">
        <w:rPr>
          <w:rFonts w:ascii="Times New Roman" w:hAnsi="Times New Roman" w:cs="Times New Roman"/>
        </w:rPr>
        <w:t xml:space="preserve">. Although considered rare, these injuries have been consistently reported across a wide range of clinical and non-clinical settings, suggesting that they are not isolated events but rather reproducible complications associated with specific procedural and contextual factors </w:t>
      </w:r>
      <w:sdt>
        <w:sdtPr>
          <w:rPr>
            <w:rFonts w:ascii="Times New Roman" w:hAnsi="Times New Roman" w:cs="Times New Roman"/>
            <w:color w:val="000000"/>
          </w:rPr>
          <w:tag w:val="MENDELEY_CITATION_v3_eyJjaXRhdGlvbklEIjoiTUVOREVMRVlfQ0lUQVRJT05fNjJjZTE5OGUtZTdkMi00ZmZkLWFmNzktN2EwMzYwNDRhNTdl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
          <w:id w:val="-475060392"/>
          <w:placeholder>
            <w:docPart w:val="DefaultPlaceholder_-1854013440"/>
          </w:placeholder>
        </w:sdtPr>
        <w:sdtContent>
          <w:r w:rsidR="000B40D5" w:rsidRPr="000B40D5">
            <w:rPr>
              <w:rFonts w:ascii="Times New Roman" w:hAnsi="Times New Roman" w:cs="Times New Roman"/>
              <w:color w:val="000000"/>
            </w:rPr>
            <w:t>(Lucas et al., 2020; Tanyi et al., 2023)</w:t>
          </w:r>
        </w:sdtContent>
      </w:sdt>
      <w:r w:rsidRPr="006F6E47">
        <w:rPr>
          <w:rFonts w:ascii="Times New Roman" w:hAnsi="Times New Roman" w:cs="Times New Roman"/>
        </w:rPr>
        <w:t>.</w:t>
      </w:r>
    </w:p>
    <w:p w14:paraId="630C50E4" w14:textId="079C2051" w:rsidR="006F6E47" w:rsidRPr="006F6E47" w:rsidRDefault="006F6E47" w:rsidP="006F6E47">
      <w:pPr>
        <w:spacing w:after="0"/>
        <w:ind w:firstLine="630"/>
        <w:jc w:val="both"/>
        <w:rPr>
          <w:rFonts w:ascii="Times New Roman" w:hAnsi="Times New Roman" w:cs="Times New Roman"/>
        </w:rPr>
      </w:pPr>
      <w:r w:rsidRPr="006F6E47">
        <w:rPr>
          <w:rFonts w:ascii="Times New Roman" w:hAnsi="Times New Roman" w:cs="Times New Roman"/>
        </w:rPr>
        <w:t xml:space="preserve">The mechanisms underlying iatrogenic glans injury during circumcision are multifactorial and involve both mechanical and vascular pathways. Direct traumatic injury may occur due to inadequate visualization of the glans, improper use of surgical instruments, or errors associated with blind or clamp-based techniques </w:t>
      </w:r>
      <w:sdt>
        <w:sdtPr>
          <w:rPr>
            <w:rFonts w:ascii="Times New Roman" w:hAnsi="Times New Roman" w:cs="Times New Roman"/>
            <w:color w:val="000000"/>
          </w:rPr>
          <w:tag w:val="MENDELEY_CITATION_v3_eyJjaXRhdGlvbklEIjoiTUVOREVMRVlfQ0lUQVRJT05fZTVjZTZkMDMtYjMzOC00M2ZjLTg5MjMtOGQ3YjAxMGQ3ODIx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
          <w:id w:val="36784451"/>
          <w:placeholder>
            <w:docPart w:val="DefaultPlaceholder_-1854013440"/>
          </w:placeholder>
        </w:sdtPr>
        <w:sdtContent>
          <w:r w:rsidR="000B40D5" w:rsidRPr="000B40D5">
            <w:rPr>
              <w:rFonts w:ascii="Times New Roman" w:eastAsia="Times New Roman" w:hAnsi="Times New Roman" w:cs="Times New Roman"/>
              <w:color w:val="000000"/>
            </w:rPr>
            <w:t>(Fahmy, 2019; Oranusi &amp; Nwofor, 2015; Reddy et al., 2014; Seleim &amp; Elbarbary, 2016)</w:t>
          </w:r>
        </w:sdtContent>
      </w:sdt>
      <w:r w:rsidRPr="006F6E47">
        <w:rPr>
          <w:rFonts w:ascii="Times New Roman" w:hAnsi="Times New Roman" w:cs="Times New Roman"/>
        </w:rPr>
        <w:t xml:space="preserve">. In parallel, vascular compromise may lead to ischemic and necrotic complications, often associated with thermal injury from electrocautery, local anesthetic effects, or postoperative factors such as infection and compressive dressings </w:t>
      </w:r>
      <w:sdt>
        <w:sdtPr>
          <w:rPr>
            <w:rFonts w:ascii="Times New Roman" w:hAnsi="Times New Roman" w:cs="Times New Roman"/>
            <w:color w:val="000000"/>
          </w:rPr>
          <w:tag w:val="MENDELEY_CITATION_v3_eyJjaXRhdGlvbklEIjoiTUVOREVMRVlfQ0lUQVRJT05fNzM2NzBkNTUtNGMxOC00MWI5LTg1ZmQtYTEyOGUyODkyZDRk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
          <w:id w:val="2046481478"/>
          <w:placeholder>
            <w:docPart w:val="DefaultPlaceholder_-1854013440"/>
          </w:placeholder>
        </w:sdtPr>
        <w:sdtContent>
          <w:r w:rsidR="000B40D5" w:rsidRPr="000B40D5">
            <w:rPr>
              <w:rFonts w:ascii="Times New Roman" w:eastAsia="Times New Roman" w:hAnsi="Times New Roman" w:cs="Times New Roman"/>
              <w:color w:val="000000"/>
            </w:rPr>
            <w:t>(Derriks et al., 2020; Fırıncı et al., 2023; Kalyenci et al., 2024; Korets &amp; Li, 2024)</w:t>
          </w:r>
        </w:sdtContent>
      </w:sdt>
      <w:r w:rsidRPr="006F6E47">
        <w:rPr>
          <w:rFonts w:ascii="Times New Roman" w:hAnsi="Times New Roman" w:cs="Times New Roman"/>
        </w:rPr>
        <w:t xml:space="preserve">. These findings reflect broader surgical safety principles in which failure to adequately identify and protect critical anatomical structures contributes to iatrogenic harm </w:t>
      </w:r>
      <w:sdt>
        <w:sdtPr>
          <w:rPr>
            <w:rFonts w:ascii="Times New Roman" w:hAnsi="Times New Roman" w:cs="Times New Roman"/>
            <w:color w:val="000000"/>
          </w:rPr>
          <w:tag w:val="MENDELEY_CITATION_v3_eyJjaXRhdGlvbklEIjoiTUVOREVMRVlfQ0lUQVRJT05fZTU0ZDdkOWItOTcxNS00MTJjLWFkNTktZmU0ODQzMjMxZmQx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
          <w:id w:val="2061740593"/>
          <w:placeholder>
            <w:docPart w:val="DefaultPlaceholder_-1854013440"/>
          </w:placeholder>
        </w:sdtPr>
        <w:sdtContent>
          <w:r w:rsidR="000B40D5" w:rsidRPr="000B40D5">
            <w:rPr>
              <w:rFonts w:ascii="Times New Roman" w:hAnsi="Times New Roman" w:cs="Times New Roman"/>
              <w:color w:val="000000"/>
            </w:rPr>
            <w:t>(Porzionato et al., 2022; Singh et al., 2022)</w:t>
          </w:r>
        </w:sdtContent>
      </w:sdt>
      <w:r w:rsidRPr="006F6E47">
        <w:rPr>
          <w:rFonts w:ascii="Times New Roman" w:hAnsi="Times New Roman" w:cs="Times New Roman"/>
        </w:rPr>
        <w:t>.</w:t>
      </w:r>
    </w:p>
    <w:p w14:paraId="6A883329" w14:textId="6052FDA1" w:rsidR="006F6E47" w:rsidRPr="006F6E47" w:rsidRDefault="006F6E47" w:rsidP="006F6E47">
      <w:pPr>
        <w:spacing w:after="0"/>
        <w:ind w:firstLine="630"/>
        <w:jc w:val="both"/>
        <w:rPr>
          <w:rFonts w:ascii="Times New Roman" w:hAnsi="Times New Roman" w:cs="Times New Roman"/>
        </w:rPr>
      </w:pPr>
      <w:r w:rsidRPr="006F6E47">
        <w:rPr>
          <w:rFonts w:ascii="Times New Roman" w:hAnsi="Times New Roman" w:cs="Times New Roman"/>
        </w:rPr>
        <w:t xml:space="preserve">Operator-related factors represent another critical determinant of risk. Numerous studies have demonstrated that complications are more frequently associated with procedures performed by untrained or non-specialist providers, particularly in traditional or community settings </w:t>
      </w:r>
      <w:sdt>
        <w:sdtPr>
          <w:rPr>
            <w:rFonts w:ascii="Times New Roman" w:hAnsi="Times New Roman" w:cs="Times New Roman"/>
            <w:color w:val="000000"/>
          </w:rPr>
          <w:tag w:val="MENDELEY_CITATION_v3_eyJjaXRhdGlvbklEIjoiTUVOREVMRVlfQ0lUQVRJT05fZWUxOTRiNWUtM2Q2My00NjBkLTg1YzUtNWNmNjRjMTNhZmY5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
          <w:id w:val="712232195"/>
          <w:placeholder>
            <w:docPart w:val="DefaultPlaceholder_-1854013440"/>
          </w:placeholder>
        </w:sdtPr>
        <w:sdtContent>
          <w:r w:rsidR="000B40D5" w:rsidRPr="000B40D5">
            <w:rPr>
              <w:rFonts w:ascii="Times New Roman" w:eastAsia="Times New Roman" w:hAnsi="Times New Roman" w:cs="Times New Roman"/>
              <w:color w:val="000000"/>
            </w:rPr>
            <w:t>(Villanueva &amp; Salevitz, 2023)</w:t>
          </w:r>
        </w:sdtContent>
      </w:sdt>
      <w:r w:rsidRPr="006F6E47">
        <w:rPr>
          <w:rFonts w:ascii="Times New Roman" w:hAnsi="Times New Roman" w:cs="Times New Roman"/>
        </w:rPr>
        <w:t xml:space="preserve">. However, severe injuries have also been reported in formal healthcare environments, indicating that procedural errors and inadequate adherence to surgical standards may occur regardless of setting </w:t>
      </w:r>
      <w:sdt>
        <w:sdtPr>
          <w:rPr>
            <w:rFonts w:ascii="Times New Roman" w:hAnsi="Times New Roman" w:cs="Times New Roman"/>
            <w:color w:val="000000"/>
          </w:rPr>
          <w:tag w:val="MENDELEY_CITATION_v3_eyJjaXRhdGlvbklEIjoiTUVOREVMRVlfQ0lUQVRJT05fZjEzMjQwZTItMTk2MC00MmEwLTk0MWQtNzczNGMzNTQ3NjRh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J9LCJpc1RlbXBvcmFyeSI6ZmFsc2V9XX0="/>
          <w:id w:val="533856731"/>
          <w:placeholder>
            <w:docPart w:val="DefaultPlaceholder_-1854013440"/>
          </w:placeholder>
        </w:sdtPr>
        <w:sdtContent>
          <w:r w:rsidR="000B40D5" w:rsidRPr="000B40D5">
            <w:rPr>
              <w:rFonts w:ascii="Times New Roman" w:eastAsia="Times New Roman" w:hAnsi="Times New Roman" w:cs="Times New Roman"/>
              <w:color w:val="000000"/>
            </w:rPr>
            <w:t>(Boakye &amp; Obeng, 2025; Cansaran et al., 2026)</w:t>
          </w:r>
        </w:sdtContent>
      </w:sdt>
      <w:r w:rsidRPr="006F6E47">
        <w:rPr>
          <w:rFonts w:ascii="Times New Roman" w:hAnsi="Times New Roman" w:cs="Times New Roman"/>
        </w:rPr>
        <w:t>. This highlights the importance of competency, training, and standardization in reducing the incidence of preventable complications.</w:t>
      </w:r>
    </w:p>
    <w:p w14:paraId="061FA129" w14:textId="5157C998" w:rsidR="006F6E47" w:rsidRPr="006F6E47" w:rsidRDefault="006F6E47" w:rsidP="006F6E47">
      <w:pPr>
        <w:spacing w:after="0"/>
        <w:ind w:firstLine="630"/>
        <w:jc w:val="both"/>
        <w:rPr>
          <w:rFonts w:ascii="Times New Roman" w:hAnsi="Times New Roman" w:cs="Times New Roman"/>
        </w:rPr>
      </w:pPr>
      <w:r w:rsidRPr="006F6E47">
        <w:rPr>
          <w:rFonts w:ascii="Times New Roman" w:hAnsi="Times New Roman" w:cs="Times New Roman"/>
        </w:rPr>
        <w:t xml:space="preserve">In addition to clinical consequences, iatrogenic glans penis injury carries significant medicolegal implications. Complications arising from circumcision, particularly those resulting in permanent functional impairment, are increasingly recognized as potential grounds for malpractice claims and legal investigation </w:t>
      </w:r>
      <w:sdt>
        <w:sdtPr>
          <w:rPr>
            <w:rFonts w:ascii="Times New Roman" w:hAnsi="Times New Roman" w:cs="Times New Roman"/>
            <w:color w:val="000000"/>
          </w:rPr>
          <w:tag w:val="MENDELEY_CITATION_v3_eyJjaXRhdGlvbklEIjoiTUVOREVMRVlfQ0lUQVRJT05fODM1ZDI3MTQtYWM3ZS00OWY1LWEyMGQtMWM3MmFlZTEzODY1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
          <w:id w:val="-1733147199"/>
          <w:placeholder>
            <w:docPart w:val="DefaultPlaceholder_-1854013440"/>
          </w:placeholder>
        </w:sdtPr>
        <w:sdtContent>
          <w:r w:rsidR="000B40D5" w:rsidRPr="000B40D5">
            <w:rPr>
              <w:rFonts w:ascii="Times New Roman" w:hAnsi="Times New Roman" w:cs="Times New Roman"/>
              <w:color w:val="000000"/>
            </w:rPr>
            <w:t>(Adler, 2016; Mwesigwa, n.d.; Svoboda et al., 2016)</w:t>
          </w:r>
        </w:sdtContent>
      </w:sdt>
      <w:r w:rsidRPr="006F6E47">
        <w:rPr>
          <w:rFonts w:ascii="Times New Roman" w:hAnsi="Times New Roman" w:cs="Times New Roman"/>
        </w:rPr>
        <w:t xml:space="preserve">. Legal analyses have emphasized that procedural errors, lack of competence, and failure to obtain informed consent are key factors contributing to liability </w:t>
      </w:r>
      <w:sdt>
        <w:sdtPr>
          <w:rPr>
            <w:rFonts w:ascii="Times New Roman" w:hAnsi="Times New Roman" w:cs="Times New Roman"/>
            <w:color w:val="000000"/>
          </w:rPr>
          <w:tag w:val="MENDELEY_CITATION_v3_eyJjaXRhdGlvbklEIjoiTUVOREVMRVlfQ0lUQVRJT05fYmQ2MTM3MmEtMGU1Mi00MzBmLTgwOWEtNTdmYjZhMjdlODY4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
          <w:id w:val="-595096495"/>
          <w:placeholder>
            <w:docPart w:val="DefaultPlaceholder_-1854013440"/>
          </w:placeholder>
        </w:sdtPr>
        <w:sdtContent>
          <w:r w:rsidR="000B40D5" w:rsidRPr="000B40D5">
            <w:rPr>
              <w:rFonts w:ascii="Times New Roman" w:hAnsi="Times New Roman" w:cs="Times New Roman"/>
              <w:color w:val="000000"/>
            </w:rPr>
            <w:t>(Birkeland, 2017; Giudici-Wach et al., 2022; Pallocci et al., 2023; Stępniak, 2021; Waters et al., 2025)</w:t>
          </w:r>
        </w:sdtContent>
      </w:sdt>
      <w:r w:rsidRPr="006F6E47">
        <w:rPr>
          <w:rFonts w:ascii="Times New Roman" w:hAnsi="Times New Roman" w:cs="Times New Roman"/>
        </w:rPr>
        <w:t xml:space="preserve">. Importantly, medicolegal risks are not confined to low-resource settings but are also observed in well-established healthcare systems, underscoring the universal relevance of patient safety and professional accountability </w:t>
      </w:r>
      <w:sdt>
        <w:sdtPr>
          <w:rPr>
            <w:rFonts w:ascii="Times New Roman" w:hAnsi="Times New Roman" w:cs="Times New Roman"/>
            <w:color w:val="000000"/>
          </w:rPr>
          <w:tag w:val="MENDELEY_CITATION_v3_eyJjaXRhdGlvbklEIjoiTUVOREVMRVlfQ0lUQVRJT05fZDYwNmI3ZWUtN2NlZC00OWJiLWJlOWQtZTJkNzU1MWFhOTZh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
          <w:id w:val="-786886613"/>
          <w:placeholder>
            <w:docPart w:val="DefaultPlaceholder_-1854013440"/>
          </w:placeholder>
        </w:sdtPr>
        <w:sdtContent>
          <w:r w:rsidR="000B40D5" w:rsidRPr="000B40D5">
            <w:rPr>
              <w:rFonts w:ascii="Times New Roman" w:hAnsi="Times New Roman" w:cs="Times New Roman"/>
              <w:color w:val="000000"/>
            </w:rPr>
            <w:t>(B. J. Morris et al., 2016)</w:t>
          </w:r>
        </w:sdtContent>
      </w:sdt>
      <w:r w:rsidRPr="006F6E47">
        <w:rPr>
          <w:rFonts w:ascii="Times New Roman" w:hAnsi="Times New Roman" w:cs="Times New Roman"/>
        </w:rPr>
        <w:t>.</w:t>
      </w:r>
    </w:p>
    <w:p w14:paraId="06765FA4" w14:textId="4827CD42" w:rsidR="006F6E47" w:rsidRPr="006F6E47" w:rsidRDefault="006F6E47" w:rsidP="006F6E47">
      <w:pPr>
        <w:spacing w:after="0"/>
        <w:ind w:firstLine="630"/>
        <w:jc w:val="both"/>
        <w:rPr>
          <w:rFonts w:ascii="Times New Roman" w:hAnsi="Times New Roman" w:cs="Times New Roman"/>
        </w:rPr>
      </w:pPr>
      <w:r w:rsidRPr="006F6E47">
        <w:rPr>
          <w:rFonts w:ascii="Times New Roman" w:hAnsi="Times New Roman" w:cs="Times New Roman"/>
        </w:rPr>
        <w:t xml:space="preserve">Despite the clinical severity and legal significance of these injuries, the existing literature remains fragmented and largely limited to case reports and small case series. Previous reviews have predominantly focused on general circumcision complications without providing an in-depth synthesis of severe glans-specific injuries or integrating clinical findings with medicolegal perspectives </w:t>
      </w:r>
      <w:sdt>
        <w:sdtPr>
          <w:rPr>
            <w:rFonts w:ascii="Times New Roman" w:hAnsi="Times New Roman" w:cs="Times New Roman"/>
            <w:color w:val="000000"/>
          </w:rPr>
          <w:tag w:val="MENDELEY_CITATION_v3_eyJjaXRhdGlvbklEIjoiTUVOREVMRVlfQ0lUQVRJT05fZGE4M2VhMDYtNzU4OC00ODA0LTk5YWQtMWE2ODI0NmEyOTAw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
          <w:id w:val="773991567"/>
          <w:placeholder>
            <w:docPart w:val="DefaultPlaceholder_-1854013440"/>
          </w:placeholder>
        </w:sdtPr>
        <w:sdtContent>
          <w:r w:rsidR="008A4369" w:rsidRPr="008A4369">
            <w:rPr>
              <w:rFonts w:ascii="Times New Roman" w:hAnsi="Times New Roman" w:cs="Times New Roman"/>
              <w:color w:val="000000"/>
            </w:rPr>
            <w:t>(Brook, 2016; Krill et al., 2011; Weiss et al., 2010)</w:t>
          </w:r>
        </w:sdtContent>
      </w:sdt>
      <w:r w:rsidRPr="006F6E47">
        <w:rPr>
          <w:rFonts w:ascii="Times New Roman" w:hAnsi="Times New Roman" w:cs="Times New Roman"/>
        </w:rPr>
        <w:t>. As a result, there is a lack of comprehensive understanding regarding the full clinical spectrum, underlying mechanisms, risk factors, and legal implications of iatrogenic glans penis injury during circumcision.</w:t>
      </w:r>
    </w:p>
    <w:p w14:paraId="063FBD78" w14:textId="77777777" w:rsidR="006F6E47" w:rsidRPr="006F6E47" w:rsidRDefault="006F6E47" w:rsidP="006F6E47">
      <w:pPr>
        <w:spacing w:after="0"/>
        <w:ind w:firstLine="630"/>
        <w:jc w:val="both"/>
        <w:rPr>
          <w:rFonts w:ascii="Times New Roman" w:hAnsi="Times New Roman" w:cs="Times New Roman"/>
        </w:rPr>
      </w:pPr>
      <w:r w:rsidRPr="006F6E47">
        <w:rPr>
          <w:rFonts w:ascii="Times New Roman" w:hAnsi="Times New Roman" w:cs="Times New Roman"/>
        </w:rPr>
        <w:t>Therefore, this systematic review aims to synthesize available evidence on the clinical spectrum, mechanisms, risk factors, management outcomes, and medicolegal implications of iatrogenic glans penis injury during circumcision, based on case reports and case series.</w:t>
      </w:r>
    </w:p>
    <w:p w14:paraId="52BC7BCF" w14:textId="77777777" w:rsidR="006F6E47" w:rsidRPr="006F6E47" w:rsidRDefault="006F6E47" w:rsidP="006F6E47">
      <w:pPr>
        <w:spacing w:after="0"/>
        <w:rPr>
          <w:rFonts w:ascii="Times New Roman" w:hAnsi="Times New Roman" w:cs="Times New Roman"/>
        </w:rPr>
      </w:pPr>
      <w:r w:rsidRPr="006F6E47">
        <w:rPr>
          <w:rFonts w:ascii="Times New Roman" w:hAnsi="Times New Roman" w:cs="Times New Roman"/>
        </w:rPr>
        <w:t>This review was guided by the following research questions:</w:t>
      </w:r>
    </w:p>
    <w:p w14:paraId="23E69023" w14:textId="77777777" w:rsidR="006F6E47" w:rsidRPr="006F6E47" w:rsidRDefault="006F6E47" w:rsidP="006F6E47">
      <w:pPr>
        <w:numPr>
          <w:ilvl w:val="0"/>
          <w:numId w:val="1"/>
        </w:numPr>
        <w:tabs>
          <w:tab w:val="clear" w:pos="720"/>
        </w:tabs>
        <w:spacing w:after="0"/>
        <w:ind w:left="360"/>
        <w:rPr>
          <w:rFonts w:ascii="Times New Roman" w:hAnsi="Times New Roman" w:cs="Times New Roman"/>
        </w:rPr>
      </w:pPr>
      <w:r w:rsidRPr="006F6E47">
        <w:rPr>
          <w:rFonts w:ascii="Times New Roman" w:hAnsi="Times New Roman" w:cs="Times New Roman"/>
        </w:rPr>
        <w:t xml:space="preserve">What is the clinical spectrum of iatrogenic glans penis injury during circumcision? </w:t>
      </w:r>
    </w:p>
    <w:p w14:paraId="5F3463AF" w14:textId="77777777" w:rsidR="006F6E47" w:rsidRPr="006F6E47" w:rsidRDefault="006F6E47" w:rsidP="006F6E47">
      <w:pPr>
        <w:numPr>
          <w:ilvl w:val="0"/>
          <w:numId w:val="1"/>
        </w:numPr>
        <w:tabs>
          <w:tab w:val="clear" w:pos="720"/>
        </w:tabs>
        <w:spacing w:after="0"/>
        <w:ind w:left="360"/>
        <w:rPr>
          <w:rFonts w:ascii="Times New Roman" w:hAnsi="Times New Roman" w:cs="Times New Roman"/>
        </w:rPr>
      </w:pPr>
      <w:r w:rsidRPr="006F6E47">
        <w:rPr>
          <w:rFonts w:ascii="Times New Roman" w:hAnsi="Times New Roman" w:cs="Times New Roman"/>
        </w:rPr>
        <w:t xml:space="preserve">What mechanisms and procedural factors contribute to these injuries? </w:t>
      </w:r>
    </w:p>
    <w:p w14:paraId="77E109A9" w14:textId="77777777" w:rsidR="006F6E47" w:rsidRPr="006F6E47" w:rsidRDefault="006F6E47" w:rsidP="006F6E47">
      <w:pPr>
        <w:numPr>
          <w:ilvl w:val="0"/>
          <w:numId w:val="1"/>
        </w:numPr>
        <w:tabs>
          <w:tab w:val="clear" w:pos="720"/>
        </w:tabs>
        <w:spacing w:after="0"/>
        <w:ind w:left="360"/>
        <w:rPr>
          <w:rFonts w:ascii="Times New Roman" w:hAnsi="Times New Roman" w:cs="Times New Roman"/>
        </w:rPr>
      </w:pPr>
      <w:r w:rsidRPr="006F6E47">
        <w:rPr>
          <w:rFonts w:ascii="Times New Roman" w:hAnsi="Times New Roman" w:cs="Times New Roman"/>
        </w:rPr>
        <w:t xml:space="preserve">What are the key risk factors associated with the occurrence of glans injury during circumcision? </w:t>
      </w:r>
    </w:p>
    <w:p w14:paraId="0F3C977A" w14:textId="77777777" w:rsidR="006F6E47" w:rsidRPr="006F6E47" w:rsidRDefault="006F6E47" w:rsidP="006F6E47">
      <w:pPr>
        <w:numPr>
          <w:ilvl w:val="0"/>
          <w:numId w:val="1"/>
        </w:numPr>
        <w:tabs>
          <w:tab w:val="clear" w:pos="720"/>
        </w:tabs>
        <w:spacing w:after="0"/>
        <w:ind w:left="360"/>
        <w:rPr>
          <w:rFonts w:ascii="Times New Roman" w:hAnsi="Times New Roman" w:cs="Times New Roman"/>
        </w:rPr>
      </w:pPr>
      <w:r w:rsidRPr="006F6E47">
        <w:rPr>
          <w:rFonts w:ascii="Times New Roman" w:hAnsi="Times New Roman" w:cs="Times New Roman"/>
        </w:rPr>
        <w:t xml:space="preserve">What management strategies are employed, and what are the associated clinical outcomes? </w:t>
      </w:r>
    </w:p>
    <w:p w14:paraId="228BD932" w14:textId="77777777" w:rsidR="006F6E47" w:rsidRPr="006F6E47" w:rsidRDefault="006F6E47" w:rsidP="006F6E47">
      <w:pPr>
        <w:numPr>
          <w:ilvl w:val="0"/>
          <w:numId w:val="1"/>
        </w:numPr>
        <w:tabs>
          <w:tab w:val="clear" w:pos="720"/>
        </w:tabs>
        <w:spacing w:after="0"/>
        <w:ind w:left="360"/>
        <w:rPr>
          <w:rFonts w:ascii="Times New Roman" w:hAnsi="Times New Roman" w:cs="Times New Roman"/>
        </w:rPr>
      </w:pPr>
      <w:r w:rsidRPr="006F6E47">
        <w:rPr>
          <w:rFonts w:ascii="Times New Roman" w:hAnsi="Times New Roman" w:cs="Times New Roman"/>
        </w:rPr>
        <w:t>What are the medicolegal implications associated with iatrogenic glans penis injury during circumcision?</w:t>
      </w:r>
    </w:p>
    <w:p w14:paraId="232C7252" w14:textId="77777777" w:rsidR="00F16C1B" w:rsidRPr="00F16C1B" w:rsidRDefault="00F16C1B" w:rsidP="0065179B">
      <w:pPr>
        <w:rPr>
          <w:rFonts w:ascii="Times New Roman" w:hAnsi="Times New Roman" w:cs="Times New Roman"/>
        </w:rPr>
      </w:pPr>
    </w:p>
    <w:p w14:paraId="363990D9" w14:textId="2C9D746D" w:rsidR="00A612D0" w:rsidRPr="00CB4678" w:rsidRDefault="00A612D0" w:rsidP="00CB4678">
      <w:pPr>
        <w:spacing w:after="0" w:line="276" w:lineRule="auto"/>
        <w:jc w:val="both"/>
        <w:rPr>
          <w:rFonts w:ascii="Times New Roman" w:hAnsi="Times New Roman" w:cs="Times New Roman"/>
          <w:b/>
          <w:bCs/>
        </w:rPr>
      </w:pPr>
      <w:r w:rsidRPr="00CB4678">
        <w:rPr>
          <w:rFonts w:ascii="Times New Roman" w:hAnsi="Times New Roman" w:cs="Times New Roman"/>
          <w:b/>
          <w:bCs/>
        </w:rPr>
        <w:t>METHOD</w:t>
      </w:r>
    </w:p>
    <w:p w14:paraId="226E6942" w14:textId="65449E5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This systematic review was conducted and reported in accordance with the Preferred Reporting Items for Systematic Reviews and Meta-Analyses (PRISMA) 2020 statement</w:t>
      </w:r>
      <w:r w:rsidR="00D0655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
          <w:id w:val="-255289834"/>
          <w:placeholder>
            <w:docPart w:val="DefaultPlaceholder_-1854013440"/>
          </w:placeholder>
        </w:sdtPr>
        <w:sdtContent>
          <w:r w:rsidR="000B40D5" w:rsidRPr="000B40D5">
            <w:rPr>
              <w:rFonts w:ascii="Times New Roman" w:hAnsi="Times New Roman" w:cs="Times New Roman"/>
              <w:color w:val="000000"/>
            </w:rPr>
            <w:t>(Page et al., 2021)</w:t>
          </w:r>
        </w:sdtContent>
      </w:sdt>
      <w:r w:rsidRPr="00CB4678">
        <w:rPr>
          <w:rFonts w:ascii="Times New Roman" w:hAnsi="Times New Roman" w:cs="Times New Roman"/>
        </w:rPr>
        <w:t>.</w:t>
      </w:r>
    </w:p>
    <w:p w14:paraId="00C8C79F" w14:textId="133044B4"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Study Design and Protocol</w:t>
      </w:r>
    </w:p>
    <w:p w14:paraId="319ECC8B"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This study was designed as a systematic review of case reports and case series to synthesize evidence on the clinical spectrum, mechanisms, risk factors, and medicolegal implications of iatrogenic glans penis injury during circumcision. Given the rarity and ethical constraints surrounding such injuries, case-based evidence was considered the most appropriate source of data for comprehensive analysis.</w:t>
      </w:r>
    </w:p>
    <w:p w14:paraId="3419C9AA" w14:textId="3DC861B1"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Data Sources and Search Strategy</w:t>
      </w:r>
    </w:p>
    <w:p w14:paraId="5C5A4394"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A comprehensive literature search was conducted across six electronic databases: PubMed, ScienceDirect, Cochrane Library, Wiley Online Library, ProQuest, and JSTOR. The search included all studies published up to [insert month and year of last search], without restriction on publication year.</w:t>
      </w:r>
    </w:p>
    <w:p w14:paraId="0DDF6B88"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lastRenderedPageBreak/>
        <w:t>The search strategy combined Medical Subject Headings (MeSH) and free-text terms related to circumcision and penile injury. The core search terms included combinations of:</w:t>
      </w:r>
    </w:p>
    <w:p w14:paraId="4F2D0BA2"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“circumcision” AND (“glans injury” OR “penile injury” OR “glans amputation” OR “penile necrosis” OR “iatrogenic injury” OR “circumcision complication”)</w:t>
      </w:r>
    </w:p>
    <w:p w14:paraId="0E242DC8" w14:textId="77777777" w:rsid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Search strategies were adapted for each database. In addition to database searching, the reference lists of all included studies were manually screened to identify additional relevant articles.</w:t>
      </w:r>
    </w:p>
    <w:p w14:paraId="6BE8EE80" w14:textId="74CA212C" w:rsidR="008F1935" w:rsidRDefault="008F1935" w:rsidP="00D54038">
      <w:pPr>
        <w:spacing w:after="0" w:line="276" w:lineRule="auto"/>
        <w:jc w:val="center"/>
        <w:rPr>
          <w:rFonts w:ascii="Times New Roman" w:hAnsi="Times New Roman" w:cs="Times New Roman"/>
        </w:rPr>
      </w:pPr>
      <w:r w:rsidRPr="008F1935">
        <w:rPr>
          <w:rFonts w:ascii="Times New Roman" w:hAnsi="Times New Roman" w:cs="Times New Roman"/>
          <w:b/>
          <w:bCs/>
        </w:rPr>
        <w:t>Table 1.</w:t>
      </w:r>
      <w:r>
        <w:rPr>
          <w:rFonts w:ascii="Times New Roman" w:hAnsi="Times New Roman" w:cs="Times New Roman"/>
        </w:rPr>
        <w:t xml:space="preserve"> Search Terms in the Databases</w:t>
      </w:r>
    </w:p>
    <w:tbl>
      <w:tblPr>
        <w:tblStyle w:val="TableGrid"/>
        <w:tblW w:w="0" w:type="auto"/>
        <w:tblLook w:val="04A0" w:firstRow="1" w:lastRow="0" w:firstColumn="1" w:lastColumn="0" w:noHBand="0" w:noVBand="1"/>
      </w:tblPr>
      <w:tblGrid>
        <w:gridCol w:w="2155"/>
        <w:gridCol w:w="7195"/>
      </w:tblGrid>
      <w:tr w:rsidR="008F1935" w:rsidRPr="008F1935" w14:paraId="1438B9AE" w14:textId="77777777" w:rsidTr="008F1935">
        <w:tc>
          <w:tcPr>
            <w:tcW w:w="2155" w:type="dxa"/>
          </w:tcPr>
          <w:p w14:paraId="1CCC67F0" w14:textId="1440B2CA" w:rsidR="008F1935" w:rsidRPr="008F1935" w:rsidRDefault="008F1935" w:rsidP="008F1935">
            <w:pPr>
              <w:spacing w:line="276" w:lineRule="auto"/>
              <w:jc w:val="center"/>
              <w:rPr>
                <w:rFonts w:ascii="Times New Roman" w:hAnsi="Times New Roman" w:cs="Times New Roman"/>
                <w:b/>
                <w:bCs/>
              </w:rPr>
            </w:pPr>
            <w:r w:rsidRPr="008F1935">
              <w:rPr>
                <w:rFonts w:ascii="Times New Roman" w:hAnsi="Times New Roman" w:cs="Times New Roman"/>
                <w:b/>
                <w:bCs/>
              </w:rPr>
              <w:t>Databases</w:t>
            </w:r>
          </w:p>
        </w:tc>
        <w:tc>
          <w:tcPr>
            <w:tcW w:w="7195" w:type="dxa"/>
          </w:tcPr>
          <w:p w14:paraId="68BC2087" w14:textId="6E876FCE" w:rsidR="008F1935" w:rsidRPr="008F1935" w:rsidRDefault="008F1935" w:rsidP="008F1935">
            <w:pPr>
              <w:spacing w:line="276" w:lineRule="auto"/>
              <w:jc w:val="center"/>
              <w:rPr>
                <w:rFonts w:ascii="Times New Roman" w:hAnsi="Times New Roman" w:cs="Times New Roman"/>
                <w:b/>
                <w:bCs/>
              </w:rPr>
            </w:pPr>
            <w:r w:rsidRPr="008F1935">
              <w:rPr>
                <w:rFonts w:ascii="Times New Roman" w:hAnsi="Times New Roman" w:cs="Times New Roman"/>
                <w:b/>
                <w:bCs/>
              </w:rPr>
              <w:t>Terms</w:t>
            </w:r>
          </w:p>
        </w:tc>
      </w:tr>
      <w:tr w:rsidR="008F1935" w14:paraId="09F360FF" w14:textId="77777777" w:rsidTr="008F1935">
        <w:tc>
          <w:tcPr>
            <w:tcW w:w="2155" w:type="dxa"/>
          </w:tcPr>
          <w:p w14:paraId="5F380B7F" w14:textId="5D1B60D8" w:rsidR="008F1935" w:rsidRDefault="008F1935" w:rsidP="00CB4678">
            <w:pPr>
              <w:spacing w:line="276" w:lineRule="auto"/>
              <w:jc w:val="both"/>
              <w:rPr>
                <w:rFonts w:ascii="Times New Roman" w:hAnsi="Times New Roman" w:cs="Times New Roman"/>
              </w:rPr>
            </w:pPr>
            <w:r>
              <w:rPr>
                <w:rFonts w:ascii="Times New Roman" w:hAnsi="Times New Roman" w:cs="Times New Roman"/>
              </w:rPr>
              <w:t>PubMed</w:t>
            </w:r>
          </w:p>
        </w:tc>
        <w:tc>
          <w:tcPr>
            <w:tcW w:w="7195" w:type="dxa"/>
          </w:tcPr>
          <w:p w14:paraId="041DE553" w14:textId="09996216" w:rsidR="008F1935" w:rsidRDefault="008F1935" w:rsidP="00CB4678">
            <w:pPr>
              <w:spacing w:line="276" w:lineRule="auto"/>
              <w:jc w:val="both"/>
              <w:rPr>
                <w:rFonts w:ascii="Times New Roman" w:hAnsi="Times New Roman" w:cs="Times New Roman"/>
              </w:rPr>
            </w:pPr>
            <w:r w:rsidRPr="008F1935">
              <w:rPr>
                <w:rFonts w:ascii="Times New Roman" w:hAnsi="Times New Roman" w:cs="Times New Roman"/>
              </w:rPr>
              <w:t xml:space="preserve">(“Circumcision, </w:t>
            </w:r>
            <w:proofErr w:type="gramStart"/>
            <w:r w:rsidRPr="008F1935">
              <w:rPr>
                <w:rFonts w:ascii="Times New Roman" w:hAnsi="Times New Roman" w:cs="Times New Roman"/>
              </w:rPr>
              <w:t>Male”[</w:t>
            </w:r>
            <w:proofErr w:type="gramEnd"/>
            <w:r w:rsidRPr="008F1935">
              <w:rPr>
                <w:rFonts w:ascii="Times New Roman" w:hAnsi="Times New Roman" w:cs="Times New Roman"/>
              </w:rPr>
              <w:t xml:space="preserve">Mesh] OR circumcision[tiab]) AND (“Penile </w:t>
            </w:r>
            <w:proofErr w:type="gramStart"/>
            <w:r w:rsidRPr="008F1935">
              <w:rPr>
                <w:rFonts w:ascii="Times New Roman" w:hAnsi="Times New Roman" w:cs="Times New Roman"/>
              </w:rPr>
              <w:t>Injuries”[</w:t>
            </w:r>
            <w:proofErr w:type="gramEnd"/>
            <w:r w:rsidRPr="008F1935">
              <w:rPr>
                <w:rFonts w:ascii="Times New Roman" w:hAnsi="Times New Roman" w:cs="Times New Roman"/>
              </w:rPr>
              <w:t xml:space="preserve">Mesh] OR “glans </w:t>
            </w:r>
            <w:proofErr w:type="gramStart"/>
            <w:r w:rsidRPr="008F1935">
              <w:rPr>
                <w:rFonts w:ascii="Times New Roman" w:hAnsi="Times New Roman" w:cs="Times New Roman"/>
              </w:rPr>
              <w:t>penis”[</w:t>
            </w:r>
            <w:proofErr w:type="gramEnd"/>
            <w:r w:rsidRPr="008F1935">
              <w:rPr>
                <w:rFonts w:ascii="Times New Roman" w:hAnsi="Times New Roman" w:cs="Times New Roman"/>
              </w:rPr>
              <w:t xml:space="preserve">tiab] OR “penile </w:t>
            </w:r>
            <w:proofErr w:type="gramStart"/>
            <w:r w:rsidRPr="008F1935">
              <w:rPr>
                <w:rFonts w:ascii="Times New Roman" w:hAnsi="Times New Roman" w:cs="Times New Roman"/>
              </w:rPr>
              <w:t>injury”[</w:t>
            </w:r>
            <w:proofErr w:type="gramEnd"/>
            <w:r w:rsidRPr="008F1935">
              <w:rPr>
                <w:rFonts w:ascii="Times New Roman" w:hAnsi="Times New Roman" w:cs="Times New Roman"/>
              </w:rPr>
              <w:t xml:space="preserve">tiab] OR “glans </w:t>
            </w:r>
            <w:proofErr w:type="gramStart"/>
            <w:r w:rsidRPr="008F1935">
              <w:rPr>
                <w:rFonts w:ascii="Times New Roman" w:hAnsi="Times New Roman" w:cs="Times New Roman"/>
              </w:rPr>
              <w:t>injury”[</w:t>
            </w:r>
            <w:proofErr w:type="gramEnd"/>
            <w:r w:rsidRPr="008F1935">
              <w:rPr>
                <w:rFonts w:ascii="Times New Roman" w:hAnsi="Times New Roman" w:cs="Times New Roman"/>
              </w:rPr>
              <w:t xml:space="preserve">tiab] OR “glans </w:t>
            </w:r>
            <w:proofErr w:type="gramStart"/>
            <w:r w:rsidRPr="008F1935">
              <w:rPr>
                <w:rFonts w:ascii="Times New Roman" w:hAnsi="Times New Roman" w:cs="Times New Roman"/>
              </w:rPr>
              <w:t>amputation”[</w:t>
            </w:r>
            <w:proofErr w:type="gramEnd"/>
            <w:r w:rsidRPr="008F1935">
              <w:rPr>
                <w:rFonts w:ascii="Times New Roman" w:hAnsi="Times New Roman" w:cs="Times New Roman"/>
              </w:rPr>
              <w:t xml:space="preserve">tiab] OR “penile </w:t>
            </w:r>
            <w:proofErr w:type="gramStart"/>
            <w:r w:rsidRPr="008F1935">
              <w:rPr>
                <w:rFonts w:ascii="Times New Roman" w:hAnsi="Times New Roman" w:cs="Times New Roman"/>
              </w:rPr>
              <w:t>amputation”[</w:t>
            </w:r>
            <w:proofErr w:type="gramEnd"/>
            <w:r w:rsidRPr="008F1935">
              <w:rPr>
                <w:rFonts w:ascii="Times New Roman" w:hAnsi="Times New Roman" w:cs="Times New Roman"/>
              </w:rPr>
              <w:t xml:space="preserve">tiab] OR “penile </w:t>
            </w:r>
            <w:proofErr w:type="gramStart"/>
            <w:r w:rsidRPr="008F1935">
              <w:rPr>
                <w:rFonts w:ascii="Times New Roman" w:hAnsi="Times New Roman" w:cs="Times New Roman"/>
              </w:rPr>
              <w:t>necrosis”[</w:t>
            </w:r>
            <w:proofErr w:type="gramEnd"/>
            <w:r w:rsidRPr="008F1935">
              <w:rPr>
                <w:rFonts w:ascii="Times New Roman" w:hAnsi="Times New Roman" w:cs="Times New Roman"/>
              </w:rPr>
              <w:t xml:space="preserve">tiab]) AND (“Iatrogenic </w:t>
            </w:r>
            <w:proofErr w:type="gramStart"/>
            <w:r w:rsidRPr="008F1935">
              <w:rPr>
                <w:rFonts w:ascii="Times New Roman" w:hAnsi="Times New Roman" w:cs="Times New Roman"/>
              </w:rPr>
              <w:t>Disease”[</w:t>
            </w:r>
            <w:proofErr w:type="gramEnd"/>
            <w:r w:rsidRPr="008F1935">
              <w:rPr>
                <w:rFonts w:ascii="Times New Roman" w:hAnsi="Times New Roman" w:cs="Times New Roman"/>
              </w:rPr>
              <w:t>Mesh] OR iatrogenic[tiab] OR complication*[tiab] OR adverse event*[tiab])</w:t>
            </w:r>
          </w:p>
        </w:tc>
      </w:tr>
      <w:tr w:rsidR="008F1935" w14:paraId="0EEE5C34" w14:textId="77777777" w:rsidTr="008F1935">
        <w:tc>
          <w:tcPr>
            <w:tcW w:w="2155" w:type="dxa"/>
          </w:tcPr>
          <w:p w14:paraId="58DCC0D2" w14:textId="61D27C57" w:rsidR="008F1935" w:rsidRDefault="00AF7DB5" w:rsidP="00CB4678">
            <w:pPr>
              <w:spacing w:line="276" w:lineRule="auto"/>
              <w:jc w:val="both"/>
              <w:rPr>
                <w:rFonts w:ascii="Times New Roman" w:hAnsi="Times New Roman" w:cs="Times New Roman"/>
              </w:rPr>
            </w:pPr>
            <w:r>
              <w:rPr>
                <w:rFonts w:ascii="Times New Roman" w:hAnsi="Times New Roman" w:cs="Times New Roman"/>
              </w:rPr>
              <w:t>Sciencedirect</w:t>
            </w:r>
          </w:p>
        </w:tc>
        <w:tc>
          <w:tcPr>
            <w:tcW w:w="7195" w:type="dxa"/>
          </w:tcPr>
          <w:p w14:paraId="27DE1C3F" w14:textId="4832CA41"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TITLE-ABSTR-KEY (circumcision AND (“glans injury” OR “penile injury” OR “glans amputation” OR “penile amputation” OR “penile necrosis” OR “circumcision complication” OR iatrogenic))</w:t>
            </w:r>
          </w:p>
        </w:tc>
      </w:tr>
      <w:tr w:rsidR="008F1935" w14:paraId="715DF573" w14:textId="77777777" w:rsidTr="008F1935">
        <w:tc>
          <w:tcPr>
            <w:tcW w:w="2155" w:type="dxa"/>
          </w:tcPr>
          <w:p w14:paraId="6953FD05" w14:textId="5A7219A1" w:rsidR="008F1935" w:rsidRDefault="00AF7DB5" w:rsidP="00CB4678">
            <w:pPr>
              <w:spacing w:line="276" w:lineRule="auto"/>
              <w:jc w:val="both"/>
              <w:rPr>
                <w:rFonts w:ascii="Times New Roman" w:hAnsi="Times New Roman" w:cs="Times New Roman"/>
              </w:rPr>
            </w:pPr>
            <w:r>
              <w:rPr>
                <w:rFonts w:ascii="Times New Roman" w:hAnsi="Times New Roman" w:cs="Times New Roman"/>
              </w:rPr>
              <w:t>Cochrane Library</w:t>
            </w:r>
          </w:p>
        </w:tc>
        <w:tc>
          <w:tcPr>
            <w:tcW w:w="7195" w:type="dxa"/>
          </w:tcPr>
          <w:p w14:paraId="561EA99E" w14:textId="1373F26A"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(circumcision</w:t>
            </w:r>
            <w:proofErr w:type="gramStart"/>
            <w:r w:rsidRPr="00AF7DB5">
              <w:rPr>
                <w:rFonts w:ascii="Times New Roman" w:hAnsi="Times New Roman" w:cs="Times New Roman"/>
              </w:rPr>
              <w:t>):ti</w:t>
            </w:r>
            <w:proofErr w:type="gramEnd"/>
            <w:r w:rsidRPr="00AF7DB5">
              <w:rPr>
                <w:rFonts w:ascii="Times New Roman" w:hAnsi="Times New Roman" w:cs="Times New Roman"/>
              </w:rPr>
              <w:t>,</w:t>
            </w:r>
            <w:proofErr w:type="gramStart"/>
            <w:r w:rsidRPr="00AF7DB5">
              <w:rPr>
                <w:rFonts w:ascii="Times New Roman" w:hAnsi="Times New Roman" w:cs="Times New Roman"/>
              </w:rPr>
              <w:t>ab,kw</w:t>
            </w:r>
            <w:proofErr w:type="gramEnd"/>
            <w:r w:rsidRPr="00AF7DB5">
              <w:rPr>
                <w:rFonts w:ascii="Times New Roman" w:hAnsi="Times New Roman" w:cs="Times New Roman"/>
              </w:rPr>
              <w:t xml:space="preserve"> AND (“glans injury” OR “penile injury” OR “penile amputation” OR “glans amputation” OR “penile necrosis” OR iatrogenic OR complication</w:t>
            </w:r>
            <w:proofErr w:type="gramStart"/>
            <w:r w:rsidRPr="00AF7DB5">
              <w:rPr>
                <w:rFonts w:ascii="Times New Roman" w:hAnsi="Times New Roman" w:cs="Times New Roman"/>
              </w:rPr>
              <w:t>):ti</w:t>
            </w:r>
            <w:proofErr w:type="gramEnd"/>
            <w:r w:rsidRPr="00AF7DB5">
              <w:rPr>
                <w:rFonts w:ascii="Times New Roman" w:hAnsi="Times New Roman" w:cs="Times New Roman"/>
              </w:rPr>
              <w:t>,</w:t>
            </w:r>
            <w:proofErr w:type="gramStart"/>
            <w:r w:rsidRPr="00AF7DB5">
              <w:rPr>
                <w:rFonts w:ascii="Times New Roman" w:hAnsi="Times New Roman" w:cs="Times New Roman"/>
              </w:rPr>
              <w:t>ab,kw</w:t>
            </w:r>
            <w:proofErr w:type="gramEnd"/>
          </w:p>
        </w:tc>
      </w:tr>
      <w:tr w:rsidR="008F1935" w14:paraId="1586E99B" w14:textId="77777777" w:rsidTr="008F1935">
        <w:tc>
          <w:tcPr>
            <w:tcW w:w="2155" w:type="dxa"/>
          </w:tcPr>
          <w:p w14:paraId="3C9E41ED" w14:textId="42CF0F17" w:rsidR="008F1935" w:rsidRDefault="00AF7DB5" w:rsidP="00CB4678">
            <w:pPr>
              <w:spacing w:line="276" w:lineRule="auto"/>
              <w:jc w:val="both"/>
              <w:rPr>
                <w:rFonts w:ascii="Times New Roman" w:hAnsi="Times New Roman" w:cs="Times New Roman"/>
              </w:rPr>
            </w:pPr>
            <w:r>
              <w:rPr>
                <w:rFonts w:ascii="Times New Roman" w:hAnsi="Times New Roman" w:cs="Times New Roman"/>
              </w:rPr>
              <w:t>Wiley Online Library</w:t>
            </w:r>
          </w:p>
        </w:tc>
        <w:tc>
          <w:tcPr>
            <w:tcW w:w="7195" w:type="dxa"/>
          </w:tcPr>
          <w:p w14:paraId="1E53F266" w14:textId="54F8F755"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circumcision AND (“glans injury” OR “penile injury” OR “glans amputation” OR “penile amputation” OR “penile necrosis” OR iatrogenic OR complication)</w:t>
            </w:r>
          </w:p>
        </w:tc>
      </w:tr>
      <w:tr w:rsidR="008F1935" w14:paraId="0F3AD4B9" w14:textId="77777777" w:rsidTr="008F1935">
        <w:tc>
          <w:tcPr>
            <w:tcW w:w="2155" w:type="dxa"/>
          </w:tcPr>
          <w:p w14:paraId="73BC9BC6" w14:textId="1519069D" w:rsidR="008F1935" w:rsidRDefault="00AF7DB5" w:rsidP="00CB4678">
            <w:pPr>
              <w:spacing w:line="276" w:lineRule="auto"/>
              <w:jc w:val="both"/>
              <w:rPr>
                <w:rFonts w:ascii="Times New Roman" w:hAnsi="Times New Roman" w:cs="Times New Roman"/>
              </w:rPr>
            </w:pPr>
            <w:r>
              <w:rPr>
                <w:rFonts w:ascii="Times New Roman" w:hAnsi="Times New Roman" w:cs="Times New Roman"/>
              </w:rPr>
              <w:t>Proquest</w:t>
            </w:r>
          </w:p>
        </w:tc>
        <w:tc>
          <w:tcPr>
            <w:tcW w:w="7195" w:type="dxa"/>
          </w:tcPr>
          <w:p w14:paraId="25B0EB2D" w14:textId="4BB35A1E" w:rsidR="008F1935" w:rsidRDefault="00AF7DB5" w:rsidP="00CB4678">
            <w:pPr>
              <w:spacing w:line="276" w:lineRule="auto"/>
              <w:jc w:val="both"/>
              <w:rPr>
                <w:rFonts w:ascii="Times New Roman" w:hAnsi="Times New Roman" w:cs="Times New Roman"/>
              </w:rPr>
            </w:pPr>
            <w:proofErr w:type="gramStart"/>
            <w:r w:rsidRPr="00AF7DB5">
              <w:rPr>
                <w:rFonts w:ascii="Times New Roman" w:hAnsi="Times New Roman" w:cs="Times New Roman"/>
              </w:rPr>
              <w:t>AB(</w:t>
            </w:r>
            <w:proofErr w:type="gramEnd"/>
            <w:r w:rsidRPr="00AF7DB5">
              <w:rPr>
                <w:rFonts w:ascii="Times New Roman" w:hAnsi="Times New Roman" w:cs="Times New Roman"/>
              </w:rPr>
              <w:t>circumcision AND (“glans injury” OR “penile injury” OR “glans amputation” OR “penile amputation” OR “penile necrosis” OR iatrogenic OR complication))</w:t>
            </w:r>
          </w:p>
        </w:tc>
      </w:tr>
      <w:tr w:rsidR="00AF7DB5" w14:paraId="4CF7E8B9" w14:textId="77777777" w:rsidTr="008F1935">
        <w:tc>
          <w:tcPr>
            <w:tcW w:w="2155" w:type="dxa"/>
          </w:tcPr>
          <w:p w14:paraId="4088FCA2" w14:textId="305EA9B0" w:rsidR="00AF7DB5" w:rsidRDefault="00AF7DB5" w:rsidP="00CB4678">
            <w:pPr>
              <w:spacing w:line="276" w:lineRule="auto"/>
              <w:jc w:val="both"/>
              <w:rPr>
                <w:rFonts w:ascii="Times New Roman" w:hAnsi="Times New Roman" w:cs="Times New Roman"/>
              </w:rPr>
            </w:pPr>
            <w:r>
              <w:rPr>
                <w:rFonts w:ascii="Times New Roman" w:hAnsi="Times New Roman" w:cs="Times New Roman"/>
              </w:rPr>
              <w:t>JSTOR</w:t>
            </w:r>
          </w:p>
        </w:tc>
        <w:tc>
          <w:tcPr>
            <w:tcW w:w="7195" w:type="dxa"/>
          </w:tcPr>
          <w:p w14:paraId="6250B335" w14:textId="11F760D0" w:rsidR="00AF7DB5" w:rsidRPr="00AF7DB5" w:rsidRDefault="00AF7DB5" w:rsidP="00CB4678">
            <w:pPr>
              <w:spacing w:line="276" w:lineRule="auto"/>
              <w:jc w:val="both"/>
              <w:rPr>
                <w:rFonts w:ascii="Times New Roman" w:hAnsi="Times New Roman" w:cs="Times New Roman"/>
              </w:rPr>
            </w:pPr>
            <w:r w:rsidRPr="00AF7DB5">
              <w:rPr>
                <w:rFonts w:ascii="Times New Roman" w:hAnsi="Times New Roman" w:cs="Times New Roman"/>
              </w:rPr>
              <w:t>circumcision AND (“glans injury” OR “penile injury” OR “penile amputation” OR “glans amputation” OR “penile necrosis” OR iatrogenic OR complication)</w:t>
            </w:r>
          </w:p>
        </w:tc>
      </w:tr>
    </w:tbl>
    <w:p w14:paraId="664BDEC0" w14:textId="77777777" w:rsidR="008F1935" w:rsidRPr="00CB4678" w:rsidRDefault="008F1935" w:rsidP="00CB4678">
      <w:pPr>
        <w:spacing w:after="0" w:line="276" w:lineRule="auto"/>
        <w:jc w:val="both"/>
        <w:rPr>
          <w:rFonts w:ascii="Times New Roman" w:hAnsi="Times New Roman" w:cs="Times New Roman"/>
        </w:rPr>
      </w:pPr>
    </w:p>
    <w:p w14:paraId="1CFD02A9" w14:textId="4B5894E6"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Eligibility Criteria</w:t>
      </w:r>
    </w:p>
    <w:p w14:paraId="315BDF4B"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Studies were considered eligible if they reported cases of iatrogenic injury to the glans penis occurring during or following circumcision. Only case reports and case series were included, as these designs provide detailed clinical descriptions relevant to rare surgical complications. Studies were required to include sufficient clinical information, such as mechanism of injury, management, or outcomes.</w:t>
      </w:r>
    </w:p>
    <w:p w14:paraId="2C92082E"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Studies were excluded if the injury was unrelated to circumcision, resulted from non-iatrogenic trauma, or if the publication type was a review article, editorial, commentary, or conference abstract without full-text data. Non-English publications were also excluded.</w:t>
      </w:r>
    </w:p>
    <w:p w14:paraId="79508E92" w14:textId="2836E90B"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Study Selection</w:t>
      </w:r>
    </w:p>
    <w:p w14:paraId="227A6A48"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lastRenderedPageBreak/>
        <w:t>All records identified through the database search were imported into a reference management tool, and duplicate entries were removed. Titles and abstracts were independently screened by two reviewers to identify potentially relevant studies. Full-text articles of selected records were then retrieved and assessed for eligibility.</w:t>
      </w:r>
    </w:p>
    <w:p w14:paraId="4D4C0DB8"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Disagreements between reviewers during the selection process were resolved through discussion, and when necessary, a third reviewer was consulted to reach consensus.</w:t>
      </w:r>
    </w:p>
    <w:p w14:paraId="79B72335" w14:textId="5D9718D8"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Data Extraction</w:t>
      </w:r>
    </w:p>
    <w:p w14:paraId="01CEA085"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Data extraction was performed independently by two reviewers using a standardized and pre-piloted data extraction form in Microsoft Excel. The extracted data included study characteristics (author, year of publication, country, and study design), patient demographics (age and clinical context), clinical characteristics (type and severity of injury), mechanisms of injury, risk factors (including operator type and surgical technique), management approaches, clinical outcomes, and any reported medicolegal aspects.</w:t>
      </w:r>
    </w:p>
    <w:p w14:paraId="6EF0AFF5"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To ensure data accuracy and consistency, a third reviewer cross-checked the extracted data.</w:t>
      </w:r>
    </w:p>
    <w:p w14:paraId="229B3934" w14:textId="08A10C1C"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Data Synthesis</w:t>
      </w:r>
    </w:p>
    <w:p w14:paraId="37EE395D"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Due to the descriptive nature of case reports and case series, quantitative meta-analysis was not feasible. Therefore, a narrative synthesis approach was employed. The findings were systematically categorized into four main domains: clinical spectrum of injury, mechanisms and risk factors, management and outcomes, and medicolegal implications.</w:t>
      </w:r>
    </w:p>
    <w:p w14:paraId="491B6479" w14:textId="255A4865"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Quality Assessment</w:t>
      </w:r>
    </w:p>
    <w:p w14:paraId="3AEA5EEF"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The methodological quality of the included studies was assessed using the Joanna Briggs Institute (JBI) Critical Appraisal Checklist for Case Reports and Case Series. Each study was independently evaluated by two reviewers, and discrepancies were resolved through discussion. The results of the quality assessment were summarized to provide an overall appraisal of the included evidence.</w:t>
      </w:r>
    </w:p>
    <w:p w14:paraId="1C743BAC" w14:textId="77777777" w:rsidR="00A612D0" w:rsidRDefault="00A612D0" w:rsidP="0065179B"/>
    <w:p w14:paraId="1B227B70" w14:textId="06A2E589" w:rsidR="003C4870" w:rsidRDefault="003C4870" w:rsidP="0065179B">
      <w:pPr>
        <w:rPr>
          <w:rFonts w:ascii="Times New Roman" w:hAnsi="Times New Roman" w:cs="Times New Roman"/>
          <w:b/>
          <w:bCs/>
        </w:rPr>
      </w:pPr>
      <w:r w:rsidRPr="003C4870">
        <w:rPr>
          <w:rFonts w:ascii="Times New Roman" w:hAnsi="Times New Roman" w:cs="Times New Roman"/>
          <w:b/>
          <w:bCs/>
        </w:rPr>
        <w:t>RESULT</w:t>
      </w:r>
    </w:p>
    <w:p w14:paraId="5E40C40C" w14:textId="77777777" w:rsidR="00FA4AFC" w:rsidRPr="00FA4AFC" w:rsidRDefault="00FA4AFC" w:rsidP="00FA4AFC">
      <w:pPr>
        <w:spacing w:after="0"/>
        <w:ind w:firstLine="630"/>
        <w:jc w:val="both"/>
        <w:rPr>
          <w:rFonts w:ascii="Times New Roman" w:hAnsi="Times New Roman" w:cs="Times New Roman"/>
        </w:rPr>
      </w:pPr>
      <w:r w:rsidRPr="00FA4AFC">
        <w:rPr>
          <w:rFonts w:ascii="Times New Roman" w:hAnsi="Times New Roman" w:cs="Times New Roman"/>
        </w:rPr>
        <w:t>A total of 417 records were identified through database searching across PubMed, ScienceDirect, Cochrane Library, Wiley Online Library, ProQuest, and JSTOR. After removal of duplicates, 289 records remained for title and abstract screening.</w:t>
      </w:r>
    </w:p>
    <w:p w14:paraId="75ADFACA" w14:textId="77777777" w:rsidR="00FA4AFC" w:rsidRPr="00FA4AFC" w:rsidRDefault="00FA4AFC" w:rsidP="00FA4AFC">
      <w:pPr>
        <w:spacing w:after="0"/>
        <w:ind w:firstLine="630"/>
        <w:jc w:val="both"/>
        <w:rPr>
          <w:rFonts w:ascii="Times New Roman" w:hAnsi="Times New Roman" w:cs="Times New Roman"/>
        </w:rPr>
      </w:pPr>
      <w:r w:rsidRPr="00FA4AFC">
        <w:rPr>
          <w:rFonts w:ascii="Times New Roman" w:hAnsi="Times New Roman" w:cs="Times New Roman"/>
        </w:rPr>
        <w:t>During the screening phase, 231 records were excluded due to lack of relevance, including studies not related to circumcision, those not involving glans or penile injury, and non-clinical publications. A total of 58 full-text articles were subsequently assessed for eligibility.</w:t>
      </w:r>
    </w:p>
    <w:p w14:paraId="2E7B0FF2" w14:textId="61F28DE4" w:rsidR="00FA4AFC" w:rsidRPr="00FA4AFC" w:rsidRDefault="00FA4AFC" w:rsidP="00FA4AFC">
      <w:pPr>
        <w:spacing w:after="0"/>
        <w:ind w:firstLine="630"/>
        <w:jc w:val="both"/>
        <w:rPr>
          <w:rFonts w:ascii="Times New Roman" w:hAnsi="Times New Roman" w:cs="Times New Roman"/>
        </w:rPr>
      </w:pPr>
      <w:r w:rsidRPr="00FA4AFC">
        <w:rPr>
          <w:rFonts w:ascii="Times New Roman" w:hAnsi="Times New Roman" w:cs="Times New Roman"/>
        </w:rPr>
        <w:t xml:space="preserve">Of these, </w:t>
      </w:r>
      <w:r w:rsidR="00DA793E">
        <w:rPr>
          <w:rFonts w:ascii="Times New Roman" w:hAnsi="Times New Roman" w:cs="Times New Roman"/>
        </w:rPr>
        <w:t>3</w:t>
      </w:r>
      <w:r w:rsidR="002B01A2">
        <w:rPr>
          <w:rFonts w:ascii="Times New Roman" w:hAnsi="Times New Roman" w:cs="Times New Roman"/>
        </w:rPr>
        <w:t>1</w:t>
      </w:r>
      <w:r w:rsidRPr="00FA4AFC">
        <w:rPr>
          <w:rFonts w:ascii="Times New Roman" w:hAnsi="Times New Roman" w:cs="Times New Roman"/>
        </w:rPr>
        <w:t xml:space="preserve"> articles were excluded for specific reasons, including injuries </w:t>
      </w:r>
      <w:r w:rsidR="00ED1CF4" w:rsidRPr="00ED1CF4">
        <w:rPr>
          <w:rFonts w:ascii="Times New Roman" w:hAnsi="Times New Roman" w:cs="Times New Roman"/>
        </w:rPr>
        <w:t>Unspecified glans injury (n= 19)</w:t>
      </w:r>
      <w:r w:rsidRPr="00FA4AFC">
        <w:rPr>
          <w:rFonts w:ascii="Times New Roman" w:hAnsi="Times New Roman" w:cs="Times New Roman"/>
        </w:rPr>
        <w:t xml:space="preserve">, studies not related to circumcision (n = </w:t>
      </w:r>
      <w:r w:rsidR="008A6548">
        <w:rPr>
          <w:rFonts w:ascii="Times New Roman" w:hAnsi="Times New Roman" w:cs="Times New Roman"/>
        </w:rPr>
        <w:t>8</w:t>
      </w:r>
      <w:r w:rsidRPr="00FA4AFC">
        <w:rPr>
          <w:rFonts w:ascii="Times New Roman" w:hAnsi="Times New Roman" w:cs="Times New Roman"/>
        </w:rPr>
        <w:t xml:space="preserve">), </w:t>
      </w:r>
      <w:r w:rsidR="008A6548">
        <w:rPr>
          <w:rFonts w:ascii="Times New Roman" w:hAnsi="Times New Roman" w:cs="Times New Roman"/>
        </w:rPr>
        <w:t xml:space="preserve">and </w:t>
      </w:r>
      <w:r w:rsidRPr="00FA4AFC">
        <w:rPr>
          <w:rFonts w:ascii="Times New Roman" w:hAnsi="Times New Roman" w:cs="Times New Roman"/>
        </w:rPr>
        <w:t xml:space="preserve">insufficient clinical detail (n = </w:t>
      </w:r>
      <w:r w:rsidR="008A6548">
        <w:rPr>
          <w:rFonts w:ascii="Times New Roman" w:hAnsi="Times New Roman" w:cs="Times New Roman"/>
        </w:rPr>
        <w:t>4)</w:t>
      </w:r>
      <w:r w:rsidRPr="00FA4AFC">
        <w:rPr>
          <w:rFonts w:ascii="Times New Roman" w:hAnsi="Times New Roman" w:cs="Times New Roman"/>
        </w:rPr>
        <w:t>.</w:t>
      </w:r>
    </w:p>
    <w:p w14:paraId="421F746E" w14:textId="30A67DF0" w:rsidR="00FA4AFC" w:rsidRDefault="00FA4AFC" w:rsidP="00FA4AFC">
      <w:pPr>
        <w:spacing w:after="0"/>
        <w:ind w:firstLine="630"/>
        <w:jc w:val="both"/>
        <w:rPr>
          <w:rFonts w:ascii="Times New Roman" w:hAnsi="Times New Roman" w:cs="Times New Roman"/>
        </w:rPr>
      </w:pPr>
      <w:r w:rsidRPr="00FA4AFC">
        <w:rPr>
          <w:rFonts w:ascii="Times New Roman" w:hAnsi="Times New Roman" w:cs="Times New Roman"/>
        </w:rPr>
        <w:t xml:space="preserve">Ultimately, </w:t>
      </w:r>
      <w:r w:rsidR="00654717">
        <w:rPr>
          <w:rFonts w:ascii="Times New Roman" w:hAnsi="Times New Roman" w:cs="Times New Roman"/>
        </w:rPr>
        <w:t>2</w:t>
      </w:r>
      <w:r w:rsidR="0074572E">
        <w:rPr>
          <w:rFonts w:ascii="Times New Roman" w:hAnsi="Times New Roman" w:cs="Times New Roman"/>
        </w:rPr>
        <w:t>7</w:t>
      </w:r>
      <w:r w:rsidRPr="00FA4AFC">
        <w:rPr>
          <w:rFonts w:ascii="Times New Roman" w:hAnsi="Times New Roman" w:cs="Times New Roman"/>
        </w:rPr>
        <w:t xml:space="preserve"> studies were included in the qualitative synthesis. Among these, 20 studies met the criteria for inclusion in the primary clinical analysis, while the remaining </w:t>
      </w:r>
      <w:r w:rsidR="0074572E">
        <w:rPr>
          <w:rFonts w:ascii="Times New Roman" w:hAnsi="Times New Roman" w:cs="Times New Roman"/>
        </w:rPr>
        <w:t>7</w:t>
      </w:r>
      <w:r w:rsidR="0070693B">
        <w:rPr>
          <w:rFonts w:ascii="Times New Roman" w:hAnsi="Times New Roman" w:cs="Times New Roman"/>
        </w:rPr>
        <w:t xml:space="preserve"> </w:t>
      </w:r>
      <w:r w:rsidRPr="00FA4AFC">
        <w:rPr>
          <w:rFonts w:ascii="Times New Roman" w:hAnsi="Times New Roman" w:cs="Times New Roman"/>
        </w:rPr>
        <w:t>studies contributed contextual and medicolegal insights. The study selection process is illustrated in the PRISMA 2020 flow diagram</w:t>
      </w:r>
      <w:r w:rsidR="00A37A2E">
        <w:rPr>
          <w:rFonts w:ascii="Times New Roman" w:hAnsi="Times New Roman" w:cs="Times New Roman"/>
        </w:rPr>
        <w:t xml:space="preserve"> (Figure 1)</w:t>
      </w:r>
      <w:r w:rsidRPr="00FA4AFC">
        <w:rPr>
          <w:rFonts w:ascii="Times New Roman" w:hAnsi="Times New Roman" w:cs="Times New Roman"/>
        </w:rPr>
        <w:t>.</w:t>
      </w:r>
    </w:p>
    <w:p w14:paraId="50159616" w14:textId="77777777" w:rsidR="008A4369" w:rsidRDefault="008A4369" w:rsidP="00FA4AFC">
      <w:pPr>
        <w:spacing w:after="0"/>
        <w:ind w:firstLine="630"/>
        <w:jc w:val="both"/>
        <w:rPr>
          <w:rFonts w:ascii="Times New Roman" w:hAnsi="Times New Roman" w:cs="Times New Roman"/>
        </w:rPr>
      </w:pPr>
    </w:p>
    <w:p w14:paraId="05FF26EA" w14:textId="77777777" w:rsidR="008A4369" w:rsidRDefault="008A4369" w:rsidP="00FA4AFC">
      <w:pPr>
        <w:spacing w:after="0"/>
        <w:ind w:firstLine="630"/>
        <w:jc w:val="both"/>
        <w:rPr>
          <w:rFonts w:ascii="Times New Roman" w:hAnsi="Times New Roman" w:cs="Times New Roman"/>
        </w:rPr>
      </w:pPr>
    </w:p>
    <w:p w14:paraId="7EEF07FE" w14:textId="77777777" w:rsidR="008A4369" w:rsidRDefault="008A4369" w:rsidP="00FA4AFC">
      <w:pPr>
        <w:spacing w:after="0"/>
        <w:ind w:firstLine="630"/>
        <w:jc w:val="both"/>
        <w:rPr>
          <w:rFonts w:ascii="Times New Roman" w:hAnsi="Times New Roman" w:cs="Times New Roman"/>
        </w:rPr>
      </w:pPr>
    </w:p>
    <w:p w14:paraId="6DC09399" w14:textId="77777777" w:rsidR="008A4369" w:rsidRDefault="008A4369" w:rsidP="00FA4AFC">
      <w:pPr>
        <w:spacing w:after="0"/>
        <w:ind w:firstLine="630"/>
        <w:jc w:val="both"/>
        <w:rPr>
          <w:rFonts w:ascii="Times New Roman" w:hAnsi="Times New Roman" w:cs="Times New Roman"/>
        </w:rPr>
      </w:pPr>
    </w:p>
    <w:p w14:paraId="4E520088" w14:textId="77777777" w:rsidR="008A4369" w:rsidRPr="00FA4AFC" w:rsidRDefault="008A4369" w:rsidP="00FA4AFC">
      <w:pPr>
        <w:spacing w:after="0"/>
        <w:ind w:firstLine="630"/>
        <w:jc w:val="both"/>
        <w:rPr>
          <w:rFonts w:ascii="Times New Roman" w:hAnsi="Times New Roman" w:cs="Times New Roman"/>
        </w:rPr>
      </w:pPr>
    </w:p>
    <w:p w14:paraId="111E2C80" w14:textId="57B7714E" w:rsidR="00A612D0" w:rsidRDefault="00103C5F" w:rsidP="0065179B">
      <w:r w:rsidRPr="00B175BC">
        <w:rPr>
          <w:rFonts w:ascii="Times New Roman" w:hAnsi="Times New Roman" w:cs="Times New Roman"/>
          <w:bCs/>
          <w:i/>
          <w:iCs/>
          <w:noProof/>
        </w:rPr>
        <mc:AlternateContent>
          <mc:Choice Requires="wpg">
            <w:drawing>
              <wp:anchor distT="0" distB="0" distL="114300" distR="114300" simplePos="0" relativeHeight="251659264" behindDoc="0" locked="0" layoutInCell="1" allowOverlap="1" wp14:anchorId="33829CF2" wp14:editId="31BC132B">
                <wp:simplePos x="0" y="0"/>
                <wp:positionH relativeFrom="column">
                  <wp:posOffset>0</wp:posOffset>
                </wp:positionH>
                <wp:positionV relativeFrom="paragraph">
                  <wp:posOffset>0</wp:posOffset>
                </wp:positionV>
                <wp:extent cx="5218430" cy="5602605"/>
                <wp:effectExtent l="0" t="0" r="20320" b="17145"/>
                <wp:wrapNone/>
                <wp:docPr id="1504262150" name="Group 1"/>
                <wp:cNvGraphicFramePr/>
                <a:graphic xmlns:a="http://schemas.openxmlformats.org/drawingml/2006/main">
                  <a:graphicData uri="http://schemas.microsoft.com/office/word/2010/wordprocessingGroup">
                    <wpg:wgp>
                      <wpg:cNvGrpSpPr/>
                      <wpg:grpSpPr>
                        <a:xfrm>
                          <a:off x="0" y="0"/>
                          <a:ext cx="5218430" cy="5602605"/>
                          <a:chOff x="0" y="0"/>
                          <a:chExt cx="5219064" cy="5603190"/>
                        </a:xfrm>
                      </wpg:grpSpPr>
                      <wps:wsp>
                        <wps:cNvPr id="809011724" name="Flowchart: Alternate Process 3"/>
                        <wps:cNvSpPr>
                          <a:spLocks noChangeArrowheads="1"/>
                        </wps:cNvSpPr>
                        <wps:spPr bwMode="auto">
                          <a:xfrm rot="-5400000">
                            <a:off x="-270193" y="4284027"/>
                            <a:ext cx="818515" cy="278130"/>
                          </a:xfrm>
                          <a:prstGeom prst="flowChartAlternateProcess">
                            <a:avLst/>
                          </a:prstGeom>
                          <a:solidFill>
                            <a:srgbClr val="92CDDC"/>
                          </a:solidFill>
                          <a:ln w="12700">
                            <a:solidFill>
                              <a:srgbClr val="000000"/>
                            </a:solidFill>
                            <a:miter lim="800000"/>
                            <a:headEnd/>
                            <a:tailEnd/>
                          </a:ln>
                        </wps:spPr>
                        <wps:txbx>
                          <w:txbxContent>
                            <w:p w14:paraId="17ACA61D" w14:textId="77777777" w:rsidR="00103C5F" w:rsidRPr="009930A3" w:rsidRDefault="00103C5F" w:rsidP="00103C5F">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Included</w:t>
                              </w:r>
                            </w:p>
                          </w:txbxContent>
                        </wps:txbx>
                        <wps:bodyPr rot="0" vert="vert270" wrap="square" lIns="91440" tIns="45720" rIns="91440" bIns="45720" anchor="ctr" anchorCtr="0" upright="1">
                          <a:noAutofit/>
                        </wps:bodyPr>
                      </wps:wsp>
                      <wps:wsp>
                        <wps:cNvPr id="1604113846" name="Rectangle 23"/>
                        <wps:cNvSpPr>
                          <a:spLocks noChangeArrowheads="1"/>
                        </wps:cNvSpPr>
                        <wps:spPr bwMode="auto">
                          <a:xfrm>
                            <a:off x="575309" y="386715"/>
                            <a:ext cx="1997710" cy="114109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429556" w14:textId="77777777" w:rsidR="00103C5F" w:rsidRPr="00FD39C6" w:rsidRDefault="00103C5F" w:rsidP="00FD39C6">
                              <w:pPr>
                                <w:spacing w:after="0" w:line="240" w:lineRule="auto"/>
                                <w:rPr>
                                  <w:rFonts w:ascii="Times New Roman" w:hAnsi="Times New Roman" w:cs="Times New Roman"/>
                                  <w:color w:val="000000"/>
                                  <w:sz w:val="16"/>
                                  <w:szCs w:val="16"/>
                                </w:rPr>
                              </w:pPr>
                              <w:r w:rsidRPr="00FD39C6">
                                <w:rPr>
                                  <w:rFonts w:ascii="Times New Roman" w:hAnsi="Times New Roman" w:cs="Times New Roman"/>
                                  <w:color w:val="000000"/>
                                  <w:sz w:val="16"/>
                                  <w:szCs w:val="16"/>
                                </w:rPr>
                                <w:t>Records identified from*:</w:t>
                              </w:r>
                            </w:p>
                            <w:p w14:paraId="1867FD08" w14:textId="4C8B48C0" w:rsidR="00103C5F" w:rsidRPr="00FD39C6" w:rsidRDefault="00103C5F"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PubMed (n= 1</w:t>
                              </w:r>
                              <w:r w:rsidR="00FD39C6">
                                <w:rPr>
                                  <w:rFonts w:ascii="Times New Roman" w:hAnsi="Times New Roman" w:cs="Times New Roman"/>
                                  <w:color w:val="000000"/>
                                  <w:sz w:val="16"/>
                                  <w:szCs w:val="16"/>
                                </w:rPr>
                                <w:t>12</w:t>
                              </w:r>
                              <w:r w:rsidRPr="00FD39C6">
                                <w:rPr>
                                  <w:rFonts w:ascii="Times New Roman" w:hAnsi="Times New Roman" w:cs="Times New Roman"/>
                                  <w:color w:val="000000"/>
                                  <w:sz w:val="16"/>
                                  <w:szCs w:val="16"/>
                                </w:rPr>
                                <w:t>)</w:t>
                              </w:r>
                            </w:p>
                            <w:p w14:paraId="4F215DC1" w14:textId="7E1E0A36" w:rsidR="00103C5F" w:rsidRPr="00FD39C6" w:rsidRDefault="00103C5F"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Sciencedirect (n= </w:t>
                              </w:r>
                              <w:r w:rsidR="00FD39C6">
                                <w:rPr>
                                  <w:rFonts w:ascii="Times New Roman" w:hAnsi="Times New Roman" w:cs="Times New Roman"/>
                                  <w:color w:val="000000"/>
                                  <w:sz w:val="16"/>
                                  <w:szCs w:val="16"/>
                                </w:rPr>
                                <w:t>95</w:t>
                              </w:r>
                              <w:r w:rsidRPr="00FD39C6">
                                <w:rPr>
                                  <w:rFonts w:ascii="Times New Roman" w:hAnsi="Times New Roman" w:cs="Times New Roman"/>
                                  <w:color w:val="000000"/>
                                  <w:sz w:val="16"/>
                                  <w:szCs w:val="16"/>
                                </w:rPr>
                                <w:t>)</w:t>
                              </w:r>
                            </w:p>
                            <w:p w14:paraId="2F950204" w14:textId="78155B1F" w:rsidR="00FD39C6" w:rsidRP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Cochrane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(n= 1</w:t>
                              </w:r>
                              <w:r>
                                <w:rPr>
                                  <w:rFonts w:ascii="Times New Roman" w:hAnsi="Times New Roman" w:cs="Times New Roman"/>
                                  <w:color w:val="000000"/>
                                  <w:sz w:val="16"/>
                                  <w:szCs w:val="16"/>
                                </w:rPr>
                                <w:t>8</w:t>
                              </w:r>
                              <w:r w:rsidRPr="00FD39C6">
                                <w:rPr>
                                  <w:rFonts w:ascii="Times New Roman" w:hAnsi="Times New Roman" w:cs="Times New Roman"/>
                                  <w:color w:val="000000"/>
                                  <w:sz w:val="16"/>
                                  <w:szCs w:val="16"/>
                                </w:rPr>
                                <w:t>)</w:t>
                              </w:r>
                            </w:p>
                            <w:p w14:paraId="0A27AD28" w14:textId="093CCF5C" w:rsid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Wiley Online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64</w:t>
                              </w:r>
                              <w:r w:rsidRPr="00FD39C6">
                                <w:rPr>
                                  <w:rFonts w:ascii="Times New Roman" w:hAnsi="Times New Roman" w:cs="Times New Roman"/>
                                  <w:color w:val="000000"/>
                                  <w:sz w:val="16"/>
                                  <w:szCs w:val="16"/>
                                </w:rPr>
                                <w:t>)</w:t>
                              </w:r>
                            </w:p>
                            <w:p w14:paraId="34D319A6" w14:textId="189CCC6F" w:rsid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ProQuest</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87</w:t>
                              </w:r>
                              <w:r w:rsidRPr="00FD39C6">
                                <w:rPr>
                                  <w:rFonts w:ascii="Times New Roman" w:hAnsi="Times New Roman" w:cs="Times New Roman"/>
                                  <w:color w:val="000000"/>
                                  <w:sz w:val="16"/>
                                  <w:szCs w:val="16"/>
                                </w:rPr>
                                <w:t>)</w:t>
                              </w:r>
                            </w:p>
                            <w:p w14:paraId="1E0160F0" w14:textId="28225834" w:rsidR="00FD39C6" w:rsidRP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JSTOR</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41</w:t>
                              </w:r>
                              <w:r w:rsidRPr="00FD39C6">
                                <w:rPr>
                                  <w:rFonts w:ascii="Times New Roman" w:hAnsi="Times New Roman" w:cs="Times New Roman"/>
                                  <w:color w:val="000000"/>
                                  <w:sz w:val="16"/>
                                  <w:szCs w:val="16"/>
                                </w:rPr>
                                <w:t>)</w:t>
                              </w:r>
                            </w:p>
                            <w:p w14:paraId="3803B7B7" w14:textId="77777777" w:rsidR="00EF3F4A" w:rsidRDefault="00EF3F4A" w:rsidP="00EF3F4A">
                              <w:pPr>
                                <w:spacing w:after="0" w:line="240" w:lineRule="auto"/>
                                <w:ind w:left="284"/>
                                <w:rPr>
                                  <w:rFonts w:ascii="Times New Roman" w:hAnsi="Times New Roman" w:cs="Times New Roman"/>
                                  <w:color w:val="000000"/>
                                  <w:sz w:val="16"/>
                                  <w:szCs w:val="16"/>
                                </w:rPr>
                              </w:pPr>
                            </w:p>
                            <w:p w14:paraId="4E16843D" w14:textId="7070F213" w:rsidR="00103C5F" w:rsidRPr="00FD39C6" w:rsidRDefault="00103C5F" w:rsidP="00EF3F4A">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N= </w:t>
                              </w:r>
                              <w:r w:rsidR="004458E6">
                                <w:rPr>
                                  <w:rFonts w:ascii="Times New Roman" w:hAnsi="Times New Roman" w:cs="Times New Roman"/>
                                  <w:color w:val="000000"/>
                                  <w:sz w:val="16"/>
                                  <w:szCs w:val="16"/>
                                </w:rPr>
                                <w:t>417</w:t>
                              </w:r>
                            </w:p>
                          </w:txbxContent>
                        </wps:txbx>
                        <wps:bodyPr rot="0" vert="horz" wrap="square" lIns="91440" tIns="45720" rIns="91440" bIns="45720" anchor="ctr" anchorCtr="0" upright="1">
                          <a:noAutofit/>
                        </wps:bodyPr>
                      </wps:wsp>
                      <wps:wsp>
                        <wps:cNvPr id="1319816956" name="Rectangle 21"/>
                        <wps:cNvSpPr>
                          <a:spLocks noChangeArrowheads="1"/>
                        </wps:cNvSpPr>
                        <wps:spPr bwMode="auto">
                          <a:xfrm>
                            <a:off x="3195954" y="541020"/>
                            <a:ext cx="1997075" cy="93154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CBC817" w14:textId="77777777" w:rsidR="00103C5F" w:rsidRPr="009C57E7" w:rsidRDefault="00103C5F" w:rsidP="00103C5F">
                              <w:pPr>
                                <w:spacing w:after="0"/>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removed </w:t>
                              </w:r>
                              <w:r w:rsidRPr="009C57E7">
                                <w:rPr>
                                  <w:rFonts w:ascii="Times New Roman" w:hAnsi="Times New Roman" w:cs="Times New Roman"/>
                                  <w:i/>
                                  <w:iCs/>
                                  <w:color w:val="000000"/>
                                  <w:sz w:val="18"/>
                                  <w:szCs w:val="20"/>
                                </w:rPr>
                                <w:t>before screening</w:t>
                              </w:r>
                              <w:r w:rsidRPr="009C57E7">
                                <w:rPr>
                                  <w:rFonts w:ascii="Times New Roman" w:hAnsi="Times New Roman" w:cs="Times New Roman"/>
                                  <w:color w:val="000000"/>
                                  <w:sz w:val="18"/>
                                  <w:szCs w:val="20"/>
                                </w:rPr>
                                <w:t>:</w:t>
                              </w:r>
                            </w:p>
                            <w:p w14:paraId="67C7D95E" w14:textId="2DC9A095" w:rsidR="00103C5F" w:rsidRPr="009C57E7" w:rsidRDefault="00103C5F" w:rsidP="00103C5F">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Duplicate records removed (n = </w:t>
                              </w:r>
                              <w:r w:rsidR="00AF0BF4">
                                <w:rPr>
                                  <w:rFonts w:ascii="Times New Roman" w:hAnsi="Times New Roman" w:cs="Times New Roman"/>
                                  <w:color w:val="000000"/>
                                  <w:sz w:val="18"/>
                                  <w:szCs w:val="20"/>
                                </w:rPr>
                                <w:t>48</w:t>
                              </w:r>
                              <w:r w:rsidRPr="009C57E7">
                                <w:rPr>
                                  <w:rFonts w:ascii="Times New Roman" w:hAnsi="Times New Roman" w:cs="Times New Roman"/>
                                  <w:color w:val="000000"/>
                                  <w:sz w:val="18"/>
                                  <w:szCs w:val="20"/>
                                </w:rPr>
                                <w:t>)</w:t>
                              </w:r>
                            </w:p>
                            <w:p w14:paraId="78EAE222" w14:textId="151C8B21" w:rsidR="00103C5F" w:rsidRPr="009C57E7" w:rsidRDefault="00103C5F" w:rsidP="00103C5F">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marked as ineligible by automation tools (n = </w:t>
                              </w:r>
                              <w:r w:rsidR="00AF0BF4">
                                <w:rPr>
                                  <w:rFonts w:ascii="Times New Roman" w:hAnsi="Times New Roman" w:cs="Times New Roman"/>
                                  <w:color w:val="000000"/>
                                  <w:sz w:val="18"/>
                                  <w:szCs w:val="20"/>
                                </w:rPr>
                                <w:t>80</w:t>
                              </w:r>
                              <w:r w:rsidRPr="009C57E7">
                                <w:rPr>
                                  <w:rFonts w:ascii="Times New Roman" w:hAnsi="Times New Roman" w:cs="Times New Roman"/>
                                  <w:color w:val="000000"/>
                                  <w:sz w:val="18"/>
                                  <w:szCs w:val="20"/>
                                </w:rPr>
                                <w:t>)</w:t>
                              </w:r>
                            </w:p>
                          </w:txbxContent>
                        </wps:txbx>
                        <wps:bodyPr rot="0" vert="horz" wrap="square" lIns="91440" tIns="45720" rIns="91440" bIns="45720" anchor="ctr" anchorCtr="0" upright="1">
                          <a:noAutofit/>
                        </wps:bodyPr>
                      </wps:wsp>
                      <wps:wsp>
                        <wps:cNvPr id="1760306206" name="Rectangle 16"/>
                        <wps:cNvSpPr>
                          <a:spLocks noChangeArrowheads="1"/>
                        </wps:cNvSpPr>
                        <wps:spPr bwMode="auto">
                          <a:xfrm>
                            <a:off x="596264" y="1751965"/>
                            <a:ext cx="1997710" cy="5264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59E810" w14:textId="77777777"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screened</w:t>
                              </w:r>
                            </w:p>
                            <w:p w14:paraId="58287B4A" w14:textId="50AA9B7A"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sidR="00AF0BF4">
                                <w:rPr>
                                  <w:rFonts w:ascii="Times New Roman" w:hAnsi="Times New Roman" w:cs="Times New Roman"/>
                                  <w:color w:val="000000"/>
                                  <w:sz w:val="20"/>
                                  <w:szCs w:val="20"/>
                                </w:rPr>
                                <w:t>289</w:t>
                              </w:r>
                              <w:r w:rsidRPr="009C57E7">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729649598" name="Rectangle 17"/>
                        <wps:cNvSpPr>
                          <a:spLocks noChangeArrowheads="1"/>
                        </wps:cNvSpPr>
                        <wps:spPr bwMode="auto">
                          <a:xfrm>
                            <a:off x="3221354" y="1648460"/>
                            <a:ext cx="1997710" cy="5264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041A09" w14:textId="77777777"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excluded**</w:t>
                              </w:r>
                            </w:p>
                            <w:p w14:paraId="3B67A868" w14:textId="6C451E6E"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6E4FA6">
                                <w:rPr>
                                  <w:rFonts w:ascii="Times New Roman" w:hAnsi="Times New Roman" w:cs="Times New Roman"/>
                                  <w:color w:val="000000"/>
                                  <w:sz w:val="20"/>
                                  <w:szCs w:val="20"/>
                                </w:rPr>
                                <w:t>31</w:t>
                              </w:r>
                              <w:r w:rsidRPr="009C57E7">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408754634" name="Rectangle 12"/>
                        <wps:cNvSpPr>
                          <a:spLocks noChangeArrowheads="1"/>
                        </wps:cNvSpPr>
                        <wps:spPr bwMode="auto">
                          <a:xfrm>
                            <a:off x="614044" y="2444750"/>
                            <a:ext cx="1997075" cy="5264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F190F0C" w14:textId="77777777"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sought for retrieval</w:t>
                              </w:r>
                            </w:p>
                            <w:p w14:paraId="6F631E11" w14:textId="6576D597"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 xml:space="preserve">(n = </w:t>
                              </w:r>
                              <w:r w:rsidR="00FC00C0">
                                <w:rPr>
                                  <w:rFonts w:ascii="Times New Roman" w:hAnsi="Times New Roman" w:cs="Times New Roman"/>
                                  <w:color w:val="000000"/>
                                  <w:sz w:val="20"/>
                                  <w:szCs w:val="20"/>
                                </w:rPr>
                                <w:t>58</w:t>
                              </w:r>
                              <w:r w:rsidRPr="00F550AD">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1905675755" name="Rectangle 13"/>
                        <wps:cNvSpPr>
                          <a:spLocks noChangeArrowheads="1"/>
                        </wps:cNvSpPr>
                        <wps:spPr bwMode="auto">
                          <a:xfrm>
                            <a:off x="3179444" y="2501900"/>
                            <a:ext cx="1997710" cy="46926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2BDFE3" w14:textId="77777777"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not retrieved</w:t>
                              </w:r>
                            </w:p>
                            <w:p w14:paraId="6E38CEA5" w14:textId="0B6E18A9"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(n =</w:t>
                              </w:r>
                              <w:r w:rsidR="00FC00C0">
                                <w:rPr>
                                  <w:rFonts w:ascii="Times New Roman" w:hAnsi="Times New Roman" w:cs="Times New Roman"/>
                                  <w:color w:val="000000"/>
                                  <w:sz w:val="20"/>
                                  <w:szCs w:val="20"/>
                                </w:rPr>
                                <w:t>0</w:t>
                              </w:r>
                              <w:r w:rsidRPr="00F550AD">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858678384" name="Rectangle 7"/>
                        <wps:cNvSpPr>
                          <a:spLocks noChangeArrowheads="1"/>
                        </wps:cNvSpPr>
                        <wps:spPr bwMode="auto">
                          <a:xfrm>
                            <a:off x="495651" y="3256915"/>
                            <a:ext cx="1997710" cy="53806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890A6B" w14:textId="77777777" w:rsidR="00103C5F" w:rsidRPr="008B67E8" w:rsidRDefault="00103C5F" w:rsidP="00103C5F">
                              <w:pPr>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assessed for eligibility</w:t>
                              </w:r>
                            </w:p>
                            <w:p w14:paraId="13616F82" w14:textId="248E8AC3" w:rsidR="00103C5F" w:rsidRPr="0017358C" w:rsidRDefault="00103C5F" w:rsidP="00103C5F">
                              <w:pPr>
                                <w:rPr>
                                  <w:rFonts w:ascii="Arial" w:hAnsi="Arial" w:cs="Arial"/>
                                  <w:color w:val="000000"/>
                                  <w:sz w:val="18"/>
                                  <w:szCs w:val="20"/>
                                </w:rPr>
                              </w:pPr>
                              <w:r w:rsidRPr="0017358C">
                                <w:rPr>
                                  <w:rFonts w:ascii="Arial" w:hAnsi="Arial" w:cs="Arial"/>
                                  <w:color w:val="000000"/>
                                  <w:sz w:val="18"/>
                                  <w:szCs w:val="20"/>
                                </w:rPr>
                                <w:t xml:space="preserve">(n = </w:t>
                              </w:r>
                              <w:r w:rsidR="00FC00C0">
                                <w:rPr>
                                  <w:rFonts w:ascii="Arial" w:hAnsi="Arial" w:cs="Arial"/>
                                  <w:color w:val="000000"/>
                                  <w:sz w:val="18"/>
                                  <w:szCs w:val="20"/>
                                </w:rPr>
                                <w:t>58</w:t>
                              </w:r>
                              <w:r w:rsidRPr="0017358C">
                                <w:rPr>
                                  <w:rFonts w:ascii="Arial" w:hAnsi="Arial" w:cs="Arial"/>
                                  <w:color w:val="000000"/>
                                  <w:sz w:val="18"/>
                                  <w:szCs w:val="20"/>
                                </w:rPr>
                                <w:t>)</w:t>
                              </w:r>
                            </w:p>
                          </w:txbxContent>
                        </wps:txbx>
                        <wps:bodyPr rot="0" vert="horz" wrap="square" lIns="91440" tIns="45720" rIns="91440" bIns="45720" anchor="ctr" anchorCtr="0" upright="1">
                          <a:noAutofit/>
                        </wps:bodyPr>
                      </wps:wsp>
                      <wps:wsp>
                        <wps:cNvPr id="1579363223" name="Rectangle 8"/>
                        <wps:cNvSpPr>
                          <a:spLocks noChangeArrowheads="1"/>
                        </wps:cNvSpPr>
                        <wps:spPr bwMode="auto">
                          <a:xfrm>
                            <a:off x="3220572" y="3054350"/>
                            <a:ext cx="1997710" cy="1613794"/>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530EB7" w14:textId="77777777"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excluded:</w:t>
                              </w:r>
                            </w:p>
                            <w:p w14:paraId="2B6859C6" w14:textId="627956B9" w:rsidR="00103C5F" w:rsidRDefault="00FB3995" w:rsidP="00103C5F">
                              <w:pPr>
                                <w:spacing w:line="240" w:lineRule="auto"/>
                                <w:ind w:left="284"/>
                                <w:rPr>
                                  <w:rFonts w:ascii="Times New Roman" w:hAnsi="Times New Roman" w:cs="Times New Roman"/>
                                  <w:color w:val="000000"/>
                                  <w:sz w:val="20"/>
                                  <w:szCs w:val="20"/>
                                </w:rPr>
                              </w:pPr>
                              <w:r>
                                <w:rPr>
                                  <w:rFonts w:ascii="Times New Roman" w:hAnsi="Times New Roman" w:cs="Times New Roman"/>
                                  <w:color w:val="000000"/>
                                  <w:sz w:val="20"/>
                                  <w:szCs w:val="20"/>
                                </w:rPr>
                                <w:t>Unspecified glans injury</w:t>
                              </w:r>
                              <w:r w:rsidR="00103C5F">
                                <w:rPr>
                                  <w:rFonts w:ascii="Times New Roman" w:hAnsi="Times New Roman" w:cs="Times New Roman"/>
                                  <w:color w:val="000000"/>
                                  <w:sz w:val="20"/>
                                  <w:szCs w:val="20"/>
                                </w:rPr>
                                <w:t xml:space="preserve"> (n= </w:t>
                              </w:r>
                              <w:r w:rsidR="009B49B6">
                                <w:rPr>
                                  <w:rFonts w:ascii="Times New Roman" w:hAnsi="Times New Roman" w:cs="Times New Roman"/>
                                  <w:color w:val="000000"/>
                                  <w:sz w:val="20"/>
                                  <w:szCs w:val="20"/>
                                </w:rPr>
                                <w:t>19</w:t>
                              </w:r>
                              <w:r w:rsidR="00103C5F">
                                <w:rPr>
                                  <w:rFonts w:ascii="Times New Roman" w:hAnsi="Times New Roman" w:cs="Times New Roman"/>
                                  <w:color w:val="000000"/>
                                  <w:sz w:val="20"/>
                                  <w:szCs w:val="20"/>
                                </w:rPr>
                                <w:t>)</w:t>
                              </w:r>
                            </w:p>
                            <w:p w14:paraId="5D48CBDB" w14:textId="07568835" w:rsidR="00103C5F" w:rsidRDefault="00103C5F" w:rsidP="00103C5F">
                              <w:pPr>
                                <w:spacing w:line="240" w:lineRule="auto"/>
                                <w:ind w:left="284"/>
                                <w:rPr>
                                  <w:rFonts w:ascii="Times New Roman" w:hAnsi="Times New Roman" w:cs="Times New Roman"/>
                                  <w:color w:val="000000"/>
                                  <w:sz w:val="20"/>
                                  <w:szCs w:val="20"/>
                                </w:rPr>
                              </w:pPr>
                              <w:r>
                                <w:rPr>
                                  <w:rFonts w:ascii="Times New Roman" w:hAnsi="Times New Roman" w:cs="Times New Roman"/>
                                  <w:color w:val="000000"/>
                                  <w:sz w:val="20"/>
                                  <w:szCs w:val="20"/>
                                </w:rPr>
                                <w:t xml:space="preserve">Not </w:t>
                              </w:r>
                              <w:r w:rsidR="00643ECB">
                                <w:rPr>
                                  <w:rFonts w:ascii="Times New Roman" w:hAnsi="Times New Roman" w:cs="Times New Roman"/>
                                  <w:color w:val="000000"/>
                                  <w:sz w:val="20"/>
                                  <w:szCs w:val="20"/>
                                </w:rPr>
                                <w:t>related to C</w:t>
                              </w:r>
                              <w:r w:rsidR="002504FB">
                                <w:rPr>
                                  <w:rFonts w:ascii="Times New Roman" w:hAnsi="Times New Roman" w:cs="Times New Roman"/>
                                  <w:color w:val="000000"/>
                                  <w:sz w:val="20"/>
                                  <w:szCs w:val="20"/>
                                </w:rPr>
                                <w:t>i</w:t>
                              </w:r>
                              <w:r w:rsidR="00643ECB">
                                <w:rPr>
                                  <w:rFonts w:ascii="Times New Roman" w:hAnsi="Times New Roman" w:cs="Times New Roman"/>
                                  <w:color w:val="000000"/>
                                  <w:sz w:val="20"/>
                                  <w:szCs w:val="20"/>
                                </w:rPr>
                                <w:t>rcumcision</w:t>
                              </w:r>
                              <w:r>
                                <w:rPr>
                                  <w:rFonts w:ascii="Times New Roman" w:hAnsi="Times New Roman" w:cs="Times New Roman"/>
                                  <w:color w:val="000000"/>
                                  <w:sz w:val="20"/>
                                  <w:szCs w:val="20"/>
                                </w:rPr>
                                <w:t xml:space="preserve"> (n=</w:t>
                              </w:r>
                              <w:r w:rsidR="009B49B6">
                                <w:rPr>
                                  <w:rFonts w:ascii="Times New Roman" w:hAnsi="Times New Roman" w:cs="Times New Roman"/>
                                  <w:color w:val="000000"/>
                                  <w:sz w:val="20"/>
                                  <w:szCs w:val="20"/>
                                </w:rPr>
                                <w:t>8</w:t>
                              </w:r>
                              <w:r>
                                <w:rPr>
                                  <w:rFonts w:ascii="Times New Roman" w:hAnsi="Times New Roman" w:cs="Times New Roman"/>
                                  <w:color w:val="000000"/>
                                  <w:sz w:val="20"/>
                                  <w:szCs w:val="20"/>
                                </w:rPr>
                                <w:t>)</w:t>
                              </w:r>
                            </w:p>
                            <w:p w14:paraId="4CC182F9" w14:textId="12687C9B" w:rsidR="00103C5F" w:rsidRPr="008B67E8" w:rsidRDefault="00643ECB" w:rsidP="00103C5F">
                              <w:pPr>
                                <w:spacing w:line="240" w:lineRule="auto"/>
                                <w:ind w:left="284"/>
                                <w:rPr>
                                  <w:rFonts w:ascii="Times New Roman" w:hAnsi="Times New Roman" w:cs="Times New Roman"/>
                                  <w:color w:val="000000"/>
                                  <w:sz w:val="20"/>
                                  <w:szCs w:val="20"/>
                                </w:rPr>
                              </w:pPr>
                              <w:r w:rsidRPr="00643ECB">
                                <w:rPr>
                                  <w:rFonts w:ascii="Times New Roman" w:hAnsi="Times New Roman" w:cs="Times New Roman"/>
                                  <w:color w:val="000000"/>
                                  <w:sz w:val="20"/>
                                  <w:szCs w:val="20"/>
                                </w:rPr>
                                <w:t>Insufficient clinical data</w:t>
                              </w:r>
                              <w:r w:rsidR="00103C5F">
                                <w:rPr>
                                  <w:rFonts w:ascii="Times New Roman" w:hAnsi="Times New Roman" w:cs="Times New Roman"/>
                                  <w:color w:val="000000"/>
                                  <w:sz w:val="20"/>
                                  <w:szCs w:val="20"/>
                                </w:rPr>
                                <w:t xml:space="preserve"> (n=</w:t>
                              </w:r>
                              <w:r w:rsidR="009B49B6">
                                <w:rPr>
                                  <w:rFonts w:ascii="Times New Roman" w:hAnsi="Times New Roman" w:cs="Times New Roman"/>
                                  <w:color w:val="000000"/>
                                  <w:sz w:val="20"/>
                                  <w:szCs w:val="20"/>
                                </w:rPr>
                                <w:t>4</w:t>
                              </w:r>
                              <w:r w:rsidR="00103C5F">
                                <w:rPr>
                                  <w:rFonts w:ascii="Times New Roman" w:hAnsi="Times New Roman" w:cs="Times New Roman"/>
                                  <w:color w:val="000000"/>
                                  <w:sz w:val="20"/>
                                  <w:szCs w:val="20"/>
                                </w:rPr>
                                <w:t>)</w:t>
                              </w:r>
                            </w:p>
                            <w:p w14:paraId="36CA724F" w14:textId="77777777" w:rsidR="00103C5F" w:rsidRPr="0017358C" w:rsidRDefault="00103C5F" w:rsidP="00103C5F">
                              <w:pPr>
                                <w:rPr>
                                  <w:rFonts w:ascii="Arial" w:hAnsi="Arial" w:cs="Arial"/>
                                  <w:color w:val="000000"/>
                                  <w:sz w:val="18"/>
                                  <w:szCs w:val="20"/>
                                </w:rPr>
                              </w:pPr>
                            </w:p>
                          </w:txbxContent>
                        </wps:txbx>
                        <wps:bodyPr rot="0" vert="horz" wrap="square" lIns="91440" tIns="45720" rIns="91440" bIns="45720" anchor="ctr" anchorCtr="0" upright="1">
                          <a:noAutofit/>
                        </wps:bodyPr>
                      </wps:wsp>
                      <wps:wsp>
                        <wps:cNvPr id="1643736462" name="Rectangle 5"/>
                        <wps:cNvSpPr>
                          <a:spLocks noChangeArrowheads="1"/>
                        </wps:cNvSpPr>
                        <wps:spPr bwMode="auto">
                          <a:xfrm>
                            <a:off x="614045" y="4005281"/>
                            <a:ext cx="1997710" cy="662863"/>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ECC21A" w14:textId="77777777"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New studies included in review</w:t>
                              </w:r>
                            </w:p>
                            <w:p w14:paraId="29DF2701" w14:textId="6A6B29A0"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8B67E8">
                                <w:rPr>
                                  <w:rFonts w:ascii="Times New Roman" w:hAnsi="Times New Roman" w:cs="Times New Roman"/>
                                  <w:color w:val="000000"/>
                                  <w:sz w:val="20"/>
                                  <w:szCs w:val="20"/>
                                </w:rPr>
                                <w:t>)</w:t>
                              </w:r>
                            </w:p>
                            <w:p w14:paraId="70E816BF" w14:textId="77777777"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of new included studies</w:t>
                              </w:r>
                            </w:p>
                            <w:p w14:paraId="12BD7EDF" w14:textId="35322087" w:rsidR="00103C5F" w:rsidRPr="008B67E8" w:rsidRDefault="00103C5F" w:rsidP="00103C5F">
                              <w:pPr>
                                <w:spacing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8B67E8">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633524686" name="Straight Arrow Connector 20"/>
                        <wps:cNvCnPr>
                          <a:cxnSpLocks noChangeShapeType="1"/>
                        </wps:cNvCnPr>
                        <wps:spPr bwMode="auto">
                          <a:xfrm>
                            <a:off x="2605404" y="1127125"/>
                            <a:ext cx="595630"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85432138" name="Straight Arrow Connector 15"/>
                        <wps:cNvCnPr>
                          <a:cxnSpLocks noChangeShapeType="1"/>
                        </wps:cNvCnPr>
                        <wps:spPr bwMode="auto">
                          <a:xfrm>
                            <a:off x="2625724" y="1925320"/>
                            <a:ext cx="595630"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41107729" name="Straight Arrow Connector 9"/>
                        <wps:cNvCnPr>
                          <a:cxnSpLocks noChangeShapeType="1"/>
                        </wps:cNvCnPr>
                        <wps:spPr bwMode="auto">
                          <a:xfrm>
                            <a:off x="2611119" y="2664460"/>
                            <a:ext cx="596265"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95417779" name="Straight Arrow Connector 6"/>
                        <wps:cNvCnPr>
                          <a:cxnSpLocks noChangeShapeType="1"/>
                        </wps:cNvCnPr>
                        <wps:spPr bwMode="auto">
                          <a:xfrm>
                            <a:off x="2493058" y="3475639"/>
                            <a:ext cx="727905"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072212541" name="Flowchart: Alternate Process 24"/>
                        <wps:cNvSpPr>
                          <a:spLocks noChangeArrowheads="1"/>
                        </wps:cNvSpPr>
                        <wps:spPr bwMode="auto">
                          <a:xfrm>
                            <a:off x="348614" y="0"/>
                            <a:ext cx="4598670" cy="262890"/>
                          </a:xfrm>
                          <a:prstGeom prst="flowChartAlternateProcess">
                            <a:avLst/>
                          </a:prstGeom>
                          <a:solidFill>
                            <a:srgbClr val="8064A2"/>
                          </a:solidFill>
                          <a:ln w="12700">
                            <a:solidFill>
                              <a:srgbClr val="3F3151"/>
                            </a:solidFill>
                            <a:miter lim="800000"/>
                            <a:headEnd/>
                            <a:tailEnd/>
                          </a:ln>
                        </wps:spPr>
                        <wps:txbx>
                          <w:txbxContent>
                            <w:p w14:paraId="73F40C21" w14:textId="77777777" w:rsidR="00103C5F" w:rsidRPr="008B67E8" w:rsidRDefault="00103C5F" w:rsidP="00103C5F">
                              <w:pPr>
                                <w:jc w:val="center"/>
                                <w:rPr>
                                  <w:rFonts w:ascii="Times New Roman" w:hAnsi="Times New Roman" w:cs="Times New Roman"/>
                                  <w:b/>
                                  <w:color w:val="000000"/>
                                  <w:sz w:val="20"/>
                                  <w:szCs w:val="20"/>
                                </w:rPr>
                              </w:pPr>
                              <w:r w:rsidRPr="008B67E8">
                                <w:rPr>
                                  <w:rFonts w:ascii="Times New Roman" w:hAnsi="Times New Roman" w:cs="Times New Roman"/>
                                  <w:b/>
                                  <w:color w:val="000000"/>
                                  <w:sz w:val="20"/>
                                  <w:szCs w:val="20"/>
                                </w:rPr>
                                <w:t>Identification of new studies via databases and registers</w:t>
                              </w:r>
                            </w:p>
                          </w:txbxContent>
                        </wps:txbx>
                        <wps:bodyPr rot="0" vert="horz" wrap="square" lIns="91440" tIns="45720" rIns="91440" bIns="45720" anchor="ctr" anchorCtr="0" upright="1">
                          <a:noAutofit/>
                        </wps:bodyPr>
                      </wps:wsp>
                      <wps:wsp>
                        <wps:cNvPr id="1488067700" name="Flowchart: Alternate Process 22"/>
                        <wps:cNvSpPr>
                          <a:spLocks noChangeArrowheads="1"/>
                        </wps:cNvSpPr>
                        <wps:spPr bwMode="auto">
                          <a:xfrm rot="-5400000">
                            <a:off x="-407036" y="946785"/>
                            <a:ext cx="1097915" cy="278130"/>
                          </a:xfrm>
                          <a:prstGeom prst="flowChartAlternateProcess">
                            <a:avLst/>
                          </a:prstGeom>
                          <a:solidFill>
                            <a:srgbClr val="92CDDC"/>
                          </a:solidFill>
                          <a:ln w="12700">
                            <a:solidFill>
                              <a:srgbClr val="000000"/>
                            </a:solidFill>
                            <a:miter lim="800000"/>
                            <a:headEnd/>
                            <a:tailEnd/>
                          </a:ln>
                        </wps:spPr>
                        <wps:txbx>
                          <w:txbxContent>
                            <w:p w14:paraId="439D1AF7" w14:textId="77777777" w:rsidR="00103C5F" w:rsidRPr="009930A3" w:rsidRDefault="00103C5F" w:rsidP="00103C5F">
                              <w:pPr>
                                <w:spacing w:after="0"/>
                                <w:jc w:val="center"/>
                                <w:rPr>
                                  <w:rFonts w:ascii="Times New Roman" w:hAnsi="Times New Roman" w:cs="Times New Roman"/>
                                  <w:b/>
                                  <w:color w:val="000000"/>
                                </w:rPr>
                              </w:pPr>
                              <w:r w:rsidRPr="009930A3">
                                <w:rPr>
                                  <w:rFonts w:ascii="Times New Roman" w:hAnsi="Times New Roman" w:cs="Times New Roman"/>
                                  <w:b/>
                                  <w:color w:val="000000"/>
                                </w:rPr>
                                <w:t>Identification</w:t>
                              </w:r>
                            </w:p>
                          </w:txbxContent>
                        </wps:txbx>
                        <wps:bodyPr rot="0" vert="vert270" wrap="square" lIns="91440" tIns="45720" rIns="91440" bIns="45720" anchor="ctr" anchorCtr="0" upright="1">
                          <a:noAutofit/>
                        </wps:bodyPr>
                      </wps:wsp>
                      <wps:wsp>
                        <wps:cNvPr id="360941211" name="Flowchart: Alternate Process 18"/>
                        <wps:cNvSpPr>
                          <a:spLocks noChangeArrowheads="1"/>
                        </wps:cNvSpPr>
                        <wps:spPr bwMode="auto">
                          <a:xfrm rot="16200000">
                            <a:off x="-324804" y="2032318"/>
                            <a:ext cx="955040" cy="291464"/>
                          </a:xfrm>
                          <a:prstGeom prst="flowChartAlternateProcess">
                            <a:avLst/>
                          </a:prstGeom>
                          <a:solidFill>
                            <a:srgbClr val="92CDDC"/>
                          </a:solidFill>
                          <a:ln w="12700">
                            <a:solidFill>
                              <a:srgbClr val="000000"/>
                            </a:solidFill>
                            <a:miter lim="800000"/>
                            <a:headEnd/>
                            <a:tailEnd/>
                          </a:ln>
                        </wps:spPr>
                        <wps:txbx>
                          <w:txbxContent>
                            <w:p w14:paraId="5B48E955" w14:textId="77777777" w:rsidR="00103C5F" w:rsidRPr="009930A3" w:rsidRDefault="00103C5F" w:rsidP="00103C5F">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Screening</w:t>
                              </w:r>
                            </w:p>
                            <w:p w14:paraId="172C3BB9" w14:textId="77777777" w:rsidR="00103C5F" w:rsidRPr="0017358C" w:rsidRDefault="00103C5F" w:rsidP="00103C5F">
                              <w:pPr>
                                <w:spacing w:after="0"/>
                                <w:rPr>
                                  <w:rFonts w:ascii="Arial" w:hAnsi="Arial" w:cs="Arial"/>
                                  <w:b/>
                                  <w:color w:val="000000"/>
                                  <w:sz w:val="18"/>
                                  <w:szCs w:val="18"/>
                                </w:rPr>
                              </w:pPr>
                            </w:p>
                          </w:txbxContent>
                        </wps:txbx>
                        <wps:bodyPr rot="0" vert="vert270" wrap="square" lIns="91440" tIns="45720" rIns="91440" bIns="45720" anchor="ctr" anchorCtr="0" upright="1">
                          <a:noAutofit/>
                        </wps:bodyPr>
                      </wps:wsp>
                      <wps:wsp>
                        <wps:cNvPr id="1707332142" name="Straight Arrow Connector 19"/>
                        <wps:cNvCnPr>
                          <a:cxnSpLocks noChangeShapeType="1"/>
                        </wps:cNvCnPr>
                        <wps:spPr bwMode="auto">
                          <a:xfrm>
                            <a:off x="1496059" y="1508760"/>
                            <a:ext cx="0" cy="28130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82382270" name="Straight Arrow Connector 14"/>
                        <wps:cNvCnPr>
                          <a:cxnSpLocks noChangeShapeType="1"/>
                        </wps:cNvCnPr>
                        <wps:spPr bwMode="auto">
                          <a:xfrm>
                            <a:off x="1490344" y="2204720"/>
                            <a:ext cx="0" cy="28130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89967414" name="Straight Arrow Connector 10"/>
                        <wps:cNvCnPr>
                          <a:cxnSpLocks noChangeShapeType="1"/>
                        </wps:cNvCnPr>
                        <wps:spPr bwMode="auto">
                          <a:xfrm>
                            <a:off x="1496059" y="2933700"/>
                            <a:ext cx="0" cy="28130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92825856" name="Rectangle 1"/>
                        <wps:cNvSpPr>
                          <a:spLocks noChangeArrowheads="1"/>
                        </wps:cNvSpPr>
                        <wps:spPr bwMode="auto">
                          <a:xfrm>
                            <a:off x="628007" y="4832300"/>
                            <a:ext cx="1997710" cy="77089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EE4857" w14:textId="77777777" w:rsidR="00103C5F" w:rsidRPr="00E12104" w:rsidRDefault="00103C5F"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Total studies included in review</w:t>
                              </w:r>
                            </w:p>
                            <w:p w14:paraId="315A2632" w14:textId="037F86CA" w:rsidR="00103C5F" w:rsidRPr="00E12104" w:rsidRDefault="00103C5F"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E12104">
                                <w:rPr>
                                  <w:rFonts w:ascii="Times New Roman" w:hAnsi="Times New Roman" w:cs="Times New Roman"/>
                                  <w:color w:val="000000"/>
                                  <w:sz w:val="20"/>
                                  <w:szCs w:val="20"/>
                                </w:rPr>
                                <w:t>)</w:t>
                              </w:r>
                            </w:p>
                            <w:p w14:paraId="6A7817EA" w14:textId="77777777" w:rsidR="00103C5F" w:rsidRPr="00E12104" w:rsidRDefault="00103C5F"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Reports of total included studies</w:t>
                              </w:r>
                            </w:p>
                            <w:p w14:paraId="1C3A5E5A" w14:textId="38634635" w:rsidR="00103C5F" w:rsidRPr="00E12104" w:rsidRDefault="00103C5F" w:rsidP="00103C5F">
                              <w:pPr>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E12104">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1486667797" name="Straight Arrow Connector 4"/>
                        <wps:cNvCnPr>
                          <a:cxnSpLocks noChangeShapeType="1"/>
                        </wps:cNvCnPr>
                        <wps:spPr bwMode="auto">
                          <a:xfrm>
                            <a:off x="1496058" y="3850305"/>
                            <a:ext cx="8890" cy="1549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01276619" name="Flowchart: Alternate Process 11"/>
                        <wps:cNvSpPr>
                          <a:spLocks noChangeArrowheads="1"/>
                        </wps:cNvSpPr>
                        <wps:spPr bwMode="auto">
                          <a:xfrm rot="-5400000">
                            <a:off x="-331471" y="3270250"/>
                            <a:ext cx="955040" cy="291465"/>
                          </a:xfrm>
                          <a:prstGeom prst="flowChartAlternateProcess">
                            <a:avLst/>
                          </a:prstGeom>
                          <a:solidFill>
                            <a:srgbClr val="92CDDC"/>
                          </a:solidFill>
                          <a:ln w="12700">
                            <a:solidFill>
                              <a:srgbClr val="000000"/>
                            </a:solidFill>
                            <a:miter lim="800000"/>
                            <a:headEnd/>
                            <a:tailEnd/>
                          </a:ln>
                        </wps:spPr>
                        <wps:txbx>
                          <w:txbxContent>
                            <w:p w14:paraId="3AFEDB80" w14:textId="77777777" w:rsidR="00103C5F" w:rsidRPr="009930A3" w:rsidRDefault="00103C5F" w:rsidP="00103C5F">
                              <w:pPr>
                                <w:spacing w:after="0" w:line="240" w:lineRule="auto"/>
                                <w:jc w:val="center"/>
                                <w:rPr>
                                  <w:rFonts w:ascii="Times New Roman" w:hAnsi="Times New Roman" w:cs="Times New Roman"/>
                                  <w:b/>
                                  <w:color w:val="000000"/>
                                </w:rPr>
                              </w:pPr>
                              <w:r>
                                <w:rPr>
                                  <w:rFonts w:ascii="Times New Roman" w:hAnsi="Times New Roman" w:cs="Times New Roman"/>
                                  <w:b/>
                                  <w:color w:val="000000"/>
                                </w:rPr>
                                <w:t>Eligibility</w:t>
                              </w:r>
                            </w:p>
                            <w:p w14:paraId="5E379324" w14:textId="77777777" w:rsidR="00103C5F" w:rsidRPr="0017358C" w:rsidRDefault="00103C5F" w:rsidP="00103C5F">
                              <w:pPr>
                                <w:spacing w:after="0"/>
                                <w:rPr>
                                  <w:rFonts w:ascii="Arial" w:hAnsi="Arial" w:cs="Arial"/>
                                  <w:b/>
                                  <w:color w:val="000000"/>
                                  <w:sz w:val="18"/>
                                  <w:szCs w:val="18"/>
                                </w:rPr>
                              </w:pPr>
                            </w:p>
                          </w:txbxContent>
                        </wps:txbx>
                        <wps:bodyPr rot="0" vert="vert270" wrap="square" lIns="91440" tIns="45720" rIns="91440" bIns="45720" anchor="ctr" anchorCtr="0" upright="1">
                          <a:noAutofit/>
                        </wps:bodyPr>
                      </wps:wsp>
                    </wpg:wgp>
                  </a:graphicData>
                </a:graphic>
                <wp14:sizeRelV relativeFrom="margin">
                  <wp14:pctHeight>0</wp14:pctHeight>
                </wp14:sizeRelV>
              </wp:anchor>
            </w:drawing>
          </mc:Choice>
          <mc:Fallback>
            <w:pict>
              <v:group w14:anchorId="33829CF2" id="Group 1" o:spid="_x0000_s1026" style="position:absolute;margin-left:0;margin-top:0;width:410.9pt;height:441.15pt;z-index:251659264;mso-height-relative:margin" coordsize="52190,56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7" type="#_x0000_t176" style="position:absolute;left:-2702;top:42840;width:8185;height:27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" fillcolor="#92cddc" strokeweight="1pt">
                  <v:textbox style="layout-flow:vertical;mso-layout-flow-alt:bottom-to-top">
                    <w:txbxContent>
                      <w:p w14:paraId="17ACA61D" w14:textId="77777777" w:rsidR="00103C5F" w:rsidRPr="009930A3" w:rsidRDefault="00103C5F" w:rsidP="00103C5F">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Included</w:t>
                        </w:r>
                      </w:p>
                    </w:txbxContent>
                  </v:textbox>
                </v:shape>
                <v:rect id="Rectangle 23" o:spid="_x0000_s1028" style="position:absolute;left:5753;top:3867;width:19977;height:1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" filled="f" strokeweight="1pt">
                  <v:textbox>
                    <w:txbxContent>
                      <w:p w14:paraId="5F429556" w14:textId="77777777" w:rsidR="00103C5F" w:rsidRPr="00FD39C6" w:rsidRDefault="00103C5F" w:rsidP="00FD39C6">
                        <w:pPr>
                          <w:spacing w:after="0" w:line="240" w:lineRule="auto"/>
                          <w:rPr>
                            <w:rFonts w:ascii="Times New Roman" w:hAnsi="Times New Roman" w:cs="Times New Roman"/>
                            <w:color w:val="000000"/>
                            <w:sz w:val="16"/>
                            <w:szCs w:val="16"/>
                          </w:rPr>
                        </w:pPr>
                        <w:r w:rsidRPr="00FD39C6">
                          <w:rPr>
                            <w:rFonts w:ascii="Times New Roman" w:hAnsi="Times New Roman" w:cs="Times New Roman"/>
                            <w:color w:val="000000"/>
                            <w:sz w:val="16"/>
                            <w:szCs w:val="16"/>
                          </w:rPr>
                          <w:t>Records identified from*:</w:t>
                        </w:r>
                      </w:p>
                      <w:p w14:paraId="1867FD08" w14:textId="4C8B48C0" w:rsidR="00103C5F" w:rsidRPr="00FD39C6" w:rsidRDefault="00103C5F"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PubMed (n= 1</w:t>
                        </w:r>
                        <w:r w:rsidR="00FD39C6">
                          <w:rPr>
                            <w:rFonts w:ascii="Times New Roman" w:hAnsi="Times New Roman" w:cs="Times New Roman"/>
                            <w:color w:val="000000"/>
                            <w:sz w:val="16"/>
                            <w:szCs w:val="16"/>
                          </w:rPr>
                          <w:t>12</w:t>
                        </w:r>
                        <w:r w:rsidRPr="00FD39C6">
                          <w:rPr>
                            <w:rFonts w:ascii="Times New Roman" w:hAnsi="Times New Roman" w:cs="Times New Roman"/>
                            <w:color w:val="000000"/>
                            <w:sz w:val="16"/>
                            <w:szCs w:val="16"/>
                          </w:rPr>
                          <w:t>)</w:t>
                        </w:r>
                      </w:p>
                      <w:p w14:paraId="4F215DC1" w14:textId="7E1E0A36" w:rsidR="00103C5F" w:rsidRPr="00FD39C6" w:rsidRDefault="00103C5F"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Sciencedirect (n= </w:t>
                        </w:r>
                        <w:r w:rsidR="00FD39C6">
                          <w:rPr>
                            <w:rFonts w:ascii="Times New Roman" w:hAnsi="Times New Roman" w:cs="Times New Roman"/>
                            <w:color w:val="000000"/>
                            <w:sz w:val="16"/>
                            <w:szCs w:val="16"/>
                          </w:rPr>
                          <w:t>95</w:t>
                        </w:r>
                        <w:r w:rsidRPr="00FD39C6">
                          <w:rPr>
                            <w:rFonts w:ascii="Times New Roman" w:hAnsi="Times New Roman" w:cs="Times New Roman"/>
                            <w:color w:val="000000"/>
                            <w:sz w:val="16"/>
                            <w:szCs w:val="16"/>
                          </w:rPr>
                          <w:t>)</w:t>
                        </w:r>
                      </w:p>
                      <w:p w14:paraId="2F950204" w14:textId="78155B1F" w:rsidR="00FD39C6" w:rsidRP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Cochrane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(n= 1</w:t>
                        </w:r>
                        <w:r>
                          <w:rPr>
                            <w:rFonts w:ascii="Times New Roman" w:hAnsi="Times New Roman" w:cs="Times New Roman"/>
                            <w:color w:val="000000"/>
                            <w:sz w:val="16"/>
                            <w:szCs w:val="16"/>
                          </w:rPr>
                          <w:t>8</w:t>
                        </w:r>
                        <w:r w:rsidRPr="00FD39C6">
                          <w:rPr>
                            <w:rFonts w:ascii="Times New Roman" w:hAnsi="Times New Roman" w:cs="Times New Roman"/>
                            <w:color w:val="000000"/>
                            <w:sz w:val="16"/>
                            <w:szCs w:val="16"/>
                          </w:rPr>
                          <w:t>)</w:t>
                        </w:r>
                      </w:p>
                      <w:p w14:paraId="0A27AD28" w14:textId="093CCF5C" w:rsid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Wiley Online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64</w:t>
                        </w:r>
                        <w:r w:rsidRPr="00FD39C6">
                          <w:rPr>
                            <w:rFonts w:ascii="Times New Roman" w:hAnsi="Times New Roman" w:cs="Times New Roman"/>
                            <w:color w:val="000000"/>
                            <w:sz w:val="16"/>
                            <w:szCs w:val="16"/>
                          </w:rPr>
                          <w:t>)</w:t>
                        </w:r>
                      </w:p>
                      <w:p w14:paraId="34D319A6" w14:textId="189CCC6F" w:rsid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ProQuest</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87</w:t>
                        </w:r>
                        <w:r w:rsidRPr="00FD39C6">
                          <w:rPr>
                            <w:rFonts w:ascii="Times New Roman" w:hAnsi="Times New Roman" w:cs="Times New Roman"/>
                            <w:color w:val="000000"/>
                            <w:sz w:val="16"/>
                            <w:szCs w:val="16"/>
                          </w:rPr>
                          <w:t>)</w:t>
                        </w:r>
                      </w:p>
                      <w:p w14:paraId="1E0160F0" w14:textId="28225834" w:rsidR="00FD39C6" w:rsidRP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JSTOR</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41</w:t>
                        </w:r>
                        <w:r w:rsidRPr="00FD39C6">
                          <w:rPr>
                            <w:rFonts w:ascii="Times New Roman" w:hAnsi="Times New Roman" w:cs="Times New Roman"/>
                            <w:color w:val="000000"/>
                            <w:sz w:val="16"/>
                            <w:szCs w:val="16"/>
                          </w:rPr>
                          <w:t>)</w:t>
                        </w:r>
                      </w:p>
                      <w:p w14:paraId="3803B7B7" w14:textId="77777777" w:rsidR="00EF3F4A" w:rsidRDefault="00EF3F4A" w:rsidP="00EF3F4A">
                        <w:pPr>
                          <w:spacing w:after="0" w:line="240" w:lineRule="auto"/>
                          <w:ind w:left="284"/>
                          <w:rPr>
                            <w:rFonts w:ascii="Times New Roman" w:hAnsi="Times New Roman" w:cs="Times New Roman"/>
                            <w:color w:val="000000"/>
                            <w:sz w:val="16"/>
                            <w:szCs w:val="16"/>
                          </w:rPr>
                        </w:pPr>
                      </w:p>
                      <w:p w14:paraId="4E16843D" w14:textId="7070F213" w:rsidR="00103C5F" w:rsidRPr="00FD39C6" w:rsidRDefault="00103C5F" w:rsidP="00EF3F4A">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N= </w:t>
                        </w:r>
                        <w:r w:rsidR="004458E6">
                          <w:rPr>
                            <w:rFonts w:ascii="Times New Roman" w:hAnsi="Times New Roman" w:cs="Times New Roman"/>
                            <w:color w:val="000000"/>
                            <w:sz w:val="16"/>
                            <w:szCs w:val="16"/>
                          </w:rPr>
                          <w:t>417</w:t>
                        </w:r>
                      </w:p>
                    </w:txbxContent>
                  </v:textbox>
                </v:rect>
                <v:rect id="Rectangle 21" o:spid="_x0000_s1029" style="position:absolute;left:31959;top:5410;width:19971;height:9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" filled="f" strokeweight="1pt">
                  <v:textbox>
                    <w:txbxContent>
                      <w:p w14:paraId="1FCBC817" w14:textId="77777777" w:rsidR="00103C5F" w:rsidRPr="009C57E7" w:rsidRDefault="00103C5F" w:rsidP="00103C5F">
                        <w:pPr>
                          <w:spacing w:after="0"/>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removed </w:t>
                        </w:r>
                        <w:r w:rsidRPr="009C57E7">
                          <w:rPr>
                            <w:rFonts w:ascii="Times New Roman" w:hAnsi="Times New Roman" w:cs="Times New Roman"/>
                            <w:i/>
                            <w:iCs/>
                            <w:color w:val="000000"/>
                            <w:sz w:val="18"/>
                            <w:szCs w:val="20"/>
                          </w:rPr>
                          <w:t>before screening</w:t>
                        </w:r>
                        <w:r w:rsidRPr="009C57E7">
                          <w:rPr>
                            <w:rFonts w:ascii="Times New Roman" w:hAnsi="Times New Roman" w:cs="Times New Roman"/>
                            <w:color w:val="000000"/>
                            <w:sz w:val="18"/>
                            <w:szCs w:val="20"/>
                          </w:rPr>
                          <w:t>:</w:t>
                        </w:r>
                      </w:p>
                      <w:p w14:paraId="67C7D95E" w14:textId="2DC9A095" w:rsidR="00103C5F" w:rsidRPr="009C57E7" w:rsidRDefault="00103C5F" w:rsidP="00103C5F">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Duplicate records removed (n = </w:t>
                        </w:r>
                        <w:r w:rsidR="00AF0BF4">
                          <w:rPr>
                            <w:rFonts w:ascii="Times New Roman" w:hAnsi="Times New Roman" w:cs="Times New Roman"/>
                            <w:color w:val="000000"/>
                            <w:sz w:val="18"/>
                            <w:szCs w:val="20"/>
                          </w:rPr>
                          <w:t>48</w:t>
                        </w:r>
                        <w:r w:rsidRPr="009C57E7">
                          <w:rPr>
                            <w:rFonts w:ascii="Times New Roman" w:hAnsi="Times New Roman" w:cs="Times New Roman"/>
                            <w:color w:val="000000"/>
                            <w:sz w:val="18"/>
                            <w:szCs w:val="20"/>
                          </w:rPr>
                          <w:t>)</w:t>
                        </w:r>
                      </w:p>
                      <w:p w14:paraId="78EAE222" w14:textId="151C8B21" w:rsidR="00103C5F" w:rsidRPr="009C57E7" w:rsidRDefault="00103C5F" w:rsidP="00103C5F">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marked as ineligible by automation tools (n = </w:t>
                        </w:r>
                        <w:r w:rsidR="00AF0BF4">
                          <w:rPr>
                            <w:rFonts w:ascii="Times New Roman" w:hAnsi="Times New Roman" w:cs="Times New Roman"/>
                            <w:color w:val="000000"/>
                            <w:sz w:val="18"/>
                            <w:szCs w:val="20"/>
                          </w:rPr>
                          <w:t>80</w:t>
                        </w:r>
                        <w:r w:rsidRPr="009C57E7">
                          <w:rPr>
                            <w:rFonts w:ascii="Times New Roman" w:hAnsi="Times New Roman" w:cs="Times New Roman"/>
                            <w:color w:val="000000"/>
                            <w:sz w:val="18"/>
                            <w:szCs w:val="20"/>
                          </w:rPr>
                          <w:t>)</w:t>
                        </w:r>
                      </w:p>
                    </w:txbxContent>
                  </v:textbox>
                </v:rect>
                <v:rect id="Rectangle 16" o:spid="_x0000_s1030" style="position:absolute;left:5962;top:17519;width:19977;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" filled="f" strokeweight="1pt">
                  <v:textbox>
                    <w:txbxContent>
                      <w:p w14:paraId="1459E810" w14:textId="77777777"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screened</w:t>
                        </w:r>
                      </w:p>
                      <w:p w14:paraId="58287B4A" w14:textId="50AA9B7A"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sidR="00AF0BF4">
                          <w:rPr>
                            <w:rFonts w:ascii="Times New Roman" w:hAnsi="Times New Roman" w:cs="Times New Roman"/>
                            <w:color w:val="000000"/>
                            <w:sz w:val="20"/>
                            <w:szCs w:val="20"/>
                          </w:rPr>
                          <w:t>289</w:t>
                        </w:r>
                        <w:r w:rsidRPr="009C57E7">
                          <w:rPr>
                            <w:rFonts w:ascii="Times New Roman" w:hAnsi="Times New Roman" w:cs="Times New Roman"/>
                            <w:color w:val="000000"/>
                            <w:sz w:val="20"/>
                            <w:szCs w:val="20"/>
                          </w:rPr>
                          <w:t>)</w:t>
                        </w:r>
                      </w:p>
                    </w:txbxContent>
                  </v:textbox>
                </v:rect>
                <v:rect id="Rectangle 17" o:spid="_x0000_s1031" style="position:absolute;left:32213;top:16484;width:19977;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" filled="f" strokeweight="1pt">
                  <v:textbox>
                    <w:txbxContent>
                      <w:p w14:paraId="5F041A09" w14:textId="77777777"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excluded**</w:t>
                        </w:r>
                      </w:p>
                      <w:p w14:paraId="3B67A868" w14:textId="6C451E6E"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6E4FA6">
                          <w:rPr>
                            <w:rFonts w:ascii="Times New Roman" w:hAnsi="Times New Roman" w:cs="Times New Roman"/>
                            <w:color w:val="000000"/>
                            <w:sz w:val="20"/>
                            <w:szCs w:val="20"/>
                          </w:rPr>
                          <w:t>31</w:t>
                        </w:r>
                        <w:r w:rsidRPr="009C57E7">
                          <w:rPr>
                            <w:rFonts w:ascii="Times New Roman" w:hAnsi="Times New Roman" w:cs="Times New Roman"/>
                            <w:color w:val="000000"/>
                            <w:sz w:val="20"/>
                            <w:szCs w:val="20"/>
                          </w:rPr>
                          <w:t>)</w:t>
                        </w:r>
                      </w:p>
                    </w:txbxContent>
                  </v:textbox>
                </v:rect>
                <v:rect id="Rectangle 12" o:spid="_x0000_s1032" style="position:absolute;left:6140;top:24447;width:19971;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" filled="f" strokeweight="1pt">
                  <v:textbox>
                    <w:txbxContent>
                      <w:p w14:paraId="2F190F0C" w14:textId="77777777"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sought for retrieval</w:t>
                        </w:r>
                      </w:p>
                      <w:p w14:paraId="6F631E11" w14:textId="6576D597"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 xml:space="preserve">(n = </w:t>
                        </w:r>
                        <w:r w:rsidR="00FC00C0">
                          <w:rPr>
                            <w:rFonts w:ascii="Times New Roman" w:hAnsi="Times New Roman" w:cs="Times New Roman"/>
                            <w:color w:val="000000"/>
                            <w:sz w:val="20"/>
                            <w:szCs w:val="20"/>
                          </w:rPr>
                          <w:t>58</w:t>
                        </w:r>
                        <w:r w:rsidRPr="00F550AD">
                          <w:rPr>
                            <w:rFonts w:ascii="Times New Roman" w:hAnsi="Times New Roman" w:cs="Times New Roman"/>
                            <w:color w:val="000000"/>
                            <w:sz w:val="20"/>
                            <w:szCs w:val="20"/>
                          </w:rPr>
                          <w:t>)</w:t>
                        </w:r>
                      </w:p>
                    </w:txbxContent>
                  </v:textbox>
                </v:rect>
                <v:rect id="Rectangle 13" o:spid="_x0000_s1033" style="position:absolute;left:31794;top:25019;width:19977;height:4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" filled="f" strokeweight="1pt">
                  <v:textbox>
                    <w:txbxContent>
                      <w:p w14:paraId="402BDFE3" w14:textId="77777777"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not retrieved</w:t>
                        </w:r>
                      </w:p>
                      <w:p w14:paraId="6E38CEA5" w14:textId="0B6E18A9"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(n =</w:t>
                        </w:r>
                        <w:r w:rsidR="00FC00C0">
                          <w:rPr>
                            <w:rFonts w:ascii="Times New Roman" w:hAnsi="Times New Roman" w:cs="Times New Roman"/>
                            <w:color w:val="000000"/>
                            <w:sz w:val="20"/>
                            <w:szCs w:val="20"/>
                          </w:rPr>
                          <w:t>0</w:t>
                        </w:r>
                        <w:r w:rsidRPr="00F550AD">
                          <w:rPr>
                            <w:rFonts w:ascii="Times New Roman" w:hAnsi="Times New Roman" w:cs="Times New Roman"/>
                            <w:color w:val="000000"/>
                            <w:sz w:val="20"/>
                            <w:szCs w:val="20"/>
                          </w:rPr>
                          <w:t>)</w:t>
                        </w:r>
                      </w:p>
                    </w:txbxContent>
                  </v:textbox>
                </v:rect>
                <v:rect id="Rectangle 7" o:spid="_x0000_s1034" style="position:absolute;left:4956;top:32569;width:19977;height: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" filled="f" strokeweight="1pt">
                  <v:textbox>
                    <w:txbxContent>
                      <w:p w14:paraId="3B890A6B" w14:textId="77777777" w:rsidR="00103C5F" w:rsidRPr="008B67E8" w:rsidRDefault="00103C5F" w:rsidP="00103C5F">
                        <w:pPr>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assessed for eligibility</w:t>
                        </w:r>
                      </w:p>
                      <w:p w14:paraId="13616F82" w14:textId="248E8AC3" w:rsidR="00103C5F" w:rsidRPr="0017358C" w:rsidRDefault="00103C5F" w:rsidP="00103C5F">
                        <w:pPr>
                          <w:rPr>
                            <w:rFonts w:ascii="Arial" w:hAnsi="Arial" w:cs="Arial"/>
                            <w:color w:val="000000"/>
                            <w:sz w:val="18"/>
                            <w:szCs w:val="20"/>
                          </w:rPr>
                        </w:pPr>
                        <w:r w:rsidRPr="0017358C">
                          <w:rPr>
                            <w:rFonts w:ascii="Arial" w:hAnsi="Arial" w:cs="Arial"/>
                            <w:color w:val="000000"/>
                            <w:sz w:val="18"/>
                            <w:szCs w:val="20"/>
                          </w:rPr>
                          <w:t xml:space="preserve">(n = </w:t>
                        </w:r>
                        <w:r w:rsidR="00FC00C0">
                          <w:rPr>
                            <w:rFonts w:ascii="Arial" w:hAnsi="Arial" w:cs="Arial"/>
                            <w:color w:val="000000"/>
                            <w:sz w:val="18"/>
                            <w:szCs w:val="20"/>
                          </w:rPr>
                          <w:t>58</w:t>
                        </w:r>
                        <w:r w:rsidRPr="0017358C">
                          <w:rPr>
                            <w:rFonts w:ascii="Arial" w:hAnsi="Arial" w:cs="Arial"/>
                            <w:color w:val="000000"/>
                            <w:sz w:val="18"/>
                            <w:szCs w:val="20"/>
                          </w:rPr>
                          <w:t>)</w:t>
                        </w:r>
                      </w:p>
                    </w:txbxContent>
                  </v:textbox>
                </v:rect>
                <v:rect id="Rectangle 8" o:spid="_x0000_s1035" style="position:absolute;left:32205;top:30543;width:19977;height:16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" filled="f" strokeweight="1pt">
                  <v:textbox>
                    <w:txbxContent>
                      <w:p w14:paraId="36530EB7" w14:textId="77777777"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excluded:</w:t>
                        </w:r>
                      </w:p>
                      <w:p w14:paraId="2B6859C6" w14:textId="627956B9" w:rsidR="00103C5F" w:rsidRDefault="00FB3995" w:rsidP="00103C5F">
                        <w:pPr>
                          <w:spacing w:line="240" w:lineRule="auto"/>
                          <w:ind w:left="284"/>
                          <w:rPr>
                            <w:rFonts w:ascii="Times New Roman" w:hAnsi="Times New Roman" w:cs="Times New Roman"/>
                            <w:color w:val="000000"/>
                            <w:sz w:val="20"/>
                            <w:szCs w:val="20"/>
                          </w:rPr>
                        </w:pPr>
                        <w:r>
                          <w:rPr>
                            <w:rFonts w:ascii="Times New Roman" w:hAnsi="Times New Roman" w:cs="Times New Roman"/>
                            <w:color w:val="000000"/>
                            <w:sz w:val="20"/>
                            <w:szCs w:val="20"/>
                          </w:rPr>
                          <w:t>Unspecified glans injury</w:t>
                        </w:r>
                        <w:r w:rsidR="00103C5F">
                          <w:rPr>
                            <w:rFonts w:ascii="Times New Roman" w:hAnsi="Times New Roman" w:cs="Times New Roman"/>
                            <w:color w:val="000000"/>
                            <w:sz w:val="20"/>
                            <w:szCs w:val="20"/>
                          </w:rPr>
                          <w:t xml:space="preserve"> (n= </w:t>
                        </w:r>
                        <w:r w:rsidR="009B49B6">
                          <w:rPr>
                            <w:rFonts w:ascii="Times New Roman" w:hAnsi="Times New Roman" w:cs="Times New Roman"/>
                            <w:color w:val="000000"/>
                            <w:sz w:val="20"/>
                            <w:szCs w:val="20"/>
                          </w:rPr>
                          <w:t>19</w:t>
                        </w:r>
                        <w:r w:rsidR="00103C5F">
                          <w:rPr>
                            <w:rFonts w:ascii="Times New Roman" w:hAnsi="Times New Roman" w:cs="Times New Roman"/>
                            <w:color w:val="000000"/>
                            <w:sz w:val="20"/>
                            <w:szCs w:val="20"/>
                          </w:rPr>
                          <w:t>)</w:t>
                        </w:r>
                      </w:p>
                      <w:p w14:paraId="5D48CBDB" w14:textId="07568835" w:rsidR="00103C5F" w:rsidRDefault="00103C5F" w:rsidP="00103C5F">
                        <w:pPr>
                          <w:spacing w:line="240" w:lineRule="auto"/>
                          <w:ind w:left="284"/>
                          <w:rPr>
                            <w:rFonts w:ascii="Times New Roman" w:hAnsi="Times New Roman" w:cs="Times New Roman"/>
                            <w:color w:val="000000"/>
                            <w:sz w:val="20"/>
                            <w:szCs w:val="20"/>
                          </w:rPr>
                        </w:pPr>
                        <w:r>
                          <w:rPr>
                            <w:rFonts w:ascii="Times New Roman" w:hAnsi="Times New Roman" w:cs="Times New Roman"/>
                            <w:color w:val="000000"/>
                            <w:sz w:val="20"/>
                            <w:szCs w:val="20"/>
                          </w:rPr>
                          <w:t xml:space="preserve">Not </w:t>
                        </w:r>
                        <w:r w:rsidR="00643ECB">
                          <w:rPr>
                            <w:rFonts w:ascii="Times New Roman" w:hAnsi="Times New Roman" w:cs="Times New Roman"/>
                            <w:color w:val="000000"/>
                            <w:sz w:val="20"/>
                            <w:szCs w:val="20"/>
                          </w:rPr>
                          <w:t>related to C</w:t>
                        </w:r>
                        <w:r w:rsidR="002504FB">
                          <w:rPr>
                            <w:rFonts w:ascii="Times New Roman" w:hAnsi="Times New Roman" w:cs="Times New Roman"/>
                            <w:color w:val="000000"/>
                            <w:sz w:val="20"/>
                            <w:szCs w:val="20"/>
                          </w:rPr>
                          <w:t>i</w:t>
                        </w:r>
                        <w:r w:rsidR="00643ECB">
                          <w:rPr>
                            <w:rFonts w:ascii="Times New Roman" w:hAnsi="Times New Roman" w:cs="Times New Roman"/>
                            <w:color w:val="000000"/>
                            <w:sz w:val="20"/>
                            <w:szCs w:val="20"/>
                          </w:rPr>
                          <w:t>rcumcision</w:t>
                        </w:r>
                        <w:r>
                          <w:rPr>
                            <w:rFonts w:ascii="Times New Roman" w:hAnsi="Times New Roman" w:cs="Times New Roman"/>
                            <w:color w:val="000000"/>
                            <w:sz w:val="20"/>
                            <w:szCs w:val="20"/>
                          </w:rPr>
                          <w:t xml:space="preserve"> (n=</w:t>
                        </w:r>
                        <w:r w:rsidR="009B49B6">
                          <w:rPr>
                            <w:rFonts w:ascii="Times New Roman" w:hAnsi="Times New Roman" w:cs="Times New Roman"/>
                            <w:color w:val="000000"/>
                            <w:sz w:val="20"/>
                            <w:szCs w:val="20"/>
                          </w:rPr>
                          <w:t>8</w:t>
                        </w:r>
                        <w:r>
                          <w:rPr>
                            <w:rFonts w:ascii="Times New Roman" w:hAnsi="Times New Roman" w:cs="Times New Roman"/>
                            <w:color w:val="000000"/>
                            <w:sz w:val="20"/>
                            <w:szCs w:val="20"/>
                          </w:rPr>
                          <w:t>)</w:t>
                        </w:r>
                      </w:p>
                      <w:p w14:paraId="4CC182F9" w14:textId="12687C9B" w:rsidR="00103C5F" w:rsidRPr="008B67E8" w:rsidRDefault="00643ECB" w:rsidP="00103C5F">
                        <w:pPr>
                          <w:spacing w:line="240" w:lineRule="auto"/>
                          <w:ind w:left="284"/>
                          <w:rPr>
                            <w:rFonts w:ascii="Times New Roman" w:hAnsi="Times New Roman" w:cs="Times New Roman"/>
                            <w:color w:val="000000"/>
                            <w:sz w:val="20"/>
                            <w:szCs w:val="20"/>
                          </w:rPr>
                        </w:pPr>
                        <w:r w:rsidRPr="00643ECB">
                          <w:rPr>
                            <w:rFonts w:ascii="Times New Roman" w:hAnsi="Times New Roman" w:cs="Times New Roman"/>
                            <w:color w:val="000000"/>
                            <w:sz w:val="20"/>
                            <w:szCs w:val="20"/>
                          </w:rPr>
                          <w:t>Insufficient clinical data</w:t>
                        </w:r>
                        <w:r w:rsidR="00103C5F">
                          <w:rPr>
                            <w:rFonts w:ascii="Times New Roman" w:hAnsi="Times New Roman" w:cs="Times New Roman"/>
                            <w:color w:val="000000"/>
                            <w:sz w:val="20"/>
                            <w:szCs w:val="20"/>
                          </w:rPr>
                          <w:t xml:space="preserve"> (n=</w:t>
                        </w:r>
                        <w:r w:rsidR="009B49B6">
                          <w:rPr>
                            <w:rFonts w:ascii="Times New Roman" w:hAnsi="Times New Roman" w:cs="Times New Roman"/>
                            <w:color w:val="000000"/>
                            <w:sz w:val="20"/>
                            <w:szCs w:val="20"/>
                          </w:rPr>
                          <w:t>4</w:t>
                        </w:r>
                        <w:r w:rsidR="00103C5F">
                          <w:rPr>
                            <w:rFonts w:ascii="Times New Roman" w:hAnsi="Times New Roman" w:cs="Times New Roman"/>
                            <w:color w:val="000000"/>
                            <w:sz w:val="20"/>
                            <w:szCs w:val="20"/>
                          </w:rPr>
                          <w:t>)</w:t>
                        </w:r>
                      </w:p>
                      <w:p w14:paraId="36CA724F" w14:textId="77777777" w:rsidR="00103C5F" w:rsidRPr="0017358C" w:rsidRDefault="00103C5F" w:rsidP="00103C5F">
                        <w:pPr>
                          <w:rPr>
                            <w:rFonts w:ascii="Arial" w:hAnsi="Arial" w:cs="Arial"/>
                            <w:color w:val="000000"/>
                            <w:sz w:val="18"/>
                            <w:szCs w:val="20"/>
                          </w:rPr>
                        </w:pPr>
                      </w:p>
                    </w:txbxContent>
                  </v:textbox>
                </v:rect>
                <v:rect id="Rectangle 5" o:spid="_x0000_s1036" style="position:absolute;left:6140;top:40052;width:19977;height:6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" filled="f" strokeweight="1pt">
                  <v:textbox>
                    <w:txbxContent>
                      <w:p w14:paraId="24ECC21A" w14:textId="77777777"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New studies included in review</w:t>
                        </w:r>
                      </w:p>
                      <w:p w14:paraId="29DF2701" w14:textId="6A6B29A0"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8B67E8">
                          <w:rPr>
                            <w:rFonts w:ascii="Times New Roman" w:hAnsi="Times New Roman" w:cs="Times New Roman"/>
                            <w:color w:val="000000"/>
                            <w:sz w:val="20"/>
                            <w:szCs w:val="20"/>
                          </w:rPr>
                          <w:t>)</w:t>
                        </w:r>
                      </w:p>
                      <w:p w14:paraId="70E816BF" w14:textId="77777777"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of new included studies</w:t>
                        </w:r>
                      </w:p>
                      <w:p w14:paraId="12BD7EDF" w14:textId="35322087" w:rsidR="00103C5F" w:rsidRPr="008B67E8" w:rsidRDefault="00103C5F" w:rsidP="00103C5F">
                        <w:pPr>
                          <w:spacing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8B67E8">
                          <w:rPr>
                            <w:rFonts w:ascii="Times New Roman" w:hAnsi="Times New Roman" w:cs="Times New Roman"/>
                            <w:color w:val="000000"/>
                            <w:sz w:val="20"/>
                            <w:szCs w:val="20"/>
                          </w:rPr>
                          <w:t>)</w:t>
                        </w:r>
                      </w:p>
                    </w:txbxContent>
                  </v:textbox>
                </v:rect>
                <v:shapetype id="_x0000_t32" coordsize="21600,21600" o:spt="32" o:oned="t" path="m,l21600,21600e" filled="f">
                  <v:path arrowok="t" fillok="f" o:connecttype="none"/>
                  <o:lock v:ext="edit" shapetype="t"/>
                </v:shapetype>
                <v:shape id="Straight Arrow Connector 20" o:spid="_x0000_s1037" type="#_x0000_t32" style="position:absolute;left:26054;top:11271;width:59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" strokeweight=".5pt">
                  <v:stroke endarrow="block" joinstyle="miter"/>
                </v:shape>
                <v:shape id="Straight Arrow Connector 15" o:spid="_x0000_s1038" type="#_x0000_t32" style="position:absolute;left:26257;top:19253;width:59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" strokeweight=".5pt">
                  <v:stroke endarrow="block" joinstyle="miter"/>
                </v:shape>
                <v:shape id="Straight Arrow Connector 9" o:spid="_x0000_s1039" type="#_x0000_t32" style="position:absolute;left:26111;top:26644;width:59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" strokeweight=".5pt">
                  <v:stroke endarrow="block" joinstyle="miter"/>
                </v:shape>
                <v:shape id="Straight Arrow Connector 6" o:spid="_x0000_s1040" type="#_x0000_t32" style="position:absolute;left:24930;top:34756;width:72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" strokeweight=".5pt">
                  <v:stroke endarrow="block" joinstyle="miter"/>
                </v:shape>
                <v:shape id="Flowchart: Alternate Process 24" o:spid="_x0000_s1041" type="#_x0000_t176" style="position:absolute;left:3486;width:45986;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" fillcolor="#8064a2" strokecolor="#3f3151" strokeweight="1pt">
                  <v:textbox>
                    <w:txbxContent>
                      <w:p w14:paraId="73F40C21" w14:textId="77777777" w:rsidR="00103C5F" w:rsidRPr="008B67E8" w:rsidRDefault="00103C5F" w:rsidP="00103C5F">
                        <w:pPr>
                          <w:jc w:val="center"/>
                          <w:rPr>
                            <w:rFonts w:ascii="Times New Roman" w:hAnsi="Times New Roman" w:cs="Times New Roman"/>
                            <w:b/>
                            <w:color w:val="000000"/>
                            <w:sz w:val="20"/>
                            <w:szCs w:val="20"/>
                          </w:rPr>
                        </w:pPr>
                        <w:r w:rsidRPr="008B67E8">
                          <w:rPr>
                            <w:rFonts w:ascii="Times New Roman" w:hAnsi="Times New Roman" w:cs="Times New Roman"/>
                            <w:b/>
                            <w:color w:val="000000"/>
                            <w:sz w:val="20"/>
                            <w:szCs w:val="20"/>
                          </w:rPr>
                          <w:t>Identification of new studies via databases and registers</w:t>
                        </w:r>
                      </w:p>
                    </w:txbxContent>
                  </v:textbox>
                </v:shape>
                <v:shape id="Flowchart: Alternate Process 22" o:spid="_x0000_s1042" type="#_x0000_t176" style="position:absolute;left:-4071;top:9467;width:10980;height:27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" fillcolor="#92cddc" strokeweight="1pt">
                  <v:textbox style="layout-flow:vertical;mso-layout-flow-alt:bottom-to-top">
                    <w:txbxContent>
                      <w:p w14:paraId="439D1AF7" w14:textId="77777777" w:rsidR="00103C5F" w:rsidRPr="009930A3" w:rsidRDefault="00103C5F" w:rsidP="00103C5F">
                        <w:pPr>
                          <w:spacing w:after="0"/>
                          <w:jc w:val="center"/>
                          <w:rPr>
                            <w:rFonts w:ascii="Times New Roman" w:hAnsi="Times New Roman" w:cs="Times New Roman"/>
                            <w:b/>
                            <w:color w:val="000000"/>
                          </w:rPr>
                        </w:pPr>
                        <w:r w:rsidRPr="009930A3">
                          <w:rPr>
                            <w:rFonts w:ascii="Times New Roman" w:hAnsi="Times New Roman" w:cs="Times New Roman"/>
                            <w:b/>
                            <w:color w:val="000000"/>
                          </w:rPr>
                          <w:t>Identification</w:t>
                        </w:r>
                      </w:p>
                    </w:txbxContent>
                  </v:textbox>
                </v:shape>
                <v:shape id="Flowchart: Alternate Process 18" o:spid="_x0000_s1043" type="#_x0000_t176" style="position:absolute;left:-3248;top:20322;width:9550;height:29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" fillcolor="#92cddc" strokeweight="1pt">
                  <v:textbox style="layout-flow:vertical;mso-layout-flow-alt:bottom-to-top">
                    <w:txbxContent>
                      <w:p w14:paraId="5B48E955" w14:textId="77777777" w:rsidR="00103C5F" w:rsidRPr="009930A3" w:rsidRDefault="00103C5F" w:rsidP="00103C5F">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Screening</w:t>
                        </w:r>
                      </w:p>
                      <w:p w14:paraId="172C3BB9" w14:textId="77777777" w:rsidR="00103C5F" w:rsidRPr="0017358C" w:rsidRDefault="00103C5F" w:rsidP="00103C5F">
                        <w:pPr>
                          <w:spacing w:after="0"/>
                          <w:rPr>
                            <w:rFonts w:ascii="Arial" w:hAnsi="Arial" w:cs="Arial"/>
                            <w:b/>
                            <w:color w:val="000000"/>
                            <w:sz w:val="18"/>
                            <w:szCs w:val="18"/>
                          </w:rPr>
                        </w:pPr>
                      </w:p>
                    </w:txbxContent>
                  </v:textbox>
                </v:shape>
                <v:shape id="Straight Arrow Connector 19" o:spid="_x0000_s1044" type="#_x0000_t32" style="position:absolute;left:14960;top:15087;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" strokeweight=".5pt">
                  <v:stroke endarrow="block" joinstyle="miter"/>
                </v:shape>
                <v:shape id="Straight Arrow Connector 14" o:spid="_x0000_s1045" type="#_x0000_t32" style="position:absolute;left:14903;top:22047;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" strokeweight=".5pt">
                  <v:stroke endarrow="block" joinstyle="miter"/>
                </v:shape>
                <v:shape id="Straight Arrow Connector 10" o:spid="_x0000_s1046" type="#_x0000_t32" style="position:absolute;left:14960;top:29337;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" strokeweight=".5pt">
                  <v:stroke endarrow="block" joinstyle="miter"/>
                </v:shape>
                <v:rect id="Rectangle 1" o:spid="_x0000_s1047" style="position:absolute;left:6280;top:48323;width:19977;height: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" filled="f" strokeweight="1pt">
                  <v:textbox>
                    <w:txbxContent>
                      <w:p w14:paraId="55EE4857" w14:textId="77777777" w:rsidR="00103C5F" w:rsidRPr="00E12104" w:rsidRDefault="00103C5F"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Total studies included in review</w:t>
                        </w:r>
                      </w:p>
                      <w:p w14:paraId="315A2632" w14:textId="037F86CA" w:rsidR="00103C5F" w:rsidRPr="00E12104" w:rsidRDefault="00103C5F"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E12104">
                          <w:rPr>
                            <w:rFonts w:ascii="Times New Roman" w:hAnsi="Times New Roman" w:cs="Times New Roman"/>
                            <w:color w:val="000000"/>
                            <w:sz w:val="20"/>
                            <w:szCs w:val="20"/>
                          </w:rPr>
                          <w:t>)</w:t>
                        </w:r>
                      </w:p>
                      <w:p w14:paraId="6A7817EA" w14:textId="77777777" w:rsidR="00103C5F" w:rsidRPr="00E12104" w:rsidRDefault="00103C5F"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Reports of total included studies</w:t>
                        </w:r>
                      </w:p>
                      <w:p w14:paraId="1C3A5E5A" w14:textId="38634635" w:rsidR="00103C5F" w:rsidRPr="00E12104" w:rsidRDefault="00103C5F" w:rsidP="00103C5F">
                        <w:pPr>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E12104">
                          <w:rPr>
                            <w:rFonts w:ascii="Times New Roman" w:hAnsi="Times New Roman" w:cs="Times New Roman"/>
                            <w:color w:val="000000"/>
                            <w:sz w:val="20"/>
                            <w:szCs w:val="20"/>
                          </w:rPr>
                          <w:t>)</w:t>
                        </w:r>
                      </w:p>
                    </w:txbxContent>
                  </v:textbox>
                </v:rect>
                <v:shape id="Straight Arrow Connector 4" o:spid="_x0000_s1048" type="#_x0000_t32" style="position:absolute;left:14960;top:38503;width:89;height:1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">
                  <v:stroke endarrow="block"/>
                </v:shape>
                <v:shape id="Flowchart: Alternate Process 11" o:spid="_x0000_s1049" type="#_x0000_t176" style="position:absolute;left:-3316;top:32703;width:9551;height:291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" fillcolor="#92cddc" strokeweight="1pt">
                  <v:textbox style="layout-flow:vertical;mso-layout-flow-alt:bottom-to-top">
                    <w:txbxContent>
                      <w:p w14:paraId="3AFEDB80" w14:textId="77777777" w:rsidR="00103C5F" w:rsidRPr="009930A3" w:rsidRDefault="00103C5F" w:rsidP="00103C5F">
                        <w:pPr>
                          <w:spacing w:after="0" w:line="240" w:lineRule="auto"/>
                          <w:jc w:val="center"/>
                          <w:rPr>
                            <w:rFonts w:ascii="Times New Roman" w:hAnsi="Times New Roman" w:cs="Times New Roman"/>
                            <w:b/>
                            <w:color w:val="000000"/>
                          </w:rPr>
                        </w:pPr>
                        <w:r>
                          <w:rPr>
                            <w:rFonts w:ascii="Times New Roman" w:hAnsi="Times New Roman" w:cs="Times New Roman"/>
                            <w:b/>
                            <w:color w:val="000000"/>
                          </w:rPr>
                          <w:t>Eligibility</w:t>
                        </w:r>
                      </w:p>
                      <w:p w14:paraId="5E379324" w14:textId="77777777" w:rsidR="00103C5F" w:rsidRPr="0017358C" w:rsidRDefault="00103C5F" w:rsidP="00103C5F">
                        <w:pPr>
                          <w:spacing w:after="0"/>
                          <w:rPr>
                            <w:rFonts w:ascii="Arial" w:hAnsi="Arial" w:cs="Arial"/>
                            <w:b/>
                            <w:color w:val="000000"/>
                            <w:sz w:val="18"/>
                            <w:szCs w:val="18"/>
                          </w:rPr>
                        </w:pPr>
                      </w:p>
                    </w:txbxContent>
                  </v:textbox>
                </v:shape>
              </v:group>
            </w:pict>
          </mc:Fallback>
        </mc:AlternateContent>
      </w:r>
    </w:p>
    <w:p w14:paraId="3F22716B" w14:textId="77777777" w:rsidR="00A612D0" w:rsidRDefault="00A612D0" w:rsidP="0065179B"/>
    <w:p w14:paraId="0EA993C6" w14:textId="77777777" w:rsidR="00A612D0" w:rsidRDefault="00A612D0" w:rsidP="0065179B"/>
    <w:p w14:paraId="2482DE40" w14:textId="77777777" w:rsidR="00A612D0" w:rsidRDefault="00A612D0" w:rsidP="0065179B"/>
    <w:p w14:paraId="2D930DD8" w14:textId="77777777" w:rsidR="00A612D0" w:rsidRDefault="00A612D0" w:rsidP="0065179B"/>
    <w:p w14:paraId="3C2C3DA6" w14:textId="77777777" w:rsidR="00A612D0" w:rsidRDefault="00A612D0" w:rsidP="0065179B"/>
    <w:p w14:paraId="7B645CE7" w14:textId="77777777" w:rsidR="00A612D0" w:rsidRDefault="00A612D0" w:rsidP="0065179B"/>
    <w:p w14:paraId="2C39459C" w14:textId="77777777" w:rsidR="00A612D0" w:rsidRDefault="00A612D0" w:rsidP="0065179B"/>
    <w:p w14:paraId="54210E83" w14:textId="77777777" w:rsidR="00A612D0" w:rsidRDefault="00A612D0" w:rsidP="0065179B"/>
    <w:p w14:paraId="2EBB230A" w14:textId="77777777" w:rsidR="00A612D0" w:rsidRDefault="00A612D0" w:rsidP="0065179B"/>
    <w:p w14:paraId="0725A593" w14:textId="77777777" w:rsidR="00A612D0" w:rsidRDefault="00A612D0" w:rsidP="0065179B"/>
    <w:p w14:paraId="1E7A62ED" w14:textId="77777777" w:rsidR="00A612D0" w:rsidRDefault="00A612D0" w:rsidP="0065179B"/>
    <w:p w14:paraId="0A50256E" w14:textId="77777777" w:rsidR="00A612D0" w:rsidRDefault="00A612D0" w:rsidP="0065179B"/>
    <w:p w14:paraId="2B87BC7D" w14:textId="47775120" w:rsidR="00A612D0" w:rsidRDefault="00A612D0" w:rsidP="00363661"/>
    <w:p w14:paraId="484C3CA0" w14:textId="77777777" w:rsidR="00A612D0" w:rsidRDefault="00A612D0" w:rsidP="0065179B"/>
    <w:p w14:paraId="41811C15" w14:textId="77777777" w:rsidR="00A612D0" w:rsidRDefault="00A612D0" w:rsidP="0065179B"/>
    <w:p w14:paraId="70BCEFD4" w14:textId="77777777" w:rsidR="00A612D0" w:rsidRDefault="00A612D0" w:rsidP="0065179B"/>
    <w:p w14:paraId="6EACAD55" w14:textId="77777777" w:rsidR="00A612D0" w:rsidRDefault="00A612D0" w:rsidP="0065179B"/>
    <w:p w14:paraId="356647C2" w14:textId="77777777" w:rsidR="00A612D0" w:rsidRDefault="00A612D0" w:rsidP="0065179B"/>
    <w:p w14:paraId="524C6680" w14:textId="4579D1AA" w:rsidR="00A612D0" w:rsidRPr="00103C5F" w:rsidRDefault="00103C5F" w:rsidP="00103C5F">
      <w:pPr>
        <w:jc w:val="center"/>
        <w:rPr>
          <w:rFonts w:ascii="Times New Roman" w:hAnsi="Times New Roman" w:cs="Times New Roman"/>
        </w:rPr>
        <w:sectPr w:rsidR="00A612D0" w:rsidRPr="00103C5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rsidRPr="00103C5F">
        <w:rPr>
          <w:rFonts w:ascii="Times New Roman" w:hAnsi="Times New Roman" w:cs="Times New Roman"/>
          <w:b/>
          <w:bCs/>
        </w:rPr>
        <w:t>Figure 1.</w:t>
      </w:r>
      <w:r w:rsidRPr="00103C5F">
        <w:rPr>
          <w:rFonts w:ascii="Times New Roman" w:hAnsi="Times New Roman" w:cs="Times New Roman"/>
        </w:rPr>
        <w:t xml:space="preserve"> PRISMA Flowchart for Study Selection</w:t>
      </w:r>
    </w:p>
    <w:p w14:paraId="1BE366CA" w14:textId="42637930" w:rsidR="00A612D0" w:rsidRPr="00FB63A0" w:rsidRDefault="00A612D0" w:rsidP="0065179B">
      <w:pPr>
        <w:rPr>
          <w:rFonts w:ascii="Times New Roman" w:hAnsi="Times New Roman" w:cs="Times New Roman"/>
        </w:rPr>
      </w:pPr>
      <w:r w:rsidRPr="00FB63A0">
        <w:rPr>
          <w:rFonts w:ascii="Times New Roman" w:hAnsi="Times New Roman" w:cs="Times New Roman"/>
          <w:b/>
          <w:bCs/>
        </w:rPr>
        <w:lastRenderedPageBreak/>
        <w:t>Table</w:t>
      </w:r>
      <w:r w:rsidR="00FB63A0" w:rsidRPr="00FB63A0">
        <w:rPr>
          <w:rFonts w:ascii="Times New Roman" w:hAnsi="Times New Roman" w:cs="Times New Roman"/>
          <w:b/>
          <w:bCs/>
        </w:rPr>
        <w:t xml:space="preserve"> 2</w:t>
      </w:r>
      <w:r w:rsidRPr="00FB63A0">
        <w:rPr>
          <w:rFonts w:ascii="Times New Roman" w:hAnsi="Times New Roman" w:cs="Times New Roman"/>
          <w:b/>
          <w:bCs/>
        </w:rPr>
        <w:t>.</w:t>
      </w:r>
      <w:r w:rsidR="00454862" w:rsidRPr="00FB63A0">
        <w:rPr>
          <w:rFonts w:ascii="Times New Roman" w:hAnsi="Times New Roman" w:cs="Times New Roman"/>
        </w:rPr>
        <w:t xml:space="preserve"> </w:t>
      </w:r>
      <w:r w:rsidR="00FB63A0">
        <w:rPr>
          <w:rFonts w:ascii="Times New Roman" w:hAnsi="Times New Roman" w:cs="Times New Roman"/>
        </w:rPr>
        <w:t xml:space="preserve">Characteristics </w:t>
      </w:r>
      <w:r w:rsidR="000277D8">
        <w:rPr>
          <w:rFonts w:ascii="Times New Roman" w:hAnsi="Times New Roman" w:cs="Times New Roman"/>
        </w:rPr>
        <w:t xml:space="preserve">of Eligible </w:t>
      </w:r>
      <w:r w:rsidR="00454862" w:rsidRPr="00FB63A0">
        <w:rPr>
          <w:rFonts w:ascii="Times New Roman" w:hAnsi="Times New Roman" w:cs="Times New Roman"/>
        </w:rPr>
        <w:t xml:space="preserve">Clinical </w:t>
      </w:r>
      <w:r w:rsidR="00FB63A0" w:rsidRPr="00FB63A0">
        <w:rPr>
          <w:rFonts w:ascii="Times New Roman" w:hAnsi="Times New Roman" w:cs="Times New Roman"/>
        </w:rPr>
        <w:t>Case Stud</w:t>
      </w:r>
      <w:r w:rsidR="00FB63A0">
        <w:rPr>
          <w:rFonts w:ascii="Times New Roman" w:hAnsi="Times New Roman" w:cs="Times New Roman"/>
        </w:rPr>
        <w:t>ies</w:t>
      </w:r>
    </w:p>
    <w:tbl>
      <w:tblPr>
        <w:tblStyle w:val="TableGrid"/>
        <w:tblW w:w="13988" w:type="dxa"/>
        <w:tblLook w:val="04A0" w:firstRow="1" w:lastRow="0" w:firstColumn="1" w:lastColumn="0" w:noHBand="0" w:noVBand="1"/>
      </w:tblPr>
      <w:tblGrid>
        <w:gridCol w:w="1885"/>
        <w:gridCol w:w="1416"/>
        <w:gridCol w:w="1403"/>
        <w:gridCol w:w="1423"/>
        <w:gridCol w:w="1960"/>
        <w:gridCol w:w="1433"/>
        <w:gridCol w:w="1583"/>
        <w:gridCol w:w="1450"/>
        <w:gridCol w:w="1435"/>
      </w:tblGrid>
      <w:tr w:rsidR="00FB63A0" w14:paraId="16506039" w14:textId="77777777" w:rsidTr="00FB63A0">
        <w:tc>
          <w:tcPr>
            <w:tcW w:w="1885" w:type="dxa"/>
            <w:vAlign w:val="center"/>
          </w:tcPr>
          <w:p w14:paraId="0E075302" w14:textId="5DA366D5" w:rsidR="00FB63A0" w:rsidRDefault="00FB63A0" w:rsidP="00FB63A0">
            <w:r w:rsidRPr="00837408">
              <w:rPr>
                <w:rFonts w:ascii="Times New Roman" w:hAnsi="Times New Roman" w:cs="Times New Roman"/>
                <w:b/>
                <w:bCs/>
                <w:sz w:val="20"/>
                <w:szCs w:val="20"/>
              </w:rPr>
              <w:t>Author (Year)</w:t>
            </w:r>
          </w:p>
        </w:tc>
        <w:tc>
          <w:tcPr>
            <w:tcW w:w="1416" w:type="dxa"/>
            <w:vAlign w:val="center"/>
          </w:tcPr>
          <w:p w14:paraId="4A082B06" w14:textId="60ACE859" w:rsidR="00FB63A0" w:rsidRDefault="00FB63A0" w:rsidP="00FB63A0">
            <w:r w:rsidRPr="00837408">
              <w:rPr>
                <w:rFonts w:ascii="Times New Roman" w:hAnsi="Times New Roman" w:cs="Times New Roman"/>
                <w:b/>
                <w:bCs/>
                <w:sz w:val="20"/>
                <w:szCs w:val="20"/>
              </w:rPr>
              <w:t>Country</w:t>
            </w:r>
          </w:p>
        </w:tc>
        <w:tc>
          <w:tcPr>
            <w:tcW w:w="1403" w:type="dxa"/>
            <w:vAlign w:val="center"/>
          </w:tcPr>
          <w:p w14:paraId="366760F8" w14:textId="645A788B" w:rsidR="00FB63A0" w:rsidRDefault="00FB63A0" w:rsidP="00FB63A0">
            <w:r w:rsidRPr="00837408">
              <w:rPr>
                <w:rFonts w:ascii="Times New Roman" w:hAnsi="Times New Roman" w:cs="Times New Roman"/>
                <w:b/>
                <w:bCs/>
                <w:sz w:val="20"/>
                <w:szCs w:val="20"/>
              </w:rPr>
              <w:t>Study Design</w:t>
            </w:r>
          </w:p>
        </w:tc>
        <w:tc>
          <w:tcPr>
            <w:tcW w:w="1423" w:type="dxa"/>
            <w:vAlign w:val="center"/>
          </w:tcPr>
          <w:p w14:paraId="36FFD120" w14:textId="7DCF6102" w:rsidR="00FB63A0" w:rsidRDefault="00FB63A0" w:rsidP="00FB63A0">
            <w:r w:rsidRPr="00837408">
              <w:rPr>
                <w:rFonts w:ascii="Times New Roman" w:hAnsi="Times New Roman" w:cs="Times New Roman"/>
                <w:b/>
                <w:bCs/>
                <w:sz w:val="20"/>
                <w:szCs w:val="20"/>
              </w:rPr>
              <w:t>Population</w:t>
            </w:r>
          </w:p>
        </w:tc>
        <w:tc>
          <w:tcPr>
            <w:tcW w:w="1960" w:type="dxa"/>
            <w:vAlign w:val="center"/>
          </w:tcPr>
          <w:p w14:paraId="0F0699F6" w14:textId="17C974E0" w:rsidR="00FB63A0" w:rsidRDefault="00FB63A0" w:rsidP="00FB63A0">
            <w:r w:rsidRPr="00837408">
              <w:rPr>
                <w:rFonts w:ascii="Times New Roman" w:hAnsi="Times New Roman" w:cs="Times New Roman"/>
                <w:b/>
                <w:bCs/>
                <w:sz w:val="20"/>
                <w:szCs w:val="20"/>
              </w:rPr>
              <w:t>Type of Injury</w:t>
            </w:r>
          </w:p>
        </w:tc>
        <w:tc>
          <w:tcPr>
            <w:tcW w:w="1433" w:type="dxa"/>
            <w:vAlign w:val="center"/>
          </w:tcPr>
          <w:p w14:paraId="0B4D23F9" w14:textId="269585A0" w:rsidR="00FB63A0" w:rsidRDefault="00FB63A0" w:rsidP="00FB63A0">
            <w:r w:rsidRPr="00837408">
              <w:rPr>
                <w:rFonts w:ascii="Times New Roman" w:hAnsi="Times New Roman" w:cs="Times New Roman"/>
                <w:b/>
                <w:bCs/>
                <w:sz w:val="20"/>
                <w:szCs w:val="20"/>
              </w:rPr>
              <w:t>Mechanism / Cause</w:t>
            </w:r>
          </w:p>
        </w:tc>
        <w:tc>
          <w:tcPr>
            <w:tcW w:w="1583" w:type="dxa"/>
            <w:vAlign w:val="center"/>
          </w:tcPr>
          <w:p w14:paraId="2969C460" w14:textId="51341335" w:rsidR="00FB63A0" w:rsidRDefault="00FB63A0" w:rsidP="00FB63A0">
            <w:r w:rsidRPr="00837408">
              <w:rPr>
                <w:rFonts w:ascii="Times New Roman" w:hAnsi="Times New Roman" w:cs="Times New Roman"/>
                <w:b/>
                <w:bCs/>
                <w:sz w:val="20"/>
                <w:szCs w:val="20"/>
              </w:rPr>
              <w:t>Procedure / Setting</w:t>
            </w:r>
          </w:p>
        </w:tc>
        <w:tc>
          <w:tcPr>
            <w:tcW w:w="1450" w:type="dxa"/>
            <w:vAlign w:val="center"/>
          </w:tcPr>
          <w:p w14:paraId="599F6433" w14:textId="55D1A80D" w:rsidR="00FB63A0" w:rsidRDefault="00FB63A0" w:rsidP="00FB63A0">
            <w:r w:rsidRPr="00837408">
              <w:rPr>
                <w:rFonts w:ascii="Times New Roman" w:hAnsi="Times New Roman" w:cs="Times New Roman"/>
                <w:b/>
                <w:bCs/>
                <w:sz w:val="20"/>
                <w:szCs w:val="20"/>
              </w:rPr>
              <w:t>Management</w:t>
            </w:r>
          </w:p>
        </w:tc>
        <w:tc>
          <w:tcPr>
            <w:tcW w:w="1435" w:type="dxa"/>
            <w:vAlign w:val="center"/>
          </w:tcPr>
          <w:p w14:paraId="52D3E3C0" w14:textId="6728E5B8" w:rsidR="00FB63A0" w:rsidRDefault="00FB63A0" w:rsidP="00FB63A0">
            <w:r w:rsidRPr="00837408">
              <w:rPr>
                <w:rFonts w:ascii="Times New Roman" w:hAnsi="Times New Roman" w:cs="Times New Roman"/>
                <w:b/>
                <w:bCs/>
                <w:sz w:val="20"/>
                <w:szCs w:val="20"/>
              </w:rPr>
              <w:t>Outcome</w:t>
            </w:r>
          </w:p>
        </w:tc>
      </w:tr>
      <w:tr w:rsidR="00FB63A0" w14:paraId="597C5F75" w14:textId="77777777" w:rsidTr="00FB63A0">
        <w:tc>
          <w:tcPr>
            <w:tcW w:w="1885" w:type="dxa"/>
            <w:vAlign w:val="center"/>
          </w:tcPr>
          <w:p w14:paraId="7A66154F" w14:textId="7E2F5283" w:rsidR="00FB63A0" w:rsidRDefault="00FB63A0" w:rsidP="00FB63A0">
            <w:r w:rsidRPr="00837408">
              <w:rPr>
                <w:rFonts w:ascii="Times New Roman" w:hAnsi="Times New Roman" w:cs="Times New Roman"/>
                <w:sz w:val="20"/>
                <w:szCs w:val="20"/>
              </w:rPr>
              <w:t>Ceylan (2007)</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
                <w:id w:val="230976010"/>
                <w:placeholder>
                  <w:docPart w:val="E4C4FEDAF56348EB8549E4D7DDE178D6"/>
                </w:placeholder>
              </w:sdtPr>
              <w:sdtContent>
                <w:r w:rsidR="000B40D5" w:rsidRPr="000B40D5">
                  <w:rPr>
                    <w:rFonts w:ascii="Times New Roman" w:hAnsi="Times New Roman" w:cs="Times New Roman"/>
                    <w:color w:val="000000"/>
                    <w:sz w:val="20"/>
                    <w:szCs w:val="20"/>
                  </w:rPr>
                  <w:t>(Ceylan et al., 2007)</w:t>
                </w:r>
              </w:sdtContent>
            </w:sdt>
          </w:p>
        </w:tc>
        <w:tc>
          <w:tcPr>
            <w:tcW w:w="1416" w:type="dxa"/>
            <w:vAlign w:val="center"/>
          </w:tcPr>
          <w:p w14:paraId="394C767B" w14:textId="31F6DED0" w:rsidR="00FB63A0" w:rsidRDefault="00FB63A0" w:rsidP="00FB63A0">
            <w:r w:rsidRPr="00837408">
              <w:rPr>
                <w:rFonts w:ascii="Times New Roman" w:hAnsi="Times New Roman" w:cs="Times New Roman"/>
                <w:sz w:val="20"/>
                <w:szCs w:val="20"/>
              </w:rPr>
              <w:t>Turkey</w:t>
            </w:r>
            <w:r>
              <w:rPr>
                <w:rFonts w:ascii="Times New Roman" w:hAnsi="Times New Roman" w:cs="Times New Roman"/>
                <w:sz w:val="20"/>
                <w:szCs w:val="20"/>
              </w:rPr>
              <w:t xml:space="preserve"> </w:t>
            </w:r>
          </w:p>
        </w:tc>
        <w:tc>
          <w:tcPr>
            <w:tcW w:w="1403" w:type="dxa"/>
            <w:vAlign w:val="center"/>
          </w:tcPr>
          <w:p w14:paraId="456A0D0C" w14:textId="66CEA2EF" w:rsidR="00FB63A0" w:rsidRDefault="00FB63A0" w:rsidP="00FB63A0">
            <w:r w:rsidRPr="00837408">
              <w:rPr>
                <w:rFonts w:ascii="Times New Roman" w:hAnsi="Times New Roman" w:cs="Times New Roman"/>
                <w:sz w:val="20"/>
                <w:szCs w:val="20"/>
              </w:rPr>
              <w:t>Case series</w:t>
            </w:r>
          </w:p>
        </w:tc>
        <w:tc>
          <w:tcPr>
            <w:tcW w:w="1423" w:type="dxa"/>
            <w:vAlign w:val="center"/>
          </w:tcPr>
          <w:p w14:paraId="10836053" w14:textId="204D9A35" w:rsidR="00FB63A0" w:rsidRDefault="00FB63A0" w:rsidP="00FB63A0">
            <w:r w:rsidRPr="00837408">
              <w:rPr>
                <w:rFonts w:ascii="Times New Roman" w:hAnsi="Times New Roman" w:cs="Times New Roman"/>
                <w:sz w:val="20"/>
                <w:szCs w:val="20"/>
              </w:rPr>
              <w:t>Children</w:t>
            </w:r>
          </w:p>
        </w:tc>
        <w:tc>
          <w:tcPr>
            <w:tcW w:w="1960" w:type="dxa"/>
            <w:vAlign w:val="center"/>
          </w:tcPr>
          <w:p w14:paraId="1B131743" w14:textId="5C21AA49" w:rsidR="00FB63A0" w:rsidRDefault="00FB63A0" w:rsidP="00FB63A0">
            <w:r w:rsidRPr="00837408">
              <w:rPr>
                <w:rFonts w:ascii="Times New Roman" w:hAnsi="Times New Roman" w:cs="Times New Roman"/>
                <w:sz w:val="20"/>
                <w:szCs w:val="20"/>
              </w:rPr>
              <w:t>Partial glans amputation</w:t>
            </w:r>
          </w:p>
        </w:tc>
        <w:tc>
          <w:tcPr>
            <w:tcW w:w="1433" w:type="dxa"/>
            <w:vAlign w:val="center"/>
          </w:tcPr>
          <w:p w14:paraId="46702747" w14:textId="128E93DB" w:rsidR="00FB63A0" w:rsidRDefault="00FB63A0" w:rsidP="00FB63A0">
            <w:r w:rsidRPr="00837408">
              <w:rPr>
                <w:rFonts w:ascii="Times New Roman" w:hAnsi="Times New Roman" w:cs="Times New Roman"/>
                <w:sz w:val="20"/>
                <w:szCs w:val="20"/>
              </w:rPr>
              <w:t>Surgical error</w:t>
            </w:r>
          </w:p>
        </w:tc>
        <w:tc>
          <w:tcPr>
            <w:tcW w:w="1583" w:type="dxa"/>
            <w:vAlign w:val="center"/>
          </w:tcPr>
          <w:p w14:paraId="579FA2A3" w14:textId="02CAEA2A" w:rsidR="00FB63A0" w:rsidRDefault="00FB63A0" w:rsidP="00FB63A0">
            <w:r w:rsidRPr="00837408">
              <w:rPr>
                <w:rFonts w:ascii="Times New Roman" w:hAnsi="Times New Roman" w:cs="Times New Roman"/>
                <w:sz w:val="20"/>
                <w:szCs w:val="20"/>
              </w:rPr>
              <w:t>Hospital circumcision</w:t>
            </w:r>
          </w:p>
        </w:tc>
        <w:tc>
          <w:tcPr>
            <w:tcW w:w="1450" w:type="dxa"/>
            <w:vAlign w:val="center"/>
          </w:tcPr>
          <w:p w14:paraId="222F2ADF" w14:textId="3D860A2D" w:rsidR="00FB63A0" w:rsidRDefault="00FB63A0" w:rsidP="00FB63A0">
            <w:r w:rsidRPr="00837408">
              <w:rPr>
                <w:rFonts w:ascii="Times New Roman" w:hAnsi="Times New Roman" w:cs="Times New Roman"/>
                <w:sz w:val="20"/>
                <w:szCs w:val="20"/>
              </w:rPr>
              <w:t>Surgical repair</w:t>
            </w:r>
          </w:p>
        </w:tc>
        <w:tc>
          <w:tcPr>
            <w:tcW w:w="1435" w:type="dxa"/>
            <w:vAlign w:val="center"/>
          </w:tcPr>
          <w:p w14:paraId="068C76D2" w14:textId="5A412DAD" w:rsidR="00FB63A0" w:rsidRDefault="00FB63A0" w:rsidP="00FB63A0">
            <w:r w:rsidRPr="00837408">
              <w:rPr>
                <w:rFonts w:ascii="Times New Roman" w:hAnsi="Times New Roman" w:cs="Times New Roman"/>
                <w:sz w:val="20"/>
                <w:szCs w:val="20"/>
              </w:rPr>
              <w:t>Variable recovery</w:t>
            </w:r>
          </w:p>
        </w:tc>
      </w:tr>
      <w:tr w:rsidR="00FB63A0" w14:paraId="2AF52858" w14:textId="77777777" w:rsidTr="00FB63A0">
        <w:tc>
          <w:tcPr>
            <w:tcW w:w="1885" w:type="dxa"/>
            <w:vAlign w:val="center"/>
          </w:tcPr>
          <w:p w14:paraId="6982DB6F" w14:textId="2CC5ADAC" w:rsidR="00FB63A0" w:rsidRDefault="00FB63A0" w:rsidP="00FB63A0">
            <w:r w:rsidRPr="00837408">
              <w:rPr>
                <w:rFonts w:ascii="Times New Roman" w:hAnsi="Times New Roman" w:cs="Times New Roman"/>
                <w:sz w:val="20"/>
                <w:szCs w:val="20"/>
              </w:rPr>
              <w:t>Ahmed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
                <w:id w:val="1358631966"/>
                <w:placeholder>
                  <w:docPart w:val="90D681FCADB04623BA17E1D880FCD1AA"/>
                </w:placeholder>
              </w:sdtPr>
              <w:sdtContent>
                <w:r w:rsidR="000B40D5" w:rsidRPr="000B40D5">
                  <w:rPr>
                    <w:rFonts w:ascii="Times New Roman" w:hAnsi="Times New Roman" w:cs="Times New Roman"/>
                    <w:color w:val="000000"/>
                    <w:sz w:val="20"/>
                    <w:szCs w:val="20"/>
                  </w:rPr>
                  <w:t>(Ahmed et al., 2020)</w:t>
                </w:r>
              </w:sdtContent>
            </w:sdt>
          </w:p>
        </w:tc>
        <w:tc>
          <w:tcPr>
            <w:tcW w:w="1416" w:type="dxa"/>
            <w:vAlign w:val="center"/>
          </w:tcPr>
          <w:p w14:paraId="5C292277" w14:textId="5200BD30" w:rsidR="00FB63A0" w:rsidRDefault="00FB63A0" w:rsidP="00FB63A0">
            <w:r w:rsidRPr="00837408">
              <w:rPr>
                <w:rFonts w:ascii="Times New Roman" w:hAnsi="Times New Roman" w:cs="Times New Roman"/>
                <w:sz w:val="20"/>
                <w:szCs w:val="20"/>
              </w:rPr>
              <w:t>Nigeria</w:t>
            </w:r>
          </w:p>
        </w:tc>
        <w:tc>
          <w:tcPr>
            <w:tcW w:w="1403" w:type="dxa"/>
            <w:vAlign w:val="center"/>
          </w:tcPr>
          <w:p w14:paraId="311C13B6" w14:textId="0166CB5C" w:rsidR="00FB63A0" w:rsidRDefault="00FB63A0" w:rsidP="00FB63A0">
            <w:r w:rsidRPr="00837408">
              <w:rPr>
                <w:rFonts w:ascii="Times New Roman" w:hAnsi="Times New Roman" w:cs="Times New Roman"/>
                <w:sz w:val="20"/>
                <w:szCs w:val="20"/>
              </w:rPr>
              <w:t>Case series</w:t>
            </w:r>
          </w:p>
        </w:tc>
        <w:tc>
          <w:tcPr>
            <w:tcW w:w="1423" w:type="dxa"/>
            <w:vAlign w:val="center"/>
          </w:tcPr>
          <w:p w14:paraId="1D2CF6D9" w14:textId="5F9431A1" w:rsidR="00FB63A0" w:rsidRDefault="00FB63A0" w:rsidP="00FB63A0">
            <w:r w:rsidRPr="00837408">
              <w:rPr>
                <w:rFonts w:ascii="Times New Roman" w:hAnsi="Times New Roman" w:cs="Times New Roman"/>
                <w:sz w:val="20"/>
                <w:szCs w:val="20"/>
              </w:rPr>
              <w:t>Children</w:t>
            </w:r>
          </w:p>
        </w:tc>
        <w:tc>
          <w:tcPr>
            <w:tcW w:w="1960" w:type="dxa"/>
            <w:vAlign w:val="center"/>
          </w:tcPr>
          <w:p w14:paraId="6106B27B" w14:textId="5340E9F2" w:rsidR="00FB63A0" w:rsidRDefault="00FB63A0" w:rsidP="00FB63A0">
            <w:r w:rsidRPr="00837408">
              <w:rPr>
                <w:rFonts w:ascii="Times New Roman" w:hAnsi="Times New Roman" w:cs="Times New Roman"/>
                <w:sz w:val="20"/>
                <w:szCs w:val="20"/>
              </w:rPr>
              <w:t>Penile injury (incl. glans)</w:t>
            </w:r>
          </w:p>
        </w:tc>
        <w:tc>
          <w:tcPr>
            <w:tcW w:w="1433" w:type="dxa"/>
            <w:vAlign w:val="center"/>
          </w:tcPr>
          <w:p w14:paraId="58F9F5BE" w14:textId="7C5BC2E6" w:rsidR="00FB63A0" w:rsidRDefault="00FB63A0" w:rsidP="00FB63A0">
            <w:r w:rsidRPr="00837408">
              <w:rPr>
                <w:rFonts w:ascii="Times New Roman" w:hAnsi="Times New Roman" w:cs="Times New Roman"/>
                <w:sz w:val="20"/>
                <w:szCs w:val="20"/>
              </w:rPr>
              <w:t>Untrained operator</w:t>
            </w:r>
          </w:p>
        </w:tc>
        <w:tc>
          <w:tcPr>
            <w:tcW w:w="1583" w:type="dxa"/>
            <w:vAlign w:val="center"/>
          </w:tcPr>
          <w:p w14:paraId="08556ACB" w14:textId="6750F786" w:rsidR="00FB63A0" w:rsidRDefault="00FB63A0" w:rsidP="00FB63A0">
            <w:r w:rsidRPr="00837408">
              <w:rPr>
                <w:rFonts w:ascii="Times New Roman" w:hAnsi="Times New Roman" w:cs="Times New Roman"/>
                <w:sz w:val="20"/>
                <w:szCs w:val="20"/>
              </w:rPr>
              <w:t>Ritual/traditional</w:t>
            </w:r>
          </w:p>
        </w:tc>
        <w:tc>
          <w:tcPr>
            <w:tcW w:w="1450" w:type="dxa"/>
            <w:vAlign w:val="center"/>
          </w:tcPr>
          <w:p w14:paraId="4FEEAF62" w14:textId="2834C731" w:rsidR="00FB63A0" w:rsidRDefault="00FB63A0" w:rsidP="00FB63A0">
            <w:r w:rsidRPr="00837408">
              <w:rPr>
                <w:rFonts w:ascii="Times New Roman" w:hAnsi="Times New Roman" w:cs="Times New Roman"/>
                <w:sz w:val="20"/>
                <w:szCs w:val="20"/>
              </w:rPr>
              <w:t>Surgical</w:t>
            </w:r>
          </w:p>
        </w:tc>
        <w:tc>
          <w:tcPr>
            <w:tcW w:w="1435" w:type="dxa"/>
            <w:vAlign w:val="center"/>
          </w:tcPr>
          <w:p w14:paraId="12CB20F0" w14:textId="0BCA71C7" w:rsidR="00FB63A0" w:rsidRDefault="00FB63A0" w:rsidP="00FB63A0">
            <w:r w:rsidRPr="00837408">
              <w:rPr>
                <w:rFonts w:ascii="Times New Roman" w:hAnsi="Times New Roman" w:cs="Times New Roman"/>
                <w:sz w:val="20"/>
                <w:szCs w:val="20"/>
              </w:rPr>
              <w:t>Complications present</w:t>
            </w:r>
          </w:p>
        </w:tc>
      </w:tr>
      <w:tr w:rsidR="00FB63A0" w14:paraId="09DBC4C6" w14:textId="77777777" w:rsidTr="00FB63A0">
        <w:tc>
          <w:tcPr>
            <w:tcW w:w="1885" w:type="dxa"/>
            <w:vAlign w:val="center"/>
          </w:tcPr>
          <w:p w14:paraId="511D2009" w14:textId="2041BBC5" w:rsidR="00FB63A0" w:rsidRDefault="00FB63A0" w:rsidP="00FB63A0">
            <w:r w:rsidRPr="00837408">
              <w:rPr>
                <w:rFonts w:ascii="Times New Roman" w:hAnsi="Times New Roman" w:cs="Times New Roman"/>
                <w:sz w:val="20"/>
                <w:szCs w:val="20"/>
              </w:rPr>
              <w:t>Akakpo-Numado (2021)</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
                <w:id w:val="475267331"/>
                <w:placeholder>
                  <w:docPart w:val="6DB2FAF08E11480D920D8F6861C6A741"/>
                </w:placeholder>
              </w:sdtPr>
              <w:sdtContent>
                <w:r w:rsidR="000B40D5" w:rsidRPr="000B40D5">
                  <w:rPr>
                    <w:rFonts w:ascii="Times New Roman" w:hAnsi="Times New Roman" w:cs="Times New Roman"/>
                    <w:color w:val="000000"/>
                    <w:sz w:val="20"/>
                    <w:szCs w:val="20"/>
                  </w:rPr>
                  <w:t>(Akakpo-Numado et al., 2021)</w:t>
                </w:r>
              </w:sdtContent>
            </w:sdt>
          </w:p>
        </w:tc>
        <w:tc>
          <w:tcPr>
            <w:tcW w:w="1416" w:type="dxa"/>
            <w:vAlign w:val="center"/>
          </w:tcPr>
          <w:p w14:paraId="6562DDF9" w14:textId="7BBD740C" w:rsidR="00FB63A0" w:rsidRDefault="00FB63A0" w:rsidP="00FB63A0">
            <w:r w:rsidRPr="00837408">
              <w:rPr>
                <w:rFonts w:ascii="Times New Roman" w:hAnsi="Times New Roman" w:cs="Times New Roman"/>
                <w:sz w:val="20"/>
                <w:szCs w:val="20"/>
              </w:rPr>
              <w:t>Togo</w:t>
            </w:r>
          </w:p>
        </w:tc>
        <w:tc>
          <w:tcPr>
            <w:tcW w:w="1403" w:type="dxa"/>
            <w:vAlign w:val="center"/>
          </w:tcPr>
          <w:p w14:paraId="1CEA7818" w14:textId="2E19E7DF" w:rsidR="00FB63A0" w:rsidRDefault="00FB63A0" w:rsidP="00FB63A0">
            <w:r w:rsidRPr="00837408">
              <w:rPr>
                <w:rFonts w:ascii="Times New Roman" w:hAnsi="Times New Roman" w:cs="Times New Roman"/>
                <w:sz w:val="20"/>
                <w:szCs w:val="20"/>
              </w:rPr>
              <w:t>Case report</w:t>
            </w:r>
          </w:p>
        </w:tc>
        <w:tc>
          <w:tcPr>
            <w:tcW w:w="1423" w:type="dxa"/>
            <w:vAlign w:val="center"/>
          </w:tcPr>
          <w:p w14:paraId="6A0DF401" w14:textId="32E12510" w:rsidR="00FB63A0" w:rsidRDefault="00FB63A0" w:rsidP="00FB63A0">
            <w:r w:rsidRPr="00837408">
              <w:rPr>
                <w:rFonts w:ascii="Times New Roman" w:hAnsi="Times New Roman" w:cs="Times New Roman"/>
                <w:sz w:val="20"/>
                <w:szCs w:val="20"/>
              </w:rPr>
              <w:t>Child</w:t>
            </w:r>
          </w:p>
        </w:tc>
        <w:tc>
          <w:tcPr>
            <w:tcW w:w="1960" w:type="dxa"/>
            <w:vAlign w:val="center"/>
          </w:tcPr>
          <w:p w14:paraId="3456A88D" w14:textId="0257A27F" w:rsidR="00FB63A0" w:rsidRDefault="00FB63A0" w:rsidP="00FB63A0">
            <w:r w:rsidRPr="00837408">
              <w:rPr>
                <w:rFonts w:ascii="Times New Roman" w:hAnsi="Times New Roman" w:cs="Times New Roman"/>
                <w:sz w:val="20"/>
                <w:szCs w:val="20"/>
              </w:rPr>
              <w:t>Glans amputation</w:t>
            </w:r>
          </w:p>
        </w:tc>
        <w:tc>
          <w:tcPr>
            <w:tcW w:w="1433" w:type="dxa"/>
            <w:vAlign w:val="center"/>
          </w:tcPr>
          <w:p w14:paraId="7B8CE90F" w14:textId="770180C8" w:rsidR="00FB63A0" w:rsidRDefault="00FB63A0" w:rsidP="00FB63A0">
            <w:r w:rsidRPr="00837408">
              <w:rPr>
                <w:rFonts w:ascii="Times New Roman" w:hAnsi="Times New Roman" w:cs="Times New Roman"/>
                <w:sz w:val="20"/>
                <w:szCs w:val="20"/>
              </w:rPr>
              <w:t>Traumatic circumcision</w:t>
            </w:r>
          </w:p>
        </w:tc>
        <w:tc>
          <w:tcPr>
            <w:tcW w:w="1583" w:type="dxa"/>
            <w:vAlign w:val="center"/>
          </w:tcPr>
          <w:p w14:paraId="67D5DB5C" w14:textId="0FB65DAA" w:rsidR="00FB63A0" w:rsidRDefault="00FB63A0" w:rsidP="00FB63A0">
            <w:r w:rsidRPr="00837408">
              <w:rPr>
                <w:rFonts w:ascii="Times New Roman" w:hAnsi="Times New Roman" w:cs="Times New Roman"/>
                <w:sz w:val="20"/>
                <w:szCs w:val="20"/>
              </w:rPr>
              <w:t>Non-hospital</w:t>
            </w:r>
          </w:p>
        </w:tc>
        <w:tc>
          <w:tcPr>
            <w:tcW w:w="1450" w:type="dxa"/>
            <w:vAlign w:val="center"/>
          </w:tcPr>
          <w:p w14:paraId="124D3C74" w14:textId="6234079D" w:rsidR="00FB63A0" w:rsidRDefault="00FB63A0" w:rsidP="00FB63A0">
            <w:r w:rsidRPr="00837408">
              <w:rPr>
                <w:rFonts w:ascii="Times New Roman" w:hAnsi="Times New Roman" w:cs="Times New Roman"/>
                <w:sz w:val="20"/>
                <w:szCs w:val="20"/>
              </w:rPr>
              <w:t>Replantation</w:t>
            </w:r>
          </w:p>
        </w:tc>
        <w:tc>
          <w:tcPr>
            <w:tcW w:w="1435" w:type="dxa"/>
            <w:vAlign w:val="center"/>
          </w:tcPr>
          <w:p w14:paraId="3814F46D" w14:textId="01150F78" w:rsidR="00FB63A0" w:rsidRDefault="00FB63A0" w:rsidP="00FB63A0">
            <w:r w:rsidRPr="00837408">
              <w:rPr>
                <w:rFonts w:ascii="Times New Roman" w:hAnsi="Times New Roman" w:cs="Times New Roman"/>
                <w:sz w:val="20"/>
                <w:szCs w:val="20"/>
              </w:rPr>
              <w:t>Functional recovery</w:t>
            </w:r>
          </w:p>
        </w:tc>
      </w:tr>
      <w:tr w:rsidR="00FB63A0" w14:paraId="51D7B1CD" w14:textId="77777777" w:rsidTr="00FB63A0">
        <w:tc>
          <w:tcPr>
            <w:tcW w:w="1885" w:type="dxa"/>
            <w:vAlign w:val="center"/>
          </w:tcPr>
          <w:p w14:paraId="52B72A7C" w14:textId="66D38D5B" w:rsidR="00FB63A0" w:rsidRDefault="00FB63A0" w:rsidP="00FB63A0">
            <w:r w:rsidRPr="00837408">
              <w:rPr>
                <w:rFonts w:ascii="Times New Roman" w:hAnsi="Times New Roman" w:cs="Times New Roman"/>
                <w:sz w:val="20"/>
                <w:szCs w:val="20"/>
              </w:rPr>
              <w:t>Andaloussi (2025)</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
                <w:id w:val="391165468"/>
                <w:placeholder>
                  <w:docPart w:val="849EF490D5BA4ED2878549F6DD5154C5"/>
                </w:placeholder>
              </w:sdtPr>
              <w:sdtContent>
                <w:r w:rsidR="000B40D5" w:rsidRPr="000B40D5">
                  <w:rPr>
                    <w:rFonts w:ascii="Times New Roman" w:hAnsi="Times New Roman" w:cs="Times New Roman"/>
                    <w:color w:val="000000"/>
                    <w:sz w:val="20"/>
                    <w:szCs w:val="20"/>
                  </w:rPr>
                  <w:t>(Andaloussi et al., 2025)</w:t>
                </w:r>
              </w:sdtContent>
            </w:sdt>
          </w:p>
        </w:tc>
        <w:tc>
          <w:tcPr>
            <w:tcW w:w="1416" w:type="dxa"/>
            <w:vAlign w:val="center"/>
          </w:tcPr>
          <w:p w14:paraId="57E5B694" w14:textId="554A9651" w:rsidR="00FB63A0" w:rsidRDefault="00FB63A0" w:rsidP="00FB63A0">
            <w:r w:rsidRPr="00837408">
              <w:rPr>
                <w:rFonts w:ascii="Times New Roman" w:hAnsi="Times New Roman" w:cs="Times New Roman"/>
                <w:sz w:val="20"/>
                <w:szCs w:val="20"/>
              </w:rPr>
              <w:t>Morocco</w:t>
            </w:r>
          </w:p>
        </w:tc>
        <w:tc>
          <w:tcPr>
            <w:tcW w:w="1403" w:type="dxa"/>
            <w:vAlign w:val="center"/>
          </w:tcPr>
          <w:p w14:paraId="229A3C4F" w14:textId="29758741" w:rsidR="00FB63A0" w:rsidRDefault="00FB63A0" w:rsidP="00FB63A0">
            <w:r w:rsidRPr="00837408">
              <w:rPr>
                <w:rFonts w:ascii="Times New Roman" w:hAnsi="Times New Roman" w:cs="Times New Roman"/>
                <w:sz w:val="20"/>
                <w:szCs w:val="20"/>
              </w:rPr>
              <w:t>Case report</w:t>
            </w:r>
          </w:p>
        </w:tc>
        <w:tc>
          <w:tcPr>
            <w:tcW w:w="1423" w:type="dxa"/>
            <w:vAlign w:val="center"/>
          </w:tcPr>
          <w:p w14:paraId="120875CC" w14:textId="1CD29CAF" w:rsidR="00FB63A0" w:rsidRDefault="00FB63A0" w:rsidP="00FB63A0">
            <w:r w:rsidRPr="00837408">
              <w:rPr>
                <w:rFonts w:ascii="Times New Roman" w:hAnsi="Times New Roman" w:cs="Times New Roman"/>
                <w:sz w:val="20"/>
                <w:szCs w:val="20"/>
              </w:rPr>
              <w:t>Child</w:t>
            </w:r>
          </w:p>
        </w:tc>
        <w:tc>
          <w:tcPr>
            <w:tcW w:w="1960" w:type="dxa"/>
            <w:vAlign w:val="center"/>
          </w:tcPr>
          <w:p w14:paraId="699BD771" w14:textId="56D1B7C5" w:rsidR="00FB63A0" w:rsidRDefault="00FB63A0" w:rsidP="00FB63A0">
            <w:r w:rsidRPr="00837408">
              <w:rPr>
                <w:rFonts w:ascii="Times New Roman" w:hAnsi="Times New Roman" w:cs="Times New Roman"/>
                <w:sz w:val="20"/>
                <w:szCs w:val="20"/>
              </w:rPr>
              <w:t>Total penile amputation</w:t>
            </w:r>
          </w:p>
        </w:tc>
        <w:tc>
          <w:tcPr>
            <w:tcW w:w="1433" w:type="dxa"/>
            <w:vAlign w:val="center"/>
          </w:tcPr>
          <w:p w14:paraId="1AA4FD11" w14:textId="4683E45F" w:rsidR="00FB63A0" w:rsidRDefault="00FB63A0" w:rsidP="00FB63A0">
            <w:r w:rsidRPr="00837408">
              <w:rPr>
                <w:rFonts w:ascii="Times New Roman" w:hAnsi="Times New Roman" w:cs="Times New Roman"/>
                <w:sz w:val="20"/>
                <w:szCs w:val="20"/>
              </w:rPr>
              <w:t>Procedural error</w:t>
            </w:r>
          </w:p>
        </w:tc>
        <w:tc>
          <w:tcPr>
            <w:tcW w:w="1583" w:type="dxa"/>
            <w:vAlign w:val="center"/>
          </w:tcPr>
          <w:p w14:paraId="468D480C" w14:textId="4CDCE841" w:rsidR="00FB63A0" w:rsidRDefault="00FB63A0" w:rsidP="00FB63A0">
            <w:r w:rsidRPr="00837408">
              <w:rPr>
                <w:rFonts w:ascii="Times New Roman" w:hAnsi="Times New Roman" w:cs="Times New Roman"/>
                <w:sz w:val="20"/>
                <w:szCs w:val="20"/>
              </w:rPr>
              <w:t>Traditional setting</w:t>
            </w:r>
          </w:p>
        </w:tc>
        <w:tc>
          <w:tcPr>
            <w:tcW w:w="1450" w:type="dxa"/>
            <w:vAlign w:val="center"/>
          </w:tcPr>
          <w:p w14:paraId="3511CA27" w14:textId="51C6D3FD" w:rsidR="00FB63A0" w:rsidRDefault="00FB63A0" w:rsidP="00FB63A0">
            <w:r w:rsidRPr="00837408">
              <w:rPr>
                <w:rFonts w:ascii="Times New Roman" w:hAnsi="Times New Roman" w:cs="Times New Roman"/>
                <w:sz w:val="20"/>
                <w:szCs w:val="20"/>
              </w:rPr>
              <w:t>Reimplantation</w:t>
            </w:r>
          </w:p>
        </w:tc>
        <w:tc>
          <w:tcPr>
            <w:tcW w:w="1435" w:type="dxa"/>
            <w:vAlign w:val="center"/>
          </w:tcPr>
          <w:p w14:paraId="06851330" w14:textId="53BF6A99" w:rsidR="00FB63A0" w:rsidRDefault="00FB63A0" w:rsidP="00FB63A0">
            <w:r w:rsidRPr="00837408">
              <w:rPr>
                <w:rFonts w:ascii="Times New Roman" w:hAnsi="Times New Roman" w:cs="Times New Roman"/>
                <w:sz w:val="20"/>
                <w:szCs w:val="20"/>
              </w:rPr>
              <w:t>Partial recovery</w:t>
            </w:r>
          </w:p>
        </w:tc>
      </w:tr>
      <w:tr w:rsidR="00FB63A0" w14:paraId="0A2BD4E7" w14:textId="77777777" w:rsidTr="00FB63A0">
        <w:tc>
          <w:tcPr>
            <w:tcW w:w="1885" w:type="dxa"/>
            <w:vAlign w:val="center"/>
          </w:tcPr>
          <w:p w14:paraId="6E8E2FA5" w14:textId="626359D3" w:rsidR="00FB63A0" w:rsidRDefault="00FB63A0" w:rsidP="00FB63A0">
            <w:r w:rsidRPr="00837408">
              <w:rPr>
                <w:rFonts w:ascii="Times New Roman" w:hAnsi="Times New Roman" w:cs="Times New Roman"/>
                <w:sz w:val="20"/>
                <w:szCs w:val="20"/>
              </w:rPr>
              <w:t>Ayalew (2025)</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
                <w:id w:val="-1147047629"/>
                <w:placeholder>
                  <w:docPart w:val="E3717A6336F54585A6F55EBA11A5A432"/>
                </w:placeholder>
              </w:sdtPr>
              <w:sdtContent>
                <w:r w:rsidR="000B40D5" w:rsidRPr="000B40D5">
                  <w:rPr>
                    <w:rFonts w:ascii="Times New Roman" w:hAnsi="Times New Roman" w:cs="Times New Roman"/>
                    <w:color w:val="000000"/>
                    <w:sz w:val="20"/>
                    <w:szCs w:val="20"/>
                  </w:rPr>
                  <w:t>(Ayalew et al., 2025)</w:t>
                </w:r>
              </w:sdtContent>
            </w:sdt>
          </w:p>
        </w:tc>
        <w:tc>
          <w:tcPr>
            <w:tcW w:w="1416" w:type="dxa"/>
            <w:vAlign w:val="center"/>
          </w:tcPr>
          <w:p w14:paraId="5FC6BD68" w14:textId="36ABB158" w:rsidR="00FB63A0" w:rsidRDefault="00FB63A0" w:rsidP="00FB63A0">
            <w:r w:rsidRPr="00837408">
              <w:rPr>
                <w:rFonts w:ascii="Times New Roman" w:hAnsi="Times New Roman" w:cs="Times New Roman"/>
                <w:sz w:val="20"/>
                <w:szCs w:val="20"/>
              </w:rPr>
              <w:t>Ethiopia</w:t>
            </w:r>
          </w:p>
        </w:tc>
        <w:tc>
          <w:tcPr>
            <w:tcW w:w="1403" w:type="dxa"/>
            <w:vAlign w:val="center"/>
          </w:tcPr>
          <w:p w14:paraId="665D3158" w14:textId="73BF4100" w:rsidR="00FB63A0" w:rsidRDefault="00FB63A0" w:rsidP="00FB63A0">
            <w:r w:rsidRPr="00837408">
              <w:rPr>
                <w:rFonts w:ascii="Times New Roman" w:hAnsi="Times New Roman" w:cs="Times New Roman"/>
                <w:sz w:val="20"/>
                <w:szCs w:val="20"/>
              </w:rPr>
              <w:t>Case report</w:t>
            </w:r>
          </w:p>
        </w:tc>
        <w:tc>
          <w:tcPr>
            <w:tcW w:w="1423" w:type="dxa"/>
            <w:vAlign w:val="center"/>
          </w:tcPr>
          <w:p w14:paraId="203AF2C2" w14:textId="0B2D9A82" w:rsidR="00FB63A0" w:rsidRDefault="00FB63A0" w:rsidP="00FB63A0">
            <w:r w:rsidRPr="00837408">
              <w:rPr>
                <w:rFonts w:ascii="Times New Roman" w:hAnsi="Times New Roman" w:cs="Times New Roman"/>
                <w:sz w:val="20"/>
                <w:szCs w:val="20"/>
              </w:rPr>
              <w:t>Child</w:t>
            </w:r>
          </w:p>
        </w:tc>
        <w:tc>
          <w:tcPr>
            <w:tcW w:w="1960" w:type="dxa"/>
            <w:vAlign w:val="center"/>
          </w:tcPr>
          <w:p w14:paraId="107FC4A3" w14:textId="6F8D2A4A" w:rsidR="00FB63A0" w:rsidRDefault="00FB63A0" w:rsidP="00FB63A0">
            <w:r w:rsidRPr="00837408">
              <w:rPr>
                <w:rFonts w:ascii="Times New Roman" w:hAnsi="Times New Roman" w:cs="Times New Roman"/>
                <w:sz w:val="20"/>
                <w:szCs w:val="20"/>
              </w:rPr>
              <w:t>Penile amputation</w:t>
            </w:r>
          </w:p>
        </w:tc>
        <w:tc>
          <w:tcPr>
            <w:tcW w:w="1433" w:type="dxa"/>
            <w:vAlign w:val="center"/>
          </w:tcPr>
          <w:p w14:paraId="10A7519F" w14:textId="159C5A83" w:rsidR="00FB63A0" w:rsidRDefault="00FB63A0" w:rsidP="00FB63A0">
            <w:r w:rsidRPr="00837408">
              <w:rPr>
                <w:rFonts w:ascii="Times New Roman" w:hAnsi="Times New Roman" w:cs="Times New Roman"/>
                <w:sz w:val="20"/>
                <w:szCs w:val="20"/>
              </w:rPr>
              <w:t>Unskilled provider</w:t>
            </w:r>
          </w:p>
        </w:tc>
        <w:tc>
          <w:tcPr>
            <w:tcW w:w="1583" w:type="dxa"/>
            <w:vAlign w:val="center"/>
          </w:tcPr>
          <w:p w14:paraId="7DF30146" w14:textId="2A49105C" w:rsidR="00FB63A0" w:rsidRDefault="00FB63A0" w:rsidP="00FB63A0">
            <w:r w:rsidRPr="00837408">
              <w:rPr>
                <w:rFonts w:ascii="Times New Roman" w:hAnsi="Times New Roman" w:cs="Times New Roman"/>
                <w:sz w:val="20"/>
                <w:szCs w:val="20"/>
              </w:rPr>
              <w:t>Rural setting</w:t>
            </w:r>
          </w:p>
        </w:tc>
        <w:tc>
          <w:tcPr>
            <w:tcW w:w="1450" w:type="dxa"/>
            <w:vAlign w:val="center"/>
          </w:tcPr>
          <w:p w14:paraId="6E84C354" w14:textId="500558D0" w:rsidR="00FB63A0" w:rsidRDefault="00FB63A0" w:rsidP="00FB63A0">
            <w:r w:rsidRPr="00837408">
              <w:rPr>
                <w:rFonts w:ascii="Times New Roman" w:hAnsi="Times New Roman" w:cs="Times New Roman"/>
                <w:sz w:val="20"/>
                <w:szCs w:val="20"/>
              </w:rPr>
              <w:t>Surgical</w:t>
            </w:r>
          </w:p>
        </w:tc>
        <w:tc>
          <w:tcPr>
            <w:tcW w:w="1435" w:type="dxa"/>
            <w:vAlign w:val="center"/>
          </w:tcPr>
          <w:p w14:paraId="764652BE" w14:textId="782CF0A9" w:rsidR="00FB63A0" w:rsidRDefault="00FB63A0" w:rsidP="00FB63A0">
            <w:r w:rsidRPr="00837408">
              <w:rPr>
                <w:rFonts w:ascii="Times New Roman" w:hAnsi="Times New Roman" w:cs="Times New Roman"/>
                <w:sz w:val="20"/>
                <w:szCs w:val="20"/>
              </w:rPr>
              <w:t>Variable outcome</w:t>
            </w:r>
          </w:p>
        </w:tc>
      </w:tr>
      <w:tr w:rsidR="00FB63A0" w14:paraId="41B34735" w14:textId="77777777" w:rsidTr="00FB63A0">
        <w:tc>
          <w:tcPr>
            <w:tcW w:w="1885" w:type="dxa"/>
            <w:vAlign w:val="center"/>
          </w:tcPr>
          <w:p w14:paraId="136781A7" w14:textId="51A6E196" w:rsidR="00FB63A0" w:rsidRDefault="00FB63A0" w:rsidP="00FB63A0">
            <w:r w:rsidRPr="00837408">
              <w:rPr>
                <w:rFonts w:ascii="Times New Roman" w:hAnsi="Times New Roman" w:cs="Times New Roman"/>
                <w:sz w:val="20"/>
                <w:szCs w:val="20"/>
              </w:rPr>
              <w:t>Banihani (2014)</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
                <w:id w:val="246923382"/>
                <w:placeholder>
                  <w:docPart w:val="DA281906DB2F45EDB8A272834D73F035"/>
                </w:placeholder>
              </w:sdtPr>
              <w:sdtContent>
                <w:r w:rsidR="000B40D5" w:rsidRPr="000B40D5">
                  <w:rPr>
                    <w:rFonts w:ascii="Times New Roman" w:hAnsi="Times New Roman" w:cs="Times New Roman"/>
                    <w:color w:val="000000"/>
                    <w:sz w:val="20"/>
                    <w:szCs w:val="20"/>
                  </w:rPr>
                  <w:t>(Banihani et al., 2014)</w:t>
                </w:r>
              </w:sdtContent>
            </w:sdt>
          </w:p>
        </w:tc>
        <w:tc>
          <w:tcPr>
            <w:tcW w:w="1416" w:type="dxa"/>
            <w:vAlign w:val="center"/>
          </w:tcPr>
          <w:p w14:paraId="04E5A0F7" w14:textId="4478BAE6" w:rsidR="00FB63A0" w:rsidRDefault="00FB63A0" w:rsidP="00FB63A0">
            <w:r w:rsidRPr="00837408">
              <w:rPr>
                <w:rFonts w:ascii="Times New Roman" w:hAnsi="Times New Roman" w:cs="Times New Roman"/>
                <w:sz w:val="20"/>
                <w:szCs w:val="20"/>
              </w:rPr>
              <w:t>Jordan</w:t>
            </w:r>
          </w:p>
        </w:tc>
        <w:tc>
          <w:tcPr>
            <w:tcW w:w="1403" w:type="dxa"/>
            <w:vAlign w:val="center"/>
          </w:tcPr>
          <w:p w14:paraId="785CDE2C" w14:textId="66A6D262" w:rsidR="00FB63A0" w:rsidRDefault="00FB63A0" w:rsidP="00FB63A0">
            <w:r w:rsidRPr="00837408">
              <w:rPr>
                <w:rFonts w:ascii="Times New Roman" w:hAnsi="Times New Roman" w:cs="Times New Roman"/>
                <w:sz w:val="20"/>
                <w:szCs w:val="20"/>
              </w:rPr>
              <w:t>Case report</w:t>
            </w:r>
          </w:p>
        </w:tc>
        <w:tc>
          <w:tcPr>
            <w:tcW w:w="1423" w:type="dxa"/>
            <w:vAlign w:val="center"/>
          </w:tcPr>
          <w:p w14:paraId="1DC431E7" w14:textId="28E1E8B9" w:rsidR="00FB63A0" w:rsidRDefault="00FB63A0" w:rsidP="00FB63A0">
            <w:r w:rsidRPr="00837408">
              <w:rPr>
                <w:rFonts w:ascii="Times New Roman" w:hAnsi="Times New Roman" w:cs="Times New Roman"/>
                <w:sz w:val="20"/>
                <w:szCs w:val="20"/>
              </w:rPr>
              <w:t>Neonate</w:t>
            </w:r>
          </w:p>
        </w:tc>
        <w:tc>
          <w:tcPr>
            <w:tcW w:w="1960" w:type="dxa"/>
            <w:vAlign w:val="center"/>
          </w:tcPr>
          <w:p w14:paraId="0ABB1E66" w14:textId="7DA9C2FE" w:rsidR="00FB63A0" w:rsidRDefault="00FB63A0" w:rsidP="00FB63A0">
            <w:r w:rsidRPr="00837408">
              <w:rPr>
                <w:rFonts w:ascii="Times New Roman" w:hAnsi="Times New Roman" w:cs="Times New Roman"/>
                <w:sz w:val="20"/>
                <w:szCs w:val="20"/>
              </w:rPr>
              <w:t>Penile amputation</w:t>
            </w:r>
          </w:p>
        </w:tc>
        <w:tc>
          <w:tcPr>
            <w:tcW w:w="1433" w:type="dxa"/>
            <w:vAlign w:val="center"/>
          </w:tcPr>
          <w:p w14:paraId="4789DA5D" w14:textId="74AA768B" w:rsidR="00FB63A0" w:rsidRDefault="00FB63A0" w:rsidP="00FB63A0">
            <w:r w:rsidRPr="00837408">
              <w:rPr>
                <w:rFonts w:ascii="Times New Roman" w:hAnsi="Times New Roman" w:cs="Times New Roman"/>
                <w:sz w:val="20"/>
                <w:szCs w:val="20"/>
              </w:rPr>
              <w:t>Ritual circumcision</w:t>
            </w:r>
          </w:p>
        </w:tc>
        <w:tc>
          <w:tcPr>
            <w:tcW w:w="1583" w:type="dxa"/>
            <w:vAlign w:val="center"/>
          </w:tcPr>
          <w:p w14:paraId="0E8AFB2E" w14:textId="4A929E78" w:rsidR="00FB63A0" w:rsidRDefault="00FB63A0" w:rsidP="00FB63A0">
            <w:r w:rsidRPr="00837408">
              <w:rPr>
                <w:rFonts w:ascii="Times New Roman" w:hAnsi="Times New Roman" w:cs="Times New Roman"/>
                <w:sz w:val="20"/>
                <w:szCs w:val="20"/>
              </w:rPr>
              <w:t>Non-medical</w:t>
            </w:r>
          </w:p>
        </w:tc>
        <w:tc>
          <w:tcPr>
            <w:tcW w:w="1450" w:type="dxa"/>
            <w:vAlign w:val="center"/>
          </w:tcPr>
          <w:p w14:paraId="04D2BB94" w14:textId="75D631B0" w:rsidR="00FB63A0" w:rsidRDefault="00FB63A0" w:rsidP="00FB63A0">
            <w:r w:rsidRPr="00837408">
              <w:rPr>
                <w:rFonts w:ascii="Times New Roman" w:hAnsi="Times New Roman" w:cs="Times New Roman"/>
                <w:sz w:val="20"/>
                <w:szCs w:val="20"/>
              </w:rPr>
              <w:t>Replantation</w:t>
            </w:r>
          </w:p>
        </w:tc>
        <w:tc>
          <w:tcPr>
            <w:tcW w:w="1435" w:type="dxa"/>
            <w:vAlign w:val="center"/>
          </w:tcPr>
          <w:p w14:paraId="2372C228" w14:textId="353D33CF" w:rsidR="00FB63A0" w:rsidRDefault="00FB63A0" w:rsidP="00FB63A0">
            <w:r w:rsidRPr="00837408">
              <w:rPr>
                <w:rFonts w:ascii="Times New Roman" w:hAnsi="Times New Roman" w:cs="Times New Roman"/>
                <w:sz w:val="20"/>
                <w:szCs w:val="20"/>
              </w:rPr>
              <w:t>Good recovery</w:t>
            </w:r>
          </w:p>
        </w:tc>
      </w:tr>
      <w:tr w:rsidR="00FB63A0" w14:paraId="27BD6811" w14:textId="77777777" w:rsidTr="00FB63A0">
        <w:tc>
          <w:tcPr>
            <w:tcW w:w="1885" w:type="dxa"/>
            <w:vAlign w:val="center"/>
          </w:tcPr>
          <w:p w14:paraId="0744101D" w14:textId="7DCB4337" w:rsidR="00FB63A0" w:rsidRDefault="00FB63A0" w:rsidP="00FB63A0">
            <w:r w:rsidRPr="00837408">
              <w:rPr>
                <w:rFonts w:ascii="Times New Roman" w:hAnsi="Times New Roman" w:cs="Times New Roman"/>
                <w:sz w:val="20"/>
                <w:szCs w:val="20"/>
              </w:rPr>
              <w:t>Elmi (2026)</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
                <w:id w:val="2070763241"/>
                <w:placeholder>
                  <w:docPart w:val="B1CFFE293EA243BEB6BE833F03F51BAC"/>
                </w:placeholder>
              </w:sdtPr>
              <w:sdtContent>
                <w:r w:rsidR="000B40D5" w:rsidRPr="000B40D5">
                  <w:rPr>
                    <w:rFonts w:ascii="Times New Roman" w:hAnsi="Times New Roman" w:cs="Times New Roman"/>
                    <w:color w:val="000000"/>
                    <w:sz w:val="20"/>
                    <w:szCs w:val="20"/>
                  </w:rPr>
                  <w:t>(Elmi et al., 2026)</w:t>
                </w:r>
              </w:sdtContent>
            </w:sdt>
          </w:p>
        </w:tc>
        <w:tc>
          <w:tcPr>
            <w:tcW w:w="1416" w:type="dxa"/>
            <w:vAlign w:val="center"/>
          </w:tcPr>
          <w:p w14:paraId="592AD6B1" w14:textId="0C21C8F9" w:rsidR="00FB63A0" w:rsidRDefault="00FB63A0" w:rsidP="00FB63A0">
            <w:r w:rsidRPr="00837408">
              <w:rPr>
                <w:rFonts w:ascii="Times New Roman" w:hAnsi="Times New Roman" w:cs="Times New Roman"/>
                <w:sz w:val="20"/>
                <w:szCs w:val="20"/>
              </w:rPr>
              <w:t>Somalia</w:t>
            </w:r>
          </w:p>
        </w:tc>
        <w:tc>
          <w:tcPr>
            <w:tcW w:w="1403" w:type="dxa"/>
            <w:vAlign w:val="center"/>
          </w:tcPr>
          <w:p w14:paraId="5B7B19F1" w14:textId="0727B886" w:rsidR="00FB63A0" w:rsidRDefault="00FB63A0" w:rsidP="00FB63A0">
            <w:r w:rsidRPr="00837408">
              <w:rPr>
                <w:rFonts w:ascii="Times New Roman" w:hAnsi="Times New Roman" w:cs="Times New Roman"/>
                <w:sz w:val="20"/>
                <w:szCs w:val="20"/>
              </w:rPr>
              <w:t>Case report</w:t>
            </w:r>
          </w:p>
        </w:tc>
        <w:tc>
          <w:tcPr>
            <w:tcW w:w="1423" w:type="dxa"/>
            <w:vAlign w:val="center"/>
          </w:tcPr>
          <w:p w14:paraId="1C9F23FF" w14:textId="19DEABC6" w:rsidR="00FB63A0" w:rsidRDefault="00FB63A0" w:rsidP="00FB63A0">
            <w:r w:rsidRPr="00837408">
              <w:rPr>
                <w:rFonts w:ascii="Times New Roman" w:hAnsi="Times New Roman" w:cs="Times New Roman"/>
                <w:sz w:val="20"/>
                <w:szCs w:val="20"/>
              </w:rPr>
              <w:t>Child</w:t>
            </w:r>
          </w:p>
        </w:tc>
        <w:tc>
          <w:tcPr>
            <w:tcW w:w="1960" w:type="dxa"/>
            <w:vAlign w:val="center"/>
          </w:tcPr>
          <w:p w14:paraId="2034A144" w14:textId="0E707C29" w:rsidR="00FB63A0" w:rsidRDefault="00FB63A0" w:rsidP="00FB63A0">
            <w:r w:rsidRPr="00837408">
              <w:rPr>
                <w:rFonts w:ascii="Times New Roman" w:hAnsi="Times New Roman" w:cs="Times New Roman"/>
                <w:sz w:val="20"/>
                <w:szCs w:val="20"/>
              </w:rPr>
              <w:t>Glans amputation</w:t>
            </w:r>
          </w:p>
        </w:tc>
        <w:tc>
          <w:tcPr>
            <w:tcW w:w="1433" w:type="dxa"/>
            <w:vAlign w:val="center"/>
          </w:tcPr>
          <w:p w14:paraId="1E1B66F3" w14:textId="0C57F156" w:rsidR="00FB63A0" w:rsidRDefault="00FB63A0" w:rsidP="00FB63A0">
            <w:r w:rsidRPr="00837408">
              <w:rPr>
                <w:rFonts w:ascii="Times New Roman" w:hAnsi="Times New Roman" w:cs="Times New Roman"/>
                <w:sz w:val="20"/>
                <w:szCs w:val="20"/>
              </w:rPr>
              <w:t>Traditional circumcision</w:t>
            </w:r>
          </w:p>
        </w:tc>
        <w:tc>
          <w:tcPr>
            <w:tcW w:w="1583" w:type="dxa"/>
            <w:vAlign w:val="center"/>
          </w:tcPr>
          <w:p w14:paraId="1C49496D" w14:textId="24D22BD0" w:rsidR="00FB63A0" w:rsidRDefault="00FB63A0" w:rsidP="00FB63A0">
            <w:r w:rsidRPr="00837408">
              <w:rPr>
                <w:rFonts w:ascii="Times New Roman" w:hAnsi="Times New Roman" w:cs="Times New Roman"/>
                <w:sz w:val="20"/>
                <w:szCs w:val="20"/>
              </w:rPr>
              <w:t>Non-clinical</w:t>
            </w:r>
          </w:p>
        </w:tc>
        <w:tc>
          <w:tcPr>
            <w:tcW w:w="1450" w:type="dxa"/>
            <w:vAlign w:val="center"/>
          </w:tcPr>
          <w:p w14:paraId="4292A992" w14:textId="2DE78D8D" w:rsidR="00FB63A0" w:rsidRDefault="00FB63A0" w:rsidP="00FB63A0">
            <w:r w:rsidRPr="00837408">
              <w:rPr>
                <w:rFonts w:ascii="Times New Roman" w:hAnsi="Times New Roman" w:cs="Times New Roman"/>
                <w:sz w:val="20"/>
                <w:szCs w:val="20"/>
              </w:rPr>
              <w:t>Surgical</w:t>
            </w:r>
          </w:p>
        </w:tc>
        <w:tc>
          <w:tcPr>
            <w:tcW w:w="1435" w:type="dxa"/>
            <w:vAlign w:val="center"/>
          </w:tcPr>
          <w:p w14:paraId="0F80311D" w14:textId="272E1C89" w:rsidR="00FB63A0" w:rsidRDefault="00FB63A0" w:rsidP="00FB63A0">
            <w:r w:rsidRPr="00837408">
              <w:rPr>
                <w:rFonts w:ascii="Times New Roman" w:hAnsi="Times New Roman" w:cs="Times New Roman"/>
                <w:sz w:val="20"/>
                <w:szCs w:val="20"/>
              </w:rPr>
              <w:t>Acceptable outcome</w:t>
            </w:r>
          </w:p>
        </w:tc>
      </w:tr>
      <w:tr w:rsidR="00FB63A0" w14:paraId="7F1E494B" w14:textId="77777777" w:rsidTr="00FB63A0">
        <w:tc>
          <w:tcPr>
            <w:tcW w:w="1885" w:type="dxa"/>
            <w:vAlign w:val="center"/>
          </w:tcPr>
          <w:p w14:paraId="5A18D463" w14:textId="400365C7" w:rsidR="00FB63A0" w:rsidRDefault="00FB63A0" w:rsidP="00FB63A0">
            <w:r w:rsidRPr="00837408">
              <w:rPr>
                <w:rFonts w:ascii="Times New Roman" w:hAnsi="Times New Roman" w:cs="Times New Roman"/>
                <w:sz w:val="20"/>
                <w:szCs w:val="20"/>
              </w:rPr>
              <w:t>Garrido-Abad (2015)</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
                <w:id w:val="-2044597303"/>
                <w:placeholder>
                  <w:docPart w:val="320574036DB649B7B0D6E004541CB69C"/>
                </w:placeholder>
              </w:sdtPr>
              <w:sdtContent>
                <w:r w:rsidR="000B40D5" w:rsidRPr="000B40D5">
                  <w:rPr>
                    <w:rFonts w:ascii="Times New Roman" w:eastAsia="Times New Roman" w:hAnsi="Times New Roman" w:cs="Times New Roman"/>
                    <w:color w:val="000000"/>
                    <w:sz w:val="20"/>
                  </w:rPr>
                  <w:t>(Garrido-Abad &amp; Suarez-Fonseca, 2015)</w:t>
                </w:r>
              </w:sdtContent>
            </w:sdt>
            <w:r>
              <w:rPr>
                <w:rFonts w:ascii="Times New Roman" w:hAnsi="Times New Roman" w:cs="Times New Roman"/>
                <w:sz w:val="20"/>
                <w:szCs w:val="20"/>
              </w:rPr>
              <w:t xml:space="preserve"> </w:t>
            </w:r>
          </w:p>
        </w:tc>
        <w:tc>
          <w:tcPr>
            <w:tcW w:w="1416" w:type="dxa"/>
            <w:vAlign w:val="center"/>
          </w:tcPr>
          <w:p w14:paraId="0598B1A3" w14:textId="5F204C0A" w:rsidR="00FB63A0" w:rsidRDefault="00FB63A0" w:rsidP="00FB63A0">
            <w:r w:rsidRPr="00837408">
              <w:rPr>
                <w:rFonts w:ascii="Times New Roman" w:hAnsi="Times New Roman" w:cs="Times New Roman"/>
                <w:sz w:val="20"/>
                <w:szCs w:val="20"/>
              </w:rPr>
              <w:t>Spain</w:t>
            </w:r>
          </w:p>
        </w:tc>
        <w:tc>
          <w:tcPr>
            <w:tcW w:w="1403" w:type="dxa"/>
            <w:vAlign w:val="center"/>
          </w:tcPr>
          <w:p w14:paraId="4DE35B42" w14:textId="7512079A" w:rsidR="00FB63A0" w:rsidRDefault="00FB63A0" w:rsidP="00FB63A0">
            <w:r w:rsidRPr="00837408">
              <w:rPr>
                <w:rFonts w:ascii="Times New Roman" w:hAnsi="Times New Roman" w:cs="Times New Roman"/>
                <w:sz w:val="20"/>
                <w:szCs w:val="20"/>
              </w:rPr>
              <w:t>Case report</w:t>
            </w:r>
          </w:p>
        </w:tc>
        <w:tc>
          <w:tcPr>
            <w:tcW w:w="1423" w:type="dxa"/>
            <w:vAlign w:val="center"/>
          </w:tcPr>
          <w:p w14:paraId="2630D0CA" w14:textId="4FBA9555" w:rsidR="00FB63A0" w:rsidRDefault="00FB63A0" w:rsidP="00FB63A0">
            <w:r w:rsidRPr="00837408">
              <w:rPr>
                <w:rFonts w:ascii="Times New Roman" w:hAnsi="Times New Roman" w:cs="Times New Roman"/>
                <w:sz w:val="20"/>
                <w:szCs w:val="20"/>
              </w:rPr>
              <w:t>Child</w:t>
            </w:r>
          </w:p>
        </w:tc>
        <w:tc>
          <w:tcPr>
            <w:tcW w:w="1960" w:type="dxa"/>
            <w:vAlign w:val="center"/>
          </w:tcPr>
          <w:p w14:paraId="39C698BE" w14:textId="43FFB76B" w:rsidR="00FB63A0" w:rsidRDefault="00FB63A0" w:rsidP="00FB63A0">
            <w:r w:rsidRPr="00837408">
              <w:rPr>
                <w:rFonts w:ascii="Times New Roman" w:hAnsi="Times New Roman" w:cs="Times New Roman"/>
                <w:sz w:val="20"/>
                <w:szCs w:val="20"/>
              </w:rPr>
              <w:t>Glans ischemia/necrosis</w:t>
            </w:r>
          </w:p>
        </w:tc>
        <w:tc>
          <w:tcPr>
            <w:tcW w:w="1433" w:type="dxa"/>
            <w:vAlign w:val="center"/>
          </w:tcPr>
          <w:p w14:paraId="12DE962E" w14:textId="442C6008" w:rsidR="00FB63A0" w:rsidRDefault="00FB63A0" w:rsidP="00FB63A0">
            <w:r w:rsidRPr="00837408">
              <w:rPr>
                <w:rFonts w:ascii="Times New Roman" w:hAnsi="Times New Roman" w:cs="Times New Roman"/>
                <w:sz w:val="20"/>
                <w:szCs w:val="20"/>
              </w:rPr>
              <w:t>Dorsal nerve block</w:t>
            </w:r>
          </w:p>
        </w:tc>
        <w:tc>
          <w:tcPr>
            <w:tcW w:w="1583" w:type="dxa"/>
            <w:vAlign w:val="center"/>
          </w:tcPr>
          <w:p w14:paraId="00341E6F" w14:textId="756CFCC7" w:rsidR="00FB63A0" w:rsidRDefault="00FB63A0" w:rsidP="00FB63A0">
            <w:r w:rsidRPr="00837408">
              <w:rPr>
                <w:rFonts w:ascii="Times New Roman" w:hAnsi="Times New Roman" w:cs="Times New Roman"/>
                <w:sz w:val="20"/>
                <w:szCs w:val="20"/>
              </w:rPr>
              <w:t>Medical setting</w:t>
            </w:r>
          </w:p>
        </w:tc>
        <w:tc>
          <w:tcPr>
            <w:tcW w:w="1450" w:type="dxa"/>
            <w:vAlign w:val="center"/>
          </w:tcPr>
          <w:p w14:paraId="6A8032E2" w14:textId="712A5161" w:rsidR="00FB63A0" w:rsidRDefault="00FB63A0" w:rsidP="00FB63A0">
            <w:r w:rsidRPr="00837408">
              <w:rPr>
                <w:rFonts w:ascii="Times New Roman" w:hAnsi="Times New Roman" w:cs="Times New Roman"/>
                <w:sz w:val="20"/>
                <w:szCs w:val="20"/>
              </w:rPr>
              <w:t>Conservative + HBOT</w:t>
            </w:r>
          </w:p>
        </w:tc>
        <w:tc>
          <w:tcPr>
            <w:tcW w:w="1435" w:type="dxa"/>
            <w:vAlign w:val="center"/>
          </w:tcPr>
          <w:p w14:paraId="532CE889" w14:textId="7F80F670" w:rsidR="00FB63A0" w:rsidRDefault="00FB63A0" w:rsidP="00FB63A0">
            <w:r w:rsidRPr="00837408">
              <w:rPr>
                <w:rFonts w:ascii="Times New Roman" w:hAnsi="Times New Roman" w:cs="Times New Roman"/>
                <w:sz w:val="20"/>
                <w:szCs w:val="20"/>
              </w:rPr>
              <w:t>Recovery</w:t>
            </w:r>
          </w:p>
        </w:tc>
      </w:tr>
      <w:tr w:rsidR="00FB63A0" w14:paraId="6DA38F16" w14:textId="77777777" w:rsidTr="00FB63A0">
        <w:tc>
          <w:tcPr>
            <w:tcW w:w="1885" w:type="dxa"/>
            <w:vAlign w:val="center"/>
          </w:tcPr>
          <w:p w14:paraId="790C2DA4" w14:textId="35910650" w:rsidR="00FB63A0" w:rsidRDefault="00FB63A0" w:rsidP="00FB63A0">
            <w:r w:rsidRPr="00837408">
              <w:rPr>
                <w:rFonts w:ascii="Times New Roman" w:hAnsi="Times New Roman" w:cs="Times New Roman"/>
                <w:sz w:val="20"/>
                <w:szCs w:val="20"/>
              </w:rPr>
              <w:t>Hakim (2023)</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
                <w:id w:val="-459108633"/>
                <w:placeholder>
                  <w:docPart w:val="25F21BF08B6745BFA7C950C2CBD08F6D"/>
                </w:placeholder>
              </w:sdtPr>
              <w:sdtContent>
                <w:r w:rsidR="000B40D5" w:rsidRPr="000B40D5">
                  <w:rPr>
                    <w:rFonts w:ascii="Times New Roman" w:hAnsi="Times New Roman" w:cs="Times New Roman"/>
                    <w:color w:val="000000"/>
                    <w:sz w:val="20"/>
                    <w:szCs w:val="20"/>
                  </w:rPr>
                  <w:t>(M. B. I. Hakim et al., 2023)</w:t>
                </w:r>
              </w:sdtContent>
            </w:sdt>
          </w:p>
        </w:tc>
        <w:tc>
          <w:tcPr>
            <w:tcW w:w="1416" w:type="dxa"/>
            <w:vAlign w:val="center"/>
          </w:tcPr>
          <w:p w14:paraId="633FEA3B" w14:textId="16B7AA53" w:rsidR="00FB63A0" w:rsidRDefault="00FB63A0" w:rsidP="00FB63A0">
            <w:r w:rsidRPr="00837408">
              <w:rPr>
                <w:rFonts w:ascii="Times New Roman" w:hAnsi="Times New Roman" w:cs="Times New Roman"/>
                <w:sz w:val="20"/>
                <w:szCs w:val="20"/>
              </w:rPr>
              <w:t>Indonesia</w:t>
            </w:r>
          </w:p>
        </w:tc>
        <w:tc>
          <w:tcPr>
            <w:tcW w:w="1403" w:type="dxa"/>
            <w:vAlign w:val="center"/>
          </w:tcPr>
          <w:p w14:paraId="2609CACD" w14:textId="1F0DE179" w:rsidR="00FB63A0" w:rsidRDefault="00FB63A0" w:rsidP="00FB63A0">
            <w:r w:rsidRPr="00837408">
              <w:rPr>
                <w:rFonts w:ascii="Times New Roman" w:hAnsi="Times New Roman" w:cs="Times New Roman"/>
                <w:sz w:val="20"/>
                <w:szCs w:val="20"/>
              </w:rPr>
              <w:t>Case report</w:t>
            </w:r>
          </w:p>
        </w:tc>
        <w:tc>
          <w:tcPr>
            <w:tcW w:w="1423" w:type="dxa"/>
            <w:vAlign w:val="center"/>
          </w:tcPr>
          <w:p w14:paraId="60B5ED7E" w14:textId="728F9A56" w:rsidR="00FB63A0" w:rsidRDefault="00FB63A0" w:rsidP="00FB63A0">
            <w:r w:rsidRPr="00837408">
              <w:rPr>
                <w:rFonts w:ascii="Times New Roman" w:hAnsi="Times New Roman" w:cs="Times New Roman"/>
                <w:sz w:val="20"/>
                <w:szCs w:val="20"/>
              </w:rPr>
              <w:t>Child</w:t>
            </w:r>
          </w:p>
        </w:tc>
        <w:tc>
          <w:tcPr>
            <w:tcW w:w="1960" w:type="dxa"/>
            <w:vAlign w:val="center"/>
          </w:tcPr>
          <w:p w14:paraId="3E64DE81" w14:textId="0A20C05B" w:rsidR="00FB63A0" w:rsidRDefault="00FB63A0" w:rsidP="00FB63A0">
            <w:r w:rsidRPr="00837408">
              <w:rPr>
                <w:rFonts w:ascii="Times New Roman" w:hAnsi="Times New Roman" w:cs="Times New Roman"/>
                <w:sz w:val="20"/>
                <w:szCs w:val="20"/>
              </w:rPr>
              <w:t>Glans amputation</w:t>
            </w:r>
          </w:p>
        </w:tc>
        <w:tc>
          <w:tcPr>
            <w:tcW w:w="1433" w:type="dxa"/>
            <w:vAlign w:val="center"/>
          </w:tcPr>
          <w:p w14:paraId="3EB8CBA3" w14:textId="25801C88" w:rsidR="00FB63A0" w:rsidRDefault="00FB63A0" w:rsidP="00FB63A0">
            <w:r w:rsidRPr="00837408">
              <w:rPr>
                <w:rFonts w:ascii="Times New Roman" w:hAnsi="Times New Roman" w:cs="Times New Roman"/>
                <w:sz w:val="20"/>
                <w:szCs w:val="20"/>
              </w:rPr>
              <w:t>Clamp injury</w:t>
            </w:r>
          </w:p>
        </w:tc>
        <w:tc>
          <w:tcPr>
            <w:tcW w:w="1583" w:type="dxa"/>
            <w:vAlign w:val="center"/>
          </w:tcPr>
          <w:p w14:paraId="5268FEB6" w14:textId="3ED34D18" w:rsidR="00FB63A0" w:rsidRDefault="00FB63A0" w:rsidP="00FB63A0">
            <w:r w:rsidRPr="00837408">
              <w:rPr>
                <w:rFonts w:ascii="Times New Roman" w:hAnsi="Times New Roman" w:cs="Times New Roman"/>
                <w:sz w:val="20"/>
                <w:szCs w:val="20"/>
              </w:rPr>
              <w:t>Clinical setting</w:t>
            </w:r>
          </w:p>
        </w:tc>
        <w:tc>
          <w:tcPr>
            <w:tcW w:w="1450" w:type="dxa"/>
            <w:vAlign w:val="center"/>
          </w:tcPr>
          <w:p w14:paraId="2100656F" w14:textId="4B417AB1" w:rsidR="00FB63A0" w:rsidRDefault="00FB63A0" w:rsidP="00FB63A0">
            <w:r w:rsidRPr="00837408">
              <w:rPr>
                <w:rFonts w:ascii="Times New Roman" w:hAnsi="Times New Roman" w:cs="Times New Roman"/>
                <w:sz w:val="20"/>
                <w:szCs w:val="20"/>
              </w:rPr>
              <w:t>Surgical</w:t>
            </w:r>
          </w:p>
        </w:tc>
        <w:tc>
          <w:tcPr>
            <w:tcW w:w="1435" w:type="dxa"/>
            <w:vAlign w:val="center"/>
          </w:tcPr>
          <w:p w14:paraId="27401A95" w14:textId="2A0CC480" w:rsidR="00FB63A0" w:rsidRDefault="00FB63A0" w:rsidP="00FB63A0">
            <w:r w:rsidRPr="00837408">
              <w:rPr>
                <w:rFonts w:ascii="Times New Roman" w:hAnsi="Times New Roman" w:cs="Times New Roman"/>
                <w:sz w:val="20"/>
                <w:szCs w:val="20"/>
              </w:rPr>
              <w:t>Functional recovery</w:t>
            </w:r>
          </w:p>
        </w:tc>
      </w:tr>
      <w:tr w:rsidR="00FB63A0" w14:paraId="4ED42A56" w14:textId="77777777" w:rsidTr="00FB63A0">
        <w:tc>
          <w:tcPr>
            <w:tcW w:w="1885" w:type="dxa"/>
            <w:vAlign w:val="center"/>
          </w:tcPr>
          <w:p w14:paraId="38AF6FF7" w14:textId="46AFFFDF" w:rsidR="00FB63A0" w:rsidRDefault="00FB63A0" w:rsidP="00FB63A0">
            <w:r w:rsidRPr="00837408">
              <w:rPr>
                <w:rFonts w:ascii="Times New Roman" w:hAnsi="Times New Roman" w:cs="Times New Roman"/>
                <w:sz w:val="20"/>
                <w:szCs w:val="20"/>
              </w:rPr>
              <w:t>Lucas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
                <w:id w:val="-1677564621"/>
                <w:placeholder>
                  <w:docPart w:val="A4BC89E5C87645B4B5801AB710D0CE93"/>
                </w:placeholder>
              </w:sdtPr>
              <w:sdtContent>
                <w:r w:rsidR="000B40D5" w:rsidRPr="000B40D5">
                  <w:rPr>
                    <w:rFonts w:ascii="Times New Roman" w:hAnsi="Times New Roman" w:cs="Times New Roman"/>
                    <w:color w:val="000000"/>
                    <w:sz w:val="20"/>
                    <w:szCs w:val="20"/>
                  </w:rPr>
                  <w:t>(Lucas et al., 2020)</w:t>
                </w:r>
              </w:sdtContent>
            </w:sdt>
          </w:p>
        </w:tc>
        <w:tc>
          <w:tcPr>
            <w:tcW w:w="1416" w:type="dxa"/>
            <w:vAlign w:val="center"/>
          </w:tcPr>
          <w:p w14:paraId="3D673B23" w14:textId="4E7B1149" w:rsidR="00FB63A0" w:rsidRDefault="00FB63A0" w:rsidP="00FB63A0">
            <w:r w:rsidRPr="00837408">
              <w:rPr>
                <w:rFonts w:ascii="Times New Roman" w:hAnsi="Times New Roman" w:cs="Times New Roman"/>
                <w:sz w:val="20"/>
                <w:szCs w:val="20"/>
              </w:rPr>
              <w:t>Multi-country (Africa)</w:t>
            </w:r>
          </w:p>
        </w:tc>
        <w:tc>
          <w:tcPr>
            <w:tcW w:w="1403" w:type="dxa"/>
            <w:vAlign w:val="center"/>
          </w:tcPr>
          <w:p w14:paraId="3C54707A" w14:textId="6252F170" w:rsidR="00FB63A0" w:rsidRDefault="00FB63A0" w:rsidP="00FB63A0">
            <w:r w:rsidRPr="00837408">
              <w:rPr>
                <w:rFonts w:ascii="Times New Roman" w:hAnsi="Times New Roman" w:cs="Times New Roman"/>
                <w:sz w:val="20"/>
                <w:szCs w:val="20"/>
              </w:rPr>
              <w:t>Case series</w:t>
            </w:r>
          </w:p>
        </w:tc>
        <w:tc>
          <w:tcPr>
            <w:tcW w:w="1423" w:type="dxa"/>
            <w:vAlign w:val="center"/>
          </w:tcPr>
          <w:p w14:paraId="0E6BCC18" w14:textId="23054050" w:rsidR="00FB63A0" w:rsidRDefault="00FB63A0" w:rsidP="00FB63A0">
            <w:r w:rsidRPr="00837408">
              <w:rPr>
                <w:rFonts w:ascii="Times New Roman" w:hAnsi="Times New Roman" w:cs="Times New Roman"/>
                <w:sz w:val="20"/>
                <w:szCs w:val="20"/>
              </w:rPr>
              <w:t>Children</w:t>
            </w:r>
          </w:p>
        </w:tc>
        <w:tc>
          <w:tcPr>
            <w:tcW w:w="1960" w:type="dxa"/>
            <w:vAlign w:val="center"/>
          </w:tcPr>
          <w:p w14:paraId="58816B0A" w14:textId="1B8102C0" w:rsidR="00FB63A0" w:rsidRDefault="00FB63A0" w:rsidP="00FB63A0">
            <w:r w:rsidRPr="00837408">
              <w:rPr>
                <w:rFonts w:ascii="Times New Roman" w:hAnsi="Times New Roman" w:cs="Times New Roman"/>
                <w:sz w:val="20"/>
                <w:szCs w:val="20"/>
              </w:rPr>
              <w:t>Glans laceration/amputation</w:t>
            </w:r>
          </w:p>
        </w:tc>
        <w:tc>
          <w:tcPr>
            <w:tcW w:w="1433" w:type="dxa"/>
            <w:vAlign w:val="center"/>
          </w:tcPr>
          <w:p w14:paraId="77F452EB" w14:textId="3F533061" w:rsidR="00FB63A0" w:rsidRDefault="00FB63A0" w:rsidP="00FB63A0">
            <w:r w:rsidRPr="00837408">
              <w:rPr>
                <w:rFonts w:ascii="Times New Roman" w:hAnsi="Times New Roman" w:cs="Times New Roman"/>
                <w:sz w:val="20"/>
                <w:szCs w:val="20"/>
              </w:rPr>
              <w:t>Forceps-guided technique</w:t>
            </w:r>
          </w:p>
        </w:tc>
        <w:tc>
          <w:tcPr>
            <w:tcW w:w="1583" w:type="dxa"/>
            <w:vAlign w:val="center"/>
          </w:tcPr>
          <w:p w14:paraId="731DFDF9" w14:textId="7573CEA7" w:rsidR="00FB63A0" w:rsidRDefault="00FB63A0" w:rsidP="00FB63A0">
            <w:r w:rsidRPr="00837408">
              <w:rPr>
                <w:rFonts w:ascii="Times New Roman" w:hAnsi="Times New Roman" w:cs="Times New Roman"/>
                <w:sz w:val="20"/>
                <w:szCs w:val="20"/>
              </w:rPr>
              <w:t>Programmatic VMMC</w:t>
            </w:r>
          </w:p>
        </w:tc>
        <w:tc>
          <w:tcPr>
            <w:tcW w:w="1450" w:type="dxa"/>
            <w:vAlign w:val="center"/>
          </w:tcPr>
          <w:p w14:paraId="60A53C5B" w14:textId="76CBDF91" w:rsidR="00FB63A0" w:rsidRDefault="00FB63A0" w:rsidP="00FB63A0">
            <w:r w:rsidRPr="00837408">
              <w:rPr>
                <w:rFonts w:ascii="Times New Roman" w:hAnsi="Times New Roman" w:cs="Times New Roman"/>
                <w:sz w:val="20"/>
                <w:szCs w:val="20"/>
              </w:rPr>
              <w:t>Surgical</w:t>
            </w:r>
          </w:p>
        </w:tc>
        <w:tc>
          <w:tcPr>
            <w:tcW w:w="1435" w:type="dxa"/>
            <w:vAlign w:val="center"/>
          </w:tcPr>
          <w:p w14:paraId="3E09557C" w14:textId="064CA41B" w:rsidR="00FB63A0" w:rsidRDefault="00FB63A0" w:rsidP="00FB63A0">
            <w:r w:rsidRPr="00837408">
              <w:rPr>
                <w:rFonts w:ascii="Times New Roman" w:hAnsi="Times New Roman" w:cs="Times New Roman"/>
                <w:sz w:val="20"/>
                <w:szCs w:val="20"/>
              </w:rPr>
              <w:t>Mixed outcomes</w:t>
            </w:r>
          </w:p>
        </w:tc>
      </w:tr>
      <w:tr w:rsidR="00FB63A0" w14:paraId="67983024" w14:textId="77777777" w:rsidTr="00FB63A0">
        <w:tc>
          <w:tcPr>
            <w:tcW w:w="1885" w:type="dxa"/>
            <w:vAlign w:val="center"/>
          </w:tcPr>
          <w:p w14:paraId="25C01518" w14:textId="3223B39F" w:rsidR="00FB63A0" w:rsidRDefault="00FB63A0" w:rsidP="00FB63A0">
            <w:r w:rsidRPr="00837408">
              <w:rPr>
                <w:rFonts w:ascii="Times New Roman" w:hAnsi="Times New Roman" w:cs="Times New Roman"/>
                <w:sz w:val="20"/>
                <w:szCs w:val="20"/>
              </w:rPr>
              <w:t>Nafatalewa (2022)</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
                <w:id w:val="-1168938996"/>
                <w:placeholder>
                  <w:docPart w:val="009833737000463EA8CDD1E4C6F49072"/>
                </w:placeholder>
              </w:sdtPr>
              <w:sdtContent>
                <w:r w:rsidR="000B40D5" w:rsidRPr="000B40D5">
                  <w:rPr>
                    <w:rFonts w:ascii="Times New Roman" w:hAnsi="Times New Roman" w:cs="Times New Roman"/>
                    <w:color w:val="000000"/>
                    <w:sz w:val="20"/>
                    <w:szCs w:val="20"/>
                  </w:rPr>
                  <w:t>(Nafatalewa et al., 2022)</w:t>
                </w:r>
              </w:sdtContent>
            </w:sdt>
          </w:p>
        </w:tc>
        <w:tc>
          <w:tcPr>
            <w:tcW w:w="1416" w:type="dxa"/>
            <w:vAlign w:val="center"/>
          </w:tcPr>
          <w:p w14:paraId="54F5FA28" w14:textId="6949BA6A" w:rsidR="00FB63A0" w:rsidRDefault="00FB63A0" w:rsidP="00FB63A0">
            <w:r w:rsidRPr="00837408">
              <w:rPr>
                <w:rFonts w:ascii="Times New Roman" w:hAnsi="Times New Roman" w:cs="Times New Roman"/>
                <w:sz w:val="20"/>
                <w:szCs w:val="20"/>
              </w:rPr>
              <w:t>Indonesia</w:t>
            </w:r>
          </w:p>
        </w:tc>
        <w:tc>
          <w:tcPr>
            <w:tcW w:w="1403" w:type="dxa"/>
            <w:vAlign w:val="center"/>
          </w:tcPr>
          <w:p w14:paraId="7B8AB276" w14:textId="4C81765C" w:rsidR="00FB63A0" w:rsidRDefault="00FB63A0" w:rsidP="00FB63A0">
            <w:r w:rsidRPr="00837408">
              <w:rPr>
                <w:rFonts w:ascii="Times New Roman" w:hAnsi="Times New Roman" w:cs="Times New Roman"/>
                <w:sz w:val="20"/>
                <w:szCs w:val="20"/>
              </w:rPr>
              <w:t>Case report</w:t>
            </w:r>
          </w:p>
        </w:tc>
        <w:tc>
          <w:tcPr>
            <w:tcW w:w="1423" w:type="dxa"/>
            <w:vAlign w:val="center"/>
          </w:tcPr>
          <w:p w14:paraId="12ED4238" w14:textId="1DA678F2" w:rsidR="00FB63A0" w:rsidRDefault="00FB63A0" w:rsidP="00FB63A0">
            <w:r w:rsidRPr="00837408">
              <w:rPr>
                <w:rFonts w:ascii="Times New Roman" w:hAnsi="Times New Roman" w:cs="Times New Roman"/>
                <w:sz w:val="20"/>
                <w:szCs w:val="20"/>
              </w:rPr>
              <w:t>Child</w:t>
            </w:r>
          </w:p>
        </w:tc>
        <w:tc>
          <w:tcPr>
            <w:tcW w:w="1960" w:type="dxa"/>
            <w:vAlign w:val="center"/>
          </w:tcPr>
          <w:p w14:paraId="331220CE" w14:textId="167AA75F" w:rsidR="00FB63A0" w:rsidRDefault="00FB63A0" w:rsidP="00FB63A0">
            <w:r w:rsidRPr="00837408">
              <w:rPr>
                <w:rFonts w:ascii="Times New Roman" w:hAnsi="Times New Roman" w:cs="Times New Roman"/>
                <w:sz w:val="20"/>
                <w:szCs w:val="20"/>
              </w:rPr>
              <w:t>Total glans amputation</w:t>
            </w:r>
          </w:p>
        </w:tc>
        <w:tc>
          <w:tcPr>
            <w:tcW w:w="1433" w:type="dxa"/>
            <w:vAlign w:val="center"/>
          </w:tcPr>
          <w:p w14:paraId="59815D18" w14:textId="7A73979D" w:rsidR="00FB63A0" w:rsidRDefault="00FB63A0" w:rsidP="00FB63A0">
            <w:r w:rsidRPr="00837408">
              <w:rPr>
                <w:rFonts w:ascii="Times New Roman" w:hAnsi="Times New Roman" w:cs="Times New Roman"/>
                <w:sz w:val="20"/>
                <w:szCs w:val="20"/>
              </w:rPr>
              <w:t>Non-medical circumcision</w:t>
            </w:r>
          </w:p>
        </w:tc>
        <w:tc>
          <w:tcPr>
            <w:tcW w:w="1583" w:type="dxa"/>
            <w:vAlign w:val="center"/>
          </w:tcPr>
          <w:p w14:paraId="52DD4EE3" w14:textId="3F8C5367" w:rsidR="00FB63A0" w:rsidRDefault="00FB63A0" w:rsidP="00FB63A0">
            <w:r w:rsidRPr="00837408">
              <w:rPr>
                <w:rFonts w:ascii="Times New Roman" w:hAnsi="Times New Roman" w:cs="Times New Roman"/>
                <w:sz w:val="20"/>
                <w:szCs w:val="20"/>
              </w:rPr>
              <w:t>Community setting</w:t>
            </w:r>
          </w:p>
        </w:tc>
        <w:tc>
          <w:tcPr>
            <w:tcW w:w="1450" w:type="dxa"/>
            <w:vAlign w:val="center"/>
          </w:tcPr>
          <w:p w14:paraId="0F284D42" w14:textId="05686984" w:rsidR="00FB63A0" w:rsidRDefault="00FB63A0" w:rsidP="00FB63A0">
            <w:r w:rsidRPr="00837408">
              <w:rPr>
                <w:rFonts w:ascii="Times New Roman" w:hAnsi="Times New Roman" w:cs="Times New Roman"/>
                <w:sz w:val="20"/>
                <w:szCs w:val="20"/>
              </w:rPr>
              <w:t>Surgical</w:t>
            </w:r>
          </w:p>
        </w:tc>
        <w:tc>
          <w:tcPr>
            <w:tcW w:w="1435" w:type="dxa"/>
            <w:vAlign w:val="center"/>
          </w:tcPr>
          <w:p w14:paraId="18289AF2" w14:textId="11A4B14A" w:rsidR="00FB63A0" w:rsidRDefault="00FB63A0" w:rsidP="00FB63A0">
            <w:r w:rsidRPr="00837408">
              <w:rPr>
                <w:rFonts w:ascii="Times New Roman" w:hAnsi="Times New Roman" w:cs="Times New Roman"/>
                <w:sz w:val="20"/>
                <w:szCs w:val="20"/>
              </w:rPr>
              <w:t>Variable</w:t>
            </w:r>
          </w:p>
        </w:tc>
      </w:tr>
      <w:tr w:rsidR="00FB63A0" w14:paraId="7BE68CC1" w14:textId="77777777" w:rsidTr="00FB63A0">
        <w:tc>
          <w:tcPr>
            <w:tcW w:w="1885" w:type="dxa"/>
            <w:vAlign w:val="center"/>
          </w:tcPr>
          <w:p w14:paraId="196184A6" w14:textId="3A30E4B6" w:rsidR="00FB63A0" w:rsidRDefault="00FB63A0" w:rsidP="00FB63A0">
            <w:r w:rsidRPr="00837408">
              <w:rPr>
                <w:rFonts w:ascii="Times New Roman" w:hAnsi="Times New Roman" w:cs="Times New Roman"/>
                <w:sz w:val="20"/>
                <w:szCs w:val="20"/>
              </w:rPr>
              <w:t>Soltani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237091061"/>
                <w:placeholder>
                  <w:docPart w:val="01A130E6BB664A6596890D6F8458F90B"/>
                </w:placeholder>
              </w:sdtPr>
              <w:sdtContent>
                <w:r w:rsidR="000B40D5" w:rsidRPr="000B40D5">
                  <w:rPr>
                    <w:rFonts w:ascii="Times New Roman" w:hAnsi="Times New Roman" w:cs="Times New Roman"/>
                    <w:color w:val="000000"/>
                    <w:sz w:val="20"/>
                    <w:szCs w:val="20"/>
                  </w:rPr>
                  <w:t>(Soltani et al., 2020)</w:t>
                </w:r>
              </w:sdtContent>
            </w:sdt>
          </w:p>
        </w:tc>
        <w:tc>
          <w:tcPr>
            <w:tcW w:w="1416" w:type="dxa"/>
            <w:vAlign w:val="center"/>
          </w:tcPr>
          <w:p w14:paraId="4D2A8A41" w14:textId="636FE80B" w:rsidR="00FB63A0" w:rsidRDefault="00FB63A0" w:rsidP="00FB63A0">
            <w:r w:rsidRPr="00837408">
              <w:rPr>
                <w:rFonts w:ascii="Times New Roman" w:hAnsi="Times New Roman" w:cs="Times New Roman"/>
                <w:sz w:val="20"/>
                <w:szCs w:val="20"/>
              </w:rPr>
              <w:t>Iran</w:t>
            </w:r>
          </w:p>
        </w:tc>
        <w:tc>
          <w:tcPr>
            <w:tcW w:w="1403" w:type="dxa"/>
            <w:vAlign w:val="center"/>
          </w:tcPr>
          <w:p w14:paraId="7406B10F" w14:textId="5725E834" w:rsidR="00FB63A0" w:rsidRDefault="00FB63A0" w:rsidP="00FB63A0">
            <w:r w:rsidRPr="00837408">
              <w:rPr>
                <w:rFonts w:ascii="Times New Roman" w:hAnsi="Times New Roman" w:cs="Times New Roman"/>
                <w:sz w:val="20"/>
                <w:szCs w:val="20"/>
              </w:rPr>
              <w:t>Case report</w:t>
            </w:r>
          </w:p>
        </w:tc>
        <w:tc>
          <w:tcPr>
            <w:tcW w:w="1423" w:type="dxa"/>
            <w:vAlign w:val="center"/>
          </w:tcPr>
          <w:p w14:paraId="3FC3774C" w14:textId="6449F68B" w:rsidR="00FB63A0" w:rsidRDefault="00FB63A0" w:rsidP="00FB63A0">
            <w:r w:rsidRPr="00837408">
              <w:rPr>
                <w:rFonts w:ascii="Times New Roman" w:hAnsi="Times New Roman" w:cs="Times New Roman"/>
                <w:sz w:val="20"/>
                <w:szCs w:val="20"/>
              </w:rPr>
              <w:t>Child</w:t>
            </w:r>
          </w:p>
        </w:tc>
        <w:tc>
          <w:tcPr>
            <w:tcW w:w="1960" w:type="dxa"/>
            <w:vAlign w:val="center"/>
          </w:tcPr>
          <w:p w14:paraId="48C47959" w14:textId="048422AB" w:rsidR="00FB63A0" w:rsidRDefault="00FB63A0" w:rsidP="00FB63A0">
            <w:r w:rsidRPr="00837408">
              <w:rPr>
                <w:rFonts w:ascii="Times New Roman" w:hAnsi="Times New Roman" w:cs="Times New Roman"/>
                <w:sz w:val="20"/>
                <w:szCs w:val="20"/>
              </w:rPr>
              <w:t>Glans amputation</w:t>
            </w:r>
          </w:p>
        </w:tc>
        <w:tc>
          <w:tcPr>
            <w:tcW w:w="1433" w:type="dxa"/>
            <w:vAlign w:val="center"/>
          </w:tcPr>
          <w:p w14:paraId="347023E6" w14:textId="5C32AA60" w:rsidR="00FB63A0" w:rsidRDefault="00FB63A0" w:rsidP="00FB63A0">
            <w:r w:rsidRPr="00837408">
              <w:rPr>
                <w:rFonts w:ascii="Times New Roman" w:hAnsi="Times New Roman" w:cs="Times New Roman"/>
                <w:sz w:val="20"/>
                <w:szCs w:val="20"/>
              </w:rPr>
              <w:t>Mogen clamp injury</w:t>
            </w:r>
          </w:p>
        </w:tc>
        <w:tc>
          <w:tcPr>
            <w:tcW w:w="1583" w:type="dxa"/>
            <w:vAlign w:val="center"/>
          </w:tcPr>
          <w:p w14:paraId="4D1DFCDB" w14:textId="1EBEFDD1" w:rsidR="00FB63A0" w:rsidRDefault="00FB63A0" w:rsidP="00FB63A0">
            <w:r w:rsidRPr="00837408">
              <w:rPr>
                <w:rFonts w:ascii="Times New Roman" w:hAnsi="Times New Roman" w:cs="Times New Roman"/>
                <w:sz w:val="20"/>
                <w:szCs w:val="20"/>
              </w:rPr>
              <w:t>Outpatient setting</w:t>
            </w:r>
          </w:p>
        </w:tc>
        <w:tc>
          <w:tcPr>
            <w:tcW w:w="1450" w:type="dxa"/>
            <w:vAlign w:val="center"/>
          </w:tcPr>
          <w:p w14:paraId="127A3048" w14:textId="201C05B5" w:rsidR="00FB63A0" w:rsidRDefault="00FB63A0" w:rsidP="00FB63A0">
            <w:r w:rsidRPr="00837408">
              <w:rPr>
                <w:rFonts w:ascii="Times New Roman" w:hAnsi="Times New Roman" w:cs="Times New Roman"/>
                <w:sz w:val="20"/>
                <w:szCs w:val="20"/>
              </w:rPr>
              <w:t>Replantation</w:t>
            </w:r>
          </w:p>
        </w:tc>
        <w:tc>
          <w:tcPr>
            <w:tcW w:w="1435" w:type="dxa"/>
            <w:vAlign w:val="center"/>
          </w:tcPr>
          <w:p w14:paraId="749B0202" w14:textId="6E13AEDE" w:rsidR="00FB63A0" w:rsidRDefault="00FB63A0" w:rsidP="00FB63A0">
            <w:r w:rsidRPr="00837408">
              <w:rPr>
                <w:rFonts w:ascii="Times New Roman" w:hAnsi="Times New Roman" w:cs="Times New Roman"/>
                <w:sz w:val="20"/>
                <w:szCs w:val="20"/>
              </w:rPr>
              <w:t>Good cosmetic outcome</w:t>
            </w:r>
          </w:p>
        </w:tc>
      </w:tr>
      <w:tr w:rsidR="00FB63A0" w14:paraId="532DA7A6" w14:textId="77777777" w:rsidTr="00FB63A0">
        <w:tc>
          <w:tcPr>
            <w:tcW w:w="1885" w:type="dxa"/>
            <w:vAlign w:val="center"/>
          </w:tcPr>
          <w:p w14:paraId="65983D7A" w14:textId="4CA22224" w:rsidR="00FB63A0" w:rsidRDefault="00FB63A0" w:rsidP="00FB63A0">
            <w:r w:rsidRPr="00837408">
              <w:rPr>
                <w:rFonts w:ascii="Times New Roman" w:hAnsi="Times New Roman" w:cs="Times New Roman"/>
                <w:sz w:val="20"/>
                <w:szCs w:val="20"/>
              </w:rPr>
              <w:lastRenderedPageBreak/>
              <w:t>Shah (2023)</w:t>
            </w:r>
            <w:r>
              <w:rPr>
                <w:rFonts w:ascii="Times New Roman" w:hAnsi="Times New Roman" w:cs="Times New Roman"/>
                <w:sz w:val="20"/>
                <w:szCs w:val="20"/>
              </w:rPr>
              <w:t xml:space="preserve"> </w:t>
            </w:r>
            <w:sdt>
              <w:sdtPr>
                <w:rPr>
                  <w:rFonts w:ascii="Calibri" w:hAnsi="Calibri" w:cs="Calibri"/>
                  <w:color w:val="000000"/>
                  <w:szCs w:val="20"/>
                </w:rPr>
                <w:tag w:val="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
                <w:id w:val="-1145736011"/>
                <w:placeholder>
                  <w:docPart w:val="BBE207B1E1C84C63AB3BB73C95900F2E"/>
                </w:placeholder>
              </w:sdtPr>
              <w:sdtContent>
                <w:r w:rsidR="000B40D5" w:rsidRPr="000B40D5">
                  <w:rPr>
                    <w:rFonts w:ascii="Calibri" w:eastAsia="Times New Roman" w:hAnsi="Calibri" w:cs="Calibri"/>
                    <w:color w:val="000000"/>
                  </w:rPr>
                  <w:t>(Shah &amp; Shah, 2023)</w:t>
                </w:r>
              </w:sdtContent>
            </w:sdt>
          </w:p>
        </w:tc>
        <w:tc>
          <w:tcPr>
            <w:tcW w:w="1416" w:type="dxa"/>
            <w:vAlign w:val="center"/>
          </w:tcPr>
          <w:p w14:paraId="1C7B66BC" w14:textId="631DC33E" w:rsidR="00FB63A0" w:rsidRDefault="00FB63A0" w:rsidP="00FB63A0">
            <w:r w:rsidRPr="00837408">
              <w:rPr>
                <w:rFonts w:ascii="Times New Roman" w:hAnsi="Times New Roman" w:cs="Times New Roman"/>
                <w:sz w:val="20"/>
                <w:szCs w:val="20"/>
              </w:rPr>
              <w:t>India</w:t>
            </w:r>
          </w:p>
        </w:tc>
        <w:tc>
          <w:tcPr>
            <w:tcW w:w="1403" w:type="dxa"/>
            <w:vAlign w:val="center"/>
          </w:tcPr>
          <w:p w14:paraId="452105F9" w14:textId="07D805B5" w:rsidR="00FB63A0" w:rsidRDefault="00FB63A0" w:rsidP="00FB63A0">
            <w:r w:rsidRPr="00837408">
              <w:rPr>
                <w:rFonts w:ascii="Times New Roman" w:hAnsi="Times New Roman" w:cs="Times New Roman"/>
                <w:sz w:val="20"/>
                <w:szCs w:val="20"/>
              </w:rPr>
              <w:t>Case report</w:t>
            </w:r>
          </w:p>
        </w:tc>
        <w:tc>
          <w:tcPr>
            <w:tcW w:w="1423" w:type="dxa"/>
            <w:vAlign w:val="center"/>
          </w:tcPr>
          <w:p w14:paraId="1EEF0CD5" w14:textId="055F9E9D" w:rsidR="00FB63A0" w:rsidRDefault="00FB63A0" w:rsidP="00FB63A0">
            <w:r w:rsidRPr="00837408">
              <w:rPr>
                <w:rFonts w:ascii="Times New Roman" w:hAnsi="Times New Roman" w:cs="Times New Roman"/>
                <w:sz w:val="20"/>
                <w:szCs w:val="20"/>
              </w:rPr>
              <w:t>Child</w:t>
            </w:r>
          </w:p>
        </w:tc>
        <w:tc>
          <w:tcPr>
            <w:tcW w:w="1960" w:type="dxa"/>
            <w:vAlign w:val="center"/>
          </w:tcPr>
          <w:p w14:paraId="53CC0605" w14:textId="4054A6CE" w:rsidR="00FB63A0" w:rsidRDefault="00FB63A0" w:rsidP="00FB63A0">
            <w:r w:rsidRPr="00837408">
              <w:rPr>
                <w:rFonts w:ascii="Times New Roman" w:hAnsi="Times New Roman" w:cs="Times New Roman"/>
                <w:sz w:val="20"/>
                <w:szCs w:val="20"/>
              </w:rPr>
              <w:t>Glans amputation</w:t>
            </w:r>
          </w:p>
        </w:tc>
        <w:tc>
          <w:tcPr>
            <w:tcW w:w="1433" w:type="dxa"/>
            <w:vAlign w:val="center"/>
          </w:tcPr>
          <w:p w14:paraId="550FC1F6" w14:textId="0A900867" w:rsidR="00FB63A0" w:rsidRDefault="00FB63A0" w:rsidP="00FB63A0">
            <w:r w:rsidRPr="00837408">
              <w:rPr>
                <w:rFonts w:ascii="Times New Roman" w:hAnsi="Times New Roman" w:cs="Times New Roman"/>
                <w:sz w:val="20"/>
                <w:szCs w:val="20"/>
              </w:rPr>
              <w:t>Ritual circumcision</w:t>
            </w:r>
          </w:p>
        </w:tc>
        <w:tc>
          <w:tcPr>
            <w:tcW w:w="1583" w:type="dxa"/>
            <w:vAlign w:val="center"/>
          </w:tcPr>
          <w:p w14:paraId="5890D388" w14:textId="529F098B" w:rsidR="00FB63A0" w:rsidRDefault="00FB63A0" w:rsidP="00FB63A0">
            <w:r w:rsidRPr="00837408">
              <w:rPr>
                <w:rFonts w:ascii="Times New Roman" w:hAnsi="Times New Roman" w:cs="Times New Roman"/>
                <w:sz w:val="20"/>
                <w:szCs w:val="20"/>
              </w:rPr>
              <w:t>Non-medical</w:t>
            </w:r>
          </w:p>
        </w:tc>
        <w:tc>
          <w:tcPr>
            <w:tcW w:w="1450" w:type="dxa"/>
            <w:vAlign w:val="center"/>
          </w:tcPr>
          <w:p w14:paraId="470FE817" w14:textId="3A3E0731" w:rsidR="00FB63A0" w:rsidRDefault="00FB63A0" w:rsidP="00FB63A0">
            <w:r w:rsidRPr="00837408">
              <w:rPr>
                <w:rFonts w:ascii="Times New Roman" w:hAnsi="Times New Roman" w:cs="Times New Roman"/>
                <w:sz w:val="20"/>
                <w:szCs w:val="20"/>
              </w:rPr>
              <w:t>Surgical</w:t>
            </w:r>
          </w:p>
        </w:tc>
        <w:tc>
          <w:tcPr>
            <w:tcW w:w="1435" w:type="dxa"/>
            <w:vAlign w:val="center"/>
          </w:tcPr>
          <w:p w14:paraId="48479279" w14:textId="78A6B9A4" w:rsidR="00FB63A0" w:rsidRDefault="00FB63A0" w:rsidP="00FB63A0">
            <w:r w:rsidRPr="00837408">
              <w:rPr>
                <w:rFonts w:ascii="Times New Roman" w:hAnsi="Times New Roman" w:cs="Times New Roman"/>
                <w:sz w:val="20"/>
                <w:szCs w:val="20"/>
              </w:rPr>
              <w:t>Recovery</w:t>
            </w:r>
          </w:p>
        </w:tc>
      </w:tr>
      <w:tr w:rsidR="00FB63A0" w14:paraId="51E3DF9C" w14:textId="77777777" w:rsidTr="00FB63A0">
        <w:tc>
          <w:tcPr>
            <w:tcW w:w="1885" w:type="dxa"/>
            <w:vAlign w:val="center"/>
          </w:tcPr>
          <w:p w14:paraId="116B4EA6" w14:textId="11BF1F3E" w:rsidR="00FB63A0" w:rsidRDefault="00FB63A0" w:rsidP="00FB63A0">
            <w:r w:rsidRPr="00837408">
              <w:rPr>
                <w:rFonts w:ascii="Times New Roman" w:hAnsi="Times New Roman" w:cs="Times New Roman"/>
                <w:sz w:val="20"/>
                <w:szCs w:val="20"/>
              </w:rPr>
              <w:t>Sharma (2022)</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
                <w:id w:val="-1786194246"/>
                <w:placeholder>
                  <w:docPart w:val="C967A18AB9604FCEAB9D1D6C3FEF309D"/>
                </w:placeholder>
              </w:sdtPr>
              <w:sdtContent>
                <w:r w:rsidR="000B40D5" w:rsidRPr="000B40D5">
                  <w:rPr>
                    <w:rFonts w:ascii="Times New Roman" w:hAnsi="Times New Roman" w:cs="Times New Roman"/>
                    <w:color w:val="000000"/>
                    <w:sz w:val="20"/>
                    <w:szCs w:val="20"/>
                  </w:rPr>
                  <w:t>(Sharma et al., 2022)</w:t>
                </w:r>
              </w:sdtContent>
            </w:sdt>
          </w:p>
        </w:tc>
        <w:tc>
          <w:tcPr>
            <w:tcW w:w="1416" w:type="dxa"/>
            <w:vAlign w:val="center"/>
          </w:tcPr>
          <w:p w14:paraId="5CB4FC10" w14:textId="318387B8" w:rsidR="00FB63A0" w:rsidRDefault="00FB63A0" w:rsidP="00FB63A0">
            <w:r w:rsidRPr="00837408">
              <w:rPr>
                <w:rFonts w:ascii="Times New Roman" w:hAnsi="Times New Roman" w:cs="Times New Roman"/>
                <w:sz w:val="20"/>
                <w:szCs w:val="20"/>
              </w:rPr>
              <w:t>India</w:t>
            </w:r>
          </w:p>
        </w:tc>
        <w:tc>
          <w:tcPr>
            <w:tcW w:w="1403" w:type="dxa"/>
            <w:vAlign w:val="center"/>
          </w:tcPr>
          <w:p w14:paraId="2636CFC6" w14:textId="1DFA7E47" w:rsidR="00FB63A0" w:rsidRDefault="00FB63A0" w:rsidP="00FB63A0">
            <w:r w:rsidRPr="00837408">
              <w:rPr>
                <w:rFonts w:ascii="Times New Roman" w:hAnsi="Times New Roman" w:cs="Times New Roman"/>
                <w:sz w:val="20"/>
                <w:szCs w:val="20"/>
              </w:rPr>
              <w:t>Case report</w:t>
            </w:r>
          </w:p>
        </w:tc>
        <w:tc>
          <w:tcPr>
            <w:tcW w:w="1423" w:type="dxa"/>
            <w:vAlign w:val="center"/>
          </w:tcPr>
          <w:p w14:paraId="1FCDB03B" w14:textId="2DCB3ADE" w:rsidR="00FB63A0" w:rsidRDefault="00FB63A0" w:rsidP="00FB63A0">
            <w:r w:rsidRPr="00837408">
              <w:rPr>
                <w:rFonts w:ascii="Times New Roman" w:hAnsi="Times New Roman" w:cs="Times New Roman"/>
                <w:sz w:val="20"/>
                <w:szCs w:val="20"/>
              </w:rPr>
              <w:t>Adolescent</w:t>
            </w:r>
          </w:p>
        </w:tc>
        <w:tc>
          <w:tcPr>
            <w:tcW w:w="1960" w:type="dxa"/>
            <w:vAlign w:val="center"/>
          </w:tcPr>
          <w:p w14:paraId="30EE7DFC" w14:textId="689E1EA7" w:rsidR="00FB63A0" w:rsidRDefault="00FB63A0" w:rsidP="00FB63A0">
            <w:r w:rsidRPr="00837408">
              <w:rPr>
                <w:rFonts w:ascii="Times New Roman" w:hAnsi="Times New Roman" w:cs="Times New Roman"/>
                <w:sz w:val="20"/>
                <w:szCs w:val="20"/>
              </w:rPr>
              <w:t>Partial glans amputation</w:t>
            </w:r>
          </w:p>
        </w:tc>
        <w:tc>
          <w:tcPr>
            <w:tcW w:w="1433" w:type="dxa"/>
            <w:vAlign w:val="center"/>
          </w:tcPr>
          <w:p w14:paraId="4863E904" w14:textId="150ADBDD" w:rsidR="00FB63A0" w:rsidRDefault="00FB63A0" w:rsidP="00FB63A0">
            <w:r w:rsidRPr="00837408">
              <w:rPr>
                <w:rFonts w:ascii="Times New Roman" w:hAnsi="Times New Roman" w:cs="Times New Roman"/>
                <w:sz w:val="20"/>
                <w:szCs w:val="20"/>
              </w:rPr>
              <w:t>Delayed ischemia</w:t>
            </w:r>
          </w:p>
        </w:tc>
        <w:tc>
          <w:tcPr>
            <w:tcW w:w="1583" w:type="dxa"/>
            <w:vAlign w:val="center"/>
          </w:tcPr>
          <w:p w14:paraId="3BEF0855" w14:textId="5CA1760A" w:rsidR="00FB63A0" w:rsidRDefault="00FB63A0" w:rsidP="00FB63A0">
            <w:r w:rsidRPr="00837408">
              <w:rPr>
                <w:rFonts w:ascii="Times New Roman" w:hAnsi="Times New Roman" w:cs="Times New Roman"/>
                <w:sz w:val="20"/>
                <w:szCs w:val="20"/>
              </w:rPr>
              <w:t>Ritual circumcision</w:t>
            </w:r>
          </w:p>
        </w:tc>
        <w:tc>
          <w:tcPr>
            <w:tcW w:w="1450" w:type="dxa"/>
            <w:vAlign w:val="center"/>
          </w:tcPr>
          <w:p w14:paraId="5C1F8277" w14:textId="393A45C9" w:rsidR="00FB63A0" w:rsidRDefault="00FB63A0" w:rsidP="00FB63A0">
            <w:r w:rsidRPr="00837408">
              <w:rPr>
                <w:rFonts w:ascii="Times New Roman" w:hAnsi="Times New Roman" w:cs="Times New Roman"/>
                <w:sz w:val="20"/>
                <w:szCs w:val="20"/>
              </w:rPr>
              <w:t>Urethroplasty + glansplasty</w:t>
            </w:r>
          </w:p>
        </w:tc>
        <w:tc>
          <w:tcPr>
            <w:tcW w:w="1435" w:type="dxa"/>
            <w:vAlign w:val="center"/>
          </w:tcPr>
          <w:p w14:paraId="3FDCE40D" w14:textId="0B93F5EE" w:rsidR="00FB63A0" w:rsidRDefault="00FB63A0" w:rsidP="00FB63A0">
            <w:r w:rsidRPr="00837408">
              <w:rPr>
                <w:rFonts w:ascii="Times New Roman" w:hAnsi="Times New Roman" w:cs="Times New Roman"/>
                <w:sz w:val="20"/>
                <w:szCs w:val="20"/>
              </w:rPr>
              <w:t>Good recovery</w:t>
            </w:r>
          </w:p>
        </w:tc>
      </w:tr>
      <w:tr w:rsidR="00FB63A0" w14:paraId="1E673476" w14:textId="77777777" w:rsidTr="00FB63A0">
        <w:tc>
          <w:tcPr>
            <w:tcW w:w="1885" w:type="dxa"/>
            <w:vAlign w:val="center"/>
          </w:tcPr>
          <w:p w14:paraId="745A1F54" w14:textId="606517A4" w:rsidR="00FB63A0" w:rsidRDefault="00FB63A0" w:rsidP="00FB63A0">
            <w:r w:rsidRPr="00837408">
              <w:rPr>
                <w:rFonts w:ascii="Times New Roman" w:hAnsi="Times New Roman" w:cs="Times New Roman"/>
                <w:sz w:val="20"/>
                <w:szCs w:val="20"/>
              </w:rPr>
              <w:t>Sow (2022)</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
                <w:id w:val="343446239"/>
                <w:placeholder>
                  <w:docPart w:val="0B889AF43F9B4D0FAE83FE9EA0C795A4"/>
                </w:placeholder>
              </w:sdtPr>
              <w:sdtContent>
                <w:r w:rsidR="000B40D5" w:rsidRPr="000B40D5">
                  <w:rPr>
                    <w:rFonts w:ascii="Times New Roman" w:hAnsi="Times New Roman" w:cs="Times New Roman"/>
                    <w:color w:val="000000"/>
                    <w:sz w:val="20"/>
                    <w:szCs w:val="20"/>
                  </w:rPr>
                  <w:t>(Sow et al., 2022)</w:t>
                </w:r>
              </w:sdtContent>
            </w:sdt>
          </w:p>
        </w:tc>
        <w:tc>
          <w:tcPr>
            <w:tcW w:w="1416" w:type="dxa"/>
            <w:vAlign w:val="center"/>
          </w:tcPr>
          <w:p w14:paraId="4070DB5E" w14:textId="6CBCD5C0" w:rsidR="00FB63A0" w:rsidRDefault="00FB63A0" w:rsidP="00FB63A0">
            <w:r w:rsidRPr="00837408">
              <w:rPr>
                <w:rFonts w:ascii="Times New Roman" w:hAnsi="Times New Roman" w:cs="Times New Roman"/>
                <w:sz w:val="20"/>
                <w:szCs w:val="20"/>
              </w:rPr>
              <w:t>Senegal</w:t>
            </w:r>
          </w:p>
        </w:tc>
        <w:tc>
          <w:tcPr>
            <w:tcW w:w="1403" w:type="dxa"/>
            <w:vAlign w:val="center"/>
          </w:tcPr>
          <w:p w14:paraId="449C76BF" w14:textId="23612980" w:rsidR="00FB63A0" w:rsidRDefault="00FB63A0" w:rsidP="00FB63A0">
            <w:r w:rsidRPr="00837408">
              <w:rPr>
                <w:rFonts w:ascii="Times New Roman" w:hAnsi="Times New Roman" w:cs="Times New Roman"/>
                <w:sz w:val="20"/>
                <w:szCs w:val="20"/>
              </w:rPr>
              <w:t>Case report</w:t>
            </w:r>
          </w:p>
        </w:tc>
        <w:tc>
          <w:tcPr>
            <w:tcW w:w="1423" w:type="dxa"/>
            <w:vAlign w:val="center"/>
          </w:tcPr>
          <w:p w14:paraId="41844FCF" w14:textId="6181EBFD" w:rsidR="00FB63A0" w:rsidRDefault="00FB63A0" w:rsidP="00FB63A0">
            <w:r w:rsidRPr="00837408">
              <w:rPr>
                <w:rFonts w:ascii="Times New Roman" w:hAnsi="Times New Roman" w:cs="Times New Roman"/>
                <w:sz w:val="20"/>
                <w:szCs w:val="20"/>
              </w:rPr>
              <w:t>Child</w:t>
            </w:r>
          </w:p>
        </w:tc>
        <w:tc>
          <w:tcPr>
            <w:tcW w:w="1960" w:type="dxa"/>
            <w:vAlign w:val="center"/>
          </w:tcPr>
          <w:p w14:paraId="0BF68A8D" w14:textId="5047369B" w:rsidR="00FB63A0" w:rsidRDefault="00FB63A0" w:rsidP="00FB63A0">
            <w:r w:rsidRPr="00837408">
              <w:rPr>
                <w:rFonts w:ascii="Times New Roman" w:hAnsi="Times New Roman" w:cs="Times New Roman"/>
                <w:sz w:val="20"/>
                <w:szCs w:val="20"/>
              </w:rPr>
              <w:t>Total glans amputation</w:t>
            </w:r>
          </w:p>
        </w:tc>
        <w:tc>
          <w:tcPr>
            <w:tcW w:w="1433" w:type="dxa"/>
            <w:vAlign w:val="center"/>
          </w:tcPr>
          <w:p w14:paraId="0C2DE83E" w14:textId="5706AF26" w:rsidR="00FB63A0" w:rsidRDefault="00FB63A0" w:rsidP="00FB63A0">
            <w:r w:rsidRPr="00837408">
              <w:rPr>
                <w:rFonts w:ascii="Times New Roman" w:hAnsi="Times New Roman" w:cs="Times New Roman"/>
                <w:sz w:val="20"/>
                <w:szCs w:val="20"/>
              </w:rPr>
              <w:t>Unqualified operator</w:t>
            </w:r>
          </w:p>
        </w:tc>
        <w:tc>
          <w:tcPr>
            <w:tcW w:w="1583" w:type="dxa"/>
            <w:vAlign w:val="center"/>
          </w:tcPr>
          <w:p w14:paraId="58333BA8" w14:textId="367A32A7" w:rsidR="00FB63A0" w:rsidRDefault="00FB63A0" w:rsidP="00FB63A0">
            <w:r w:rsidRPr="00837408">
              <w:rPr>
                <w:rFonts w:ascii="Times New Roman" w:hAnsi="Times New Roman" w:cs="Times New Roman"/>
                <w:sz w:val="20"/>
                <w:szCs w:val="20"/>
              </w:rPr>
              <w:t>Pharmacy setting</w:t>
            </w:r>
          </w:p>
        </w:tc>
        <w:tc>
          <w:tcPr>
            <w:tcW w:w="1450" w:type="dxa"/>
            <w:vAlign w:val="center"/>
          </w:tcPr>
          <w:p w14:paraId="40849185" w14:textId="08F5EF16" w:rsidR="00FB63A0" w:rsidRDefault="00FB63A0" w:rsidP="00FB63A0">
            <w:r w:rsidRPr="00837408">
              <w:rPr>
                <w:rFonts w:ascii="Times New Roman" w:hAnsi="Times New Roman" w:cs="Times New Roman"/>
                <w:sz w:val="20"/>
                <w:szCs w:val="20"/>
              </w:rPr>
              <w:t>Meatoplasty</w:t>
            </w:r>
          </w:p>
        </w:tc>
        <w:tc>
          <w:tcPr>
            <w:tcW w:w="1435" w:type="dxa"/>
            <w:vAlign w:val="center"/>
          </w:tcPr>
          <w:p w14:paraId="38CF6DF7" w14:textId="5DE1DE3B" w:rsidR="00FB63A0" w:rsidRDefault="00FB63A0" w:rsidP="00FB63A0">
            <w:r w:rsidRPr="00837408">
              <w:rPr>
                <w:rFonts w:ascii="Times New Roman" w:hAnsi="Times New Roman" w:cs="Times New Roman"/>
                <w:sz w:val="20"/>
                <w:szCs w:val="20"/>
              </w:rPr>
              <w:t>Functional voiding</w:t>
            </w:r>
          </w:p>
        </w:tc>
      </w:tr>
      <w:tr w:rsidR="00FB63A0" w14:paraId="66893DCF" w14:textId="77777777" w:rsidTr="00FB63A0">
        <w:tc>
          <w:tcPr>
            <w:tcW w:w="1885" w:type="dxa"/>
            <w:vAlign w:val="center"/>
          </w:tcPr>
          <w:p w14:paraId="70A65BC6" w14:textId="7D586467" w:rsidR="00FB63A0" w:rsidRDefault="00FB63A0" w:rsidP="00FB63A0">
            <w:r w:rsidRPr="00837408">
              <w:rPr>
                <w:rFonts w:ascii="Times New Roman" w:hAnsi="Times New Roman" w:cs="Times New Roman"/>
                <w:sz w:val="20"/>
                <w:szCs w:val="20"/>
              </w:rPr>
              <w:t>Tanyi (2023)</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714122620"/>
                <w:placeholder>
                  <w:docPart w:val="1EBF2CB14176484D8C0ECB964D55BA82"/>
                </w:placeholder>
              </w:sdtPr>
              <w:sdtContent>
                <w:r w:rsidR="000B40D5" w:rsidRPr="000B40D5">
                  <w:rPr>
                    <w:rFonts w:ascii="Times New Roman" w:hAnsi="Times New Roman" w:cs="Times New Roman"/>
                    <w:color w:val="000000"/>
                    <w:sz w:val="20"/>
                    <w:szCs w:val="20"/>
                  </w:rPr>
                  <w:t>(Tanyi et al., 2023)</w:t>
                </w:r>
              </w:sdtContent>
            </w:sdt>
          </w:p>
        </w:tc>
        <w:tc>
          <w:tcPr>
            <w:tcW w:w="1416" w:type="dxa"/>
            <w:vAlign w:val="center"/>
          </w:tcPr>
          <w:p w14:paraId="391BB1EB" w14:textId="1A4E086A" w:rsidR="00FB63A0" w:rsidRDefault="00FB63A0" w:rsidP="00FB63A0">
            <w:r w:rsidRPr="00837408">
              <w:rPr>
                <w:rFonts w:ascii="Times New Roman" w:hAnsi="Times New Roman" w:cs="Times New Roman"/>
                <w:sz w:val="20"/>
                <w:szCs w:val="20"/>
              </w:rPr>
              <w:t>Cameroon</w:t>
            </w:r>
          </w:p>
        </w:tc>
        <w:tc>
          <w:tcPr>
            <w:tcW w:w="1403" w:type="dxa"/>
            <w:vAlign w:val="center"/>
          </w:tcPr>
          <w:p w14:paraId="768548ED" w14:textId="3EA5901E" w:rsidR="00FB63A0" w:rsidRDefault="00FB63A0" w:rsidP="00FB63A0">
            <w:r w:rsidRPr="00837408">
              <w:rPr>
                <w:rFonts w:ascii="Times New Roman" w:hAnsi="Times New Roman" w:cs="Times New Roman"/>
                <w:sz w:val="20"/>
                <w:szCs w:val="20"/>
              </w:rPr>
              <w:t>Case series</w:t>
            </w:r>
          </w:p>
        </w:tc>
        <w:tc>
          <w:tcPr>
            <w:tcW w:w="1423" w:type="dxa"/>
            <w:vAlign w:val="center"/>
          </w:tcPr>
          <w:p w14:paraId="724BB404" w14:textId="70969EEB" w:rsidR="00FB63A0" w:rsidRDefault="00FB63A0" w:rsidP="00FB63A0">
            <w:r w:rsidRPr="00837408">
              <w:rPr>
                <w:rFonts w:ascii="Times New Roman" w:hAnsi="Times New Roman" w:cs="Times New Roman"/>
                <w:sz w:val="20"/>
                <w:szCs w:val="20"/>
              </w:rPr>
              <w:t>Children</w:t>
            </w:r>
          </w:p>
        </w:tc>
        <w:tc>
          <w:tcPr>
            <w:tcW w:w="1960" w:type="dxa"/>
            <w:vAlign w:val="center"/>
          </w:tcPr>
          <w:p w14:paraId="5D45EA79" w14:textId="5D5B9D46" w:rsidR="00FB63A0" w:rsidRDefault="00FB63A0" w:rsidP="00FB63A0">
            <w:r w:rsidRPr="00837408">
              <w:rPr>
                <w:rFonts w:ascii="Times New Roman" w:hAnsi="Times New Roman" w:cs="Times New Roman"/>
                <w:sz w:val="20"/>
                <w:szCs w:val="20"/>
              </w:rPr>
              <w:t>Penile/glans amputation</w:t>
            </w:r>
          </w:p>
        </w:tc>
        <w:tc>
          <w:tcPr>
            <w:tcW w:w="1433" w:type="dxa"/>
            <w:vAlign w:val="center"/>
          </w:tcPr>
          <w:p w14:paraId="5E4108E2" w14:textId="1EAD62AB" w:rsidR="00FB63A0" w:rsidRDefault="00FB63A0" w:rsidP="00FB63A0">
            <w:r w:rsidRPr="00837408">
              <w:rPr>
                <w:rFonts w:ascii="Times New Roman" w:hAnsi="Times New Roman" w:cs="Times New Roman"/>
                <w:sz w:val="20"/>
                <w:szCs w:val="20"/>
              </w:rPr>
              <w:t>Untrained providers</w:t>
            </w:r>
          </w:p>
        </w:tc>
        <w:tc>
          <w:tcPr>
            <w:tcW w:w="1583" w:type="dxa"/>
            <w:vAlign w:val="center"/>
          </w:tcPr>
          <w:p w14:paraId="7FFEB9A3" w14:textId="7CAF0499" w:rsidR="00FB63A0" w:rsidRDefault="00FB63A0" w:rsidP="00FB63A0">
            <w:r w:rsidRPr="00837408">
              <w:rPr>
                <w:rFonts w:ascii="Times New Roman" w:hAnsi="Times New Roman" w:cs="Times New Roman"/>
                <w:sz w:val="20"/>
                <w:szCs w:val="20"/>
              </w:rPr>
              <w:t>Rural/traditional</w:t>
            </w:r>
          </w:p>
        </w:tc>
        <w:tc>
          <w:tcPr>
            <w:tcW w:w="1450" w:type="dxa"/>
            <w:vAlign w:val="center"/>
          </w:tcPr>
          <w:p w14:paraId="6A24A5DD" w14:textId="6150508D" w:rsidR="00FB63A0" w:rsidRDefault="00FB63A0" w:rsidP="00FB63A0">
            <w:r w:rsidRPr="00837408">
              <w:rPr>
                <w:rFonts w:ascii="Times New Roman" w:hAnsi="Times New Roman" w:cs="Times New Roman"/>
                <w:sz w:val="20"/>
                <w:szCs w:val="20"/>
              </w:rPr>
              <w:t>Replantation</w:t>
            </w:r>
          </w:p>
        </w:tc>
        <w:tc>
          <w:tcPr>
            <w:tcW w:w="1435" w:type="dxa"/>
            <w:vAlign w:val="center"/>
          </w:tcPr>
          <w:p w14:paraId="1AFBEEAC" w14:textId="612F0B82" w:rsidR="00FB63A0" w:rsidRDefault="00FB63A0" w:rsidP="00FB63A0">
            <w:r w:rsidRPr="00837408">
              <w:rPr>
                <w:rFonts w:ascii="Times New Roman" w:hAnsi="Times New Roman" w:cs="Times New Roman"/>
                <w:sz w:val="20"/>
                <w:szCs w:val="20"/>
              </w:rPr>
              <w:t>Mixed outcomes</w:t>
            </w:r>
          </w:p>
        </w:tc>
      </w:tr>
      <w:tr w:rsidR="00FB63A0" w14:paraId="157EFCCF" w14:textId="77777777" w:rsidTr="00FB63A0">
        <w:tc>
          <w:tcPr>
            <w:tcW w:w="1885" w:type="dxa"/>
            <w:vAlign w:val="center"/>
          </w:tcPr>
          <w:p w14:paraId="6FF5D2E8" w14:textId="57D7BE6D" w:rsidR="00FB63A0" w:rsidRDefault="00FB63A0" w:rsidP="00FB63A0">
            <w:r w:rsidRPr="00837408">
              <w:rPr>
                <w:rFonts w:ascii="Times New Roman" w:hAnsi="Times New Roman" w:cs="Times New Roman"/>
                <w:sz w:val="20"/>
                <w:szCs w:val="20"/>
              </w:rPr>
              <w:t>Tasci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984930948"/>
                <w:placeholder>
                  <w:docPart w:val="A860ED23B38640F79564D1A9A2D2EAB5"/>
                </w:placeholder>
              </w:sdtPr>
              <w:sdtContent>
                <w:r w:rsidR="000B40D5" w:rsidRPr="000B40D5">
                  <w:rPr>
                    <w:rFonts w:ascii="Times New Roman" w:hAnsi="Times New Roman" w:cs="Times New Roman"/>
                    <w:color w:val="000000"/>
                    <w:sz w:val="20"/>
                    <w:szCs w:val="20"/>
                  </w:rPr>
                  <w:t>(Tasci et al., 2020)</w:t>
                </w:r>
              </w:sdtContent>
            </w:sdt>
          </w:p>
        </w:tc>
        <w:tc>
          <w:tcPr>
            <w:tcW w:w="1416" w:type="dxa"/>
            <w:vAlign w:val="center"/>
          </w:tcPr>
          <w:p w14:paraId="44A8F83B" w14:textId="1A3507A1" w:rsidR="00FB63A0" w:rsidRDefault="00FB63A0" w:rsidP="00FB63A0">
            <w:r w:rsidRPr="00837408">
              <w:rPr>
                <w:rFonts w:ascii="Times New Roman" w:hAnsi="Times New Roman" w:cs="Times New Roman"/>
                <w:sz w:val="20"/>
                <w:szCs w:val="20"/>
              </w:rPr>
              <w:t>Turkey</w:t>
            </w:r>
          </w:p>
        </w:tc>
        <w:tc>
          <w:tcPr>
            <w:tcW w:w="1403" w:type="dxa"/>
            <w:vAlign w:val="center"/>
          </w:tcPr>
          <w:p w14:paraId="2147C348" w14:textId="7F727956" w:rsidR="00FB63A0" w:rsidRDefault="00FB63A0" w:rsidP="00FB63A0">
            <w:r>
              <w:rPr>
                <w:rFonts w:ascii="Times New Roman" w:hAnsi="Times New Roman" w:cs="Times New Roman"/>
                <w:sz w:val="20"/>
                <w:szCs w:val="20"/>
              </w:rPr>
              <w:t>Case series</w:t>
            </w:r>
          </w:p>
        </w:tc>
        <w:tc>
          <w:tcPr>
            <w:tcW w:w="1423" w:type="dxa"/>
            <w:vAlign w:val="center"/>
          </w:tcPr>
          <w:p w14:paraId="591B5E72" w14:textId="65A5CDE1" w:rsidR="00FB63A0" w:rsidRDefault="00FB63A0" w:rsidP="00FB63A0">
            <w:r w:rsidRPr="00837408">
              <w:rPr>
                <w:rFonts w:ascii="Times New Roman" w:hAnsi="Times New Roman" w:cs="Times New Roman"/>
                <w:sz w:val="20"/>
                <w:szCs w:val="20"/>
              </w:rPr>
              <w:t>24 patients</w:t>
            </w:r>
          </w:p>
        </w:tc>
        <w:tc>
          <w:tcPr>
            <w:tcW w:w="1960" w:type="dxa"/>
            <w:vAlign w:val="center"/>
          </w:tcPr>
          <w:p w14:paraId="0A032B96" w14:textId="24D81179" w:rsidR="00FB63A0" w:rsidRDefault="00FB63A0" w:rsidP="00FB63A0">
            <w:r w:rsidRPr="00837408">
              <w:rPr>
                <w:rFonts w:ascii="Times New Roman" w:hAnsi="Times New Roman" w:cs="Times New Roman"/>
                <w:sz w:val="20"/>
                <w:szCs w:val="20"/>
              </w:rPr>
              <w:t>Penile necrosis</w:t>
            </w:r>
          </w:p>
        </w:tc>
        <w:tc>
          <w:tcPr>
            <w:tcW w:w="1433" w:type="dxa"/>
            <w:vAlign w:val="center"/>
          </w:tcPr>
          <w:p w14:paraId="36ABC9BF" w14:textId="1023158B" w:rsidR="00FB63A0" w:rsidRDefault="00FB63A0" w:rsidP="00FB63A0">
            <w:r w:rsidRPr="00837408">
              <w:rPr>
                <w:rFonts w:ascii="Times New Roman" w:hAnsi="Times New Roman" w:cs="Times New Roman"/>
                <w:sz w:val="20"/>
                <w:szCs w:val="20"/>
              </w:rPr>
              <w:t>Cautery, infection, anesthesia</w:t>
            </w:r>
          </w:p>
        </w:tc>
        <w:tc>
          <w:tcPr>
            <w:tcW w:w="1583" w:type="dxa"/>
            <w:vAlign w:val="center"/>
          </w:tcPr>
          <w:p w14:paraId="77677D53" w14:textId="2CFE2D05" w:rsidR="00FB63A0" w:rsidRDefault="00FB63A0" w:rsidP="00FB63A0">
            <w:r w:rsidRPr="00837408">
              <w:rPr>
                <w:rFonts w:ascii="Times New Roman" w:hAnsi="Times New Roman" w:cs="Times New Roman"/>
                <w:sz w:val="20"/>
                <w:szCs w:val="20"/>
              </w:rPr>
              <w:t>Mixed settings</w:t>
            </w:r>
          </w:p>
        </w:tc>
        <w:tc>
          <w:tcPr>
            <w:tcW w:w="1450" w:type="dxa"/>
            <w:vAlign w:val="center"/>
          </w:tcPr>
          <w:p w14:paraId="583FCA4B" w14:textId="2E11E326" w:rsidR="00FB63A0" w:rsidRDefault="00FB63A0" w:rsidP="00FB63A0">
            <w:r w:rsidRPr="00837408">
              <w:rPr>
                <w:rFonts w:ascii="Times New Roman" w:hAnsi="Times New Roman" w:cs="Times New Roman"/>
                <w:sz w:val="20"/>
                <w:szCs w:val="20"/>
              </w:rPr>
              <w:t>Surgery / HBOT</w:t>
            </w:r>
          </w:p>
        </w:tc>
        <w:tc>
          <w:tcPr>
            <w:tcW w:w="1435" w:type="dxa"/>
            <w:vAlign w:val="center"/>
          </w:tcPr>
          <w:p w14:paraId="224083E0" w14:textId="7F43E378" w:rsidR="00FB63A0" w:rsidRDefault="00FB63A0" w:rsidP="00FB63A0">
            <w:r w:rsidRPr="00837408">
              <w:rPr>
                <w:rFonts w:ascii="Times New Roman" w:hAnsi="Times New Roman" w:cs="Times New Roman"/>
                <w:sz w:val="20"/>
                <w:szCs w:val="20"/>
              </w:rPr>
              <w:t>High complication rate</w:t>
            </w:r>
          </w:p>
        </w:tc>
      </w:tr>
      <w:tr w:rsidR="00FB63A0" w14:paraId="16535CC2" w14:textId="77777777" w:rsidTr="00FB63A0">
        <w:tc>
          <w:tcPr>
            <w:tcW w:w="1885" w:type="dxa"/>
            <w:vAlign w:val="center"/>
          </w:tcPr>
          <w:p w14:paraId="20DE6D68" w14:textId="10377465" w:rsidR="00FB63A0" w:rsidRDefault="00FB63A0" w:rsidP="00FB63A0">
            <w:r w:rsidRPr="00837408">
              <w:rPr>
                <w:rFonts w:ascii="Times New Roman" w:hAnsi="Times New Roman" w:cs="Times New Roman"/>
                <w:sz w:val="20"/>
                <w:szCs w:val="20"/>
              </w:rPr>
              <w:t>Uzun (2012)</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
                <w:id w:val="1168915151"/>
                <w:placeholder>
                  <w:docPart w:val="83AC4D49176F4189B1119E5F85FA6D2C"/>
                </w:placeholder>
              </w:sdtPr>
              <w:sdtContent>
                <w:r w:rsidR="000B40D5" w:rsidRPr="000B40D5">
                  <w:rPr>
                    <w:rFonts w:ascii="Times New Roman" w:hAnsi="Times New Roman" w:cs="Times New Roman"/>
                    <w:color w:val="000000"/>
                    <w:sz w:val="20"/>
                    <w:szCs w:val="20"/>
                  </w:rPr>
                  <w:t>(Uzun et al., 2012)</w:t>
                </w:r>
              </w:sdtContent>
            </w:sdt>
          </w:p>
        </w:tc>
        <w:tc>
          <w:tcPr>
            <w:tcW w:w="1416" w:type="dxa"/>
            <w:vAlign w:val="center"/>
          </w:tcPr>
          <w:p w14:paraId="1017E63B" w14:textId="0D810F2A" w:rsidR="00FB63A0" w:rsidRDefault="00FB63A0" w:rsidP="00FB63A0">
            <w:r w:rsidRPr="00837408">
              <w:rPr>
                <w:rFonts w:ascii="Times New Roman" w:hAnsi="Times New Roman" w:cs="Times New Roman"/>
                <w:sz w:val="20"/>
                <w:szCs w:val="20"/>
              </w:rPr>
              <w:t>Turkey</w:t>
            </w:r>
          </w:p>
        </w:tc>
        <w:tc>
          <w:tcPr>
            <w:tcW w:w="1403" w:type="dxa"/>
            <w:vAlign w:val="center"/>
          </w:tcPr>
          <w:p w14:paraId="7FE828CA" w14:textId="2B2F6D3D" w:rsidR="00FB63A0" w:rsidRDefault="00FB63A0" w:rsidP="00FB63A0">
            <w:r w:rsidRPr="00837408">
              <w:rPr>
                <w:rFonts w:ascii="Times New Roman" w:hAnsi="Times New Roman" w:cs="Times New Roman"/>
                <w:sz w:val="20"/>
                <w:szCs w:val="20"/>
              </w:rPr>
              <w:t>Case report</w:t>
            </w:r>
          </w:p>
        </w:tc>
        <w:tc>
          <w:tcPr>
            <w:tcW w:w="1423" w:type="dxa"/>
            <w:vAlign w:val="center"/>
          </w:tcPr>
          <w:p w14:paraId="0871D8E7" w14:textId="557E92BA" w:rsidR="00FB63A0" w:rsidRDefault="00FB63A0" w:rsidP="00FB63A0">
            <w:r w:rsidRPr="00837408">
              <w:rPr>
                <w:rFonts w:ascii="Times New Roman" w:hAnsi="Times New Roman" w:cs="Times New Roman"/>
                <w:sz w:val="20"/>
                <w:szCs w:val="20"/>
              </w:rPr>
              <w:t>Child</w:t>
            </w:r>
          </w:p>
        </w:tc>
        <w:tc>
          <w:tcPr>
            <w:tcW w:w="1960" w:type="dxa"/>
            <w:vAlign w:val="center"/>
          </w:tcPr>
          <w:p w14:paraId="129AD1CA" w14:textId="73CFD40A" w:rsidR="00FB63A0" w:rsidRDefault="00FB63A0" w:rsidP="00FB63A0">
            <w:r w:rsidRPr="00837408">
              <w:rPr>
                <w:rFonts w:ascii="Times New Roman" w:hAnsi="Times New Roman" w:cs="Times New Roman"/>
                <w:sz w:val="20"/>
                <w:szCs w:val="20"/>
              </w:rPr>
              <w:t>Glans necrosis</w:t>
            </w:r>
          </w:p>
        </w:tc>
        <w:tc>
          <w:tcPr>
            <w:tcW w:w="1433" w:type="dxa"/>
            <w:vAlign w:val="center"/>
          </w:tcPr>
          <w:p w14:paraId="586EEAE1" w14:textId="0706881C" w:rsidR="00FB63A0" w:rsidRDefault="00FB63A0" w:rsidP="00FB63A0">
            <w:r w:rsidRPr="00837408">
              <w:rPr>
                <w:rFonts w:ascii="Times New Roman" w:hAnsi="Times New Roman" w:cs="Times New Roman"/>
                <w:sz w:val="20"/>
                <w:szCs w:val="20"/>
              </w:rPr>
              <w:t>Monopolar electrocautery</w:t>
            </w:r>
          </w:p>
        </w:tc>
        <w:tc>
          <w:tcPr>
            <w:tcW w:w="1583" w:type="dxa"/>
            <w:vAlign w:val="center"/>
          </w:tcPr>
          <w:p w14:paraId="323591EE" w14:textId="20A0530B" w:rsidR="00FB63A0" w:rsidRDefault="00FB63A0" w:rsidP="00FB63A0">
            <w:r w:rsidRPr="00837408">
              <w:rPr>
                <w:rFonts w:ascii="Times New Roman" w:hAnsi="Times New Roman" w:cs="Times New Roman"/>
                <w:sz w:val="20"/>
                <w:szCs w:val="20"/>
              </w:rPr>
              <w:t>Medical setting</w:t>
            </w:r>
          </w:p>
        </w:tc>
        <w:tc>
          <w:tcPr>
            <w:tcW w:w="1450" w:type="dxa"/>
            <w:vAlign w:val="center"/>
          </w:tcPr>
          <w:p w14:paraId="4C2C2948" w14:textId="419EA1AA" w:rsidR="00FB63A0" w:rsidRDefault="00FB63A0" w:rsidP="00FB63A0">
            <w:r w:rsidRPr="00837408">
              <w:rPr>
                <w:rFonts w:ascii="Times New Roman" w:hAnsi="Times New Roman" w:cs="Times New Roman"/>
                <w:sz w:val="20"/>
                <w:szCs w:val="20"/>
              </w:rPr>
              <w:t>HBOT + surgery</w:t>
            </w:r>
          </w:p>
        </w:tc>
        <w:tc>
          <w:tcPr>
            <w:tcW w:w="1435" w:type="dxa"/>
            <w:vAlign w:val="center"/>
          </w:tcPr>
          <w:p w14:paraId="5538967B" w14:textId="7DACDA56" w:rsidR="00FB63A0" w:rsidRDefault="00FB63A0" w:rsidP="00FB63A0">
            <w:r w:rsidRPr="00837408">
              <w:rPr>
                <w:rFonts w:ascii="Times New Roman" w:hAnsi="Times New Roman" w:cs="Times New Roman"/>
                <w:sz w:val="20"/>
                <w:szCs w:val="20"/>
              </w:rPr>
              <w:t>Tissue loss</w:t>
            </w:r>
          </w:p>
        </w:tc>
      </w:tr>
      <w:tr w:rsidR="00FB63A0" w14:paraId="67683639" w14:textId="77777777" w:rsidTr="00FB63A0">
        <w:tc>
          <w:tcPr>
            <w:tcW w:w="1885" w:type="dxa"/>
            <w:vAlign w:val="center"/>
          </w:tcPr>
          <w:p w14:paraId="371FD469" w14:textId="297C7AE2" w:rsidR="00FB63A0" w:rsidRDefault="00FB63A0" w:rsidP="00FB63A0">
            <w:r w:rsidRPr="00837408">
              <w:rPr>
                <w:rFonts w:ascii="Times New Roman" w:hAnsi="Times New Roman" w:cs="Times New Roman"/>
                <w:sz w:val="20"/>
                <w:szCs w:val="20"/>
              </w:rPr>
              <w:t>Satyagraha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595826505"/>
                <w:placeholder>
                  <w:docPart w:val="D108562179FA4BC88A3C8D157684BE20"/>
                </w:placeholder>
              </w:sdtPr>
              <w:sdtContent>
                <w:r w:rsidR="000B40D5" w:rsidRPr="000B40D5">
                  <w:rPr>
                    <w:rFonts w:ascii="Times New Roman" w:hAnsi="Times New Roman" w:cs="Times New Roman"/>
                    <w:color w:val="000000"/>
                    <w:sz w:val="20"/>
                    <w:szCs w:val="20"/>
                  </w:rPr>
                  <w:t>(Satyagraha et al., 2020)</w:t>
                </w:r>
              </w:sdtContent>
            </w:sdt>
          </w:p>
        </w:tc>
        <w:tc>
          <w:tcPr>
            <w:tcW w:w="1416" w:type="dxa"/>
            <w:vAlign w:val="center"/>
          </w:tcPr>
          <w:p w14:paraId="5B248527" w14:textId="4DB92928" w:rsidR="00FB63A0" w:rsidRDefault="00FB63A0" w:rsidP="00FB63A0">
            <w:r w:rsidRPr="00837408">
              <w:rPr>
                <w:rFonts w:ascii="Times New Roman" w:hAnsi="Times New Roman" w:cs="Times New Roman"/>
                <w:sz w:val="20"/>
                <w:szCs w:val="20"/>
              </w:rPr>
              <w:t>Indonesia</w:t>
            </w:r>
          </w:p>
        </w:tc>
        <w:tc>
          <w:tcPr>
            <w:tcW w:w="1403" w:type="dxa"/>
            <w:vAlign w:val="center"/>
          </w:tcPr>
          <w:p w14:paraId="23150E2C" w14:textId="536CD532" w:rsidR="00FB63A0" w:rsidRDefault="00FB63A0" w:rsidP="00FB63A0">
            <w:r w:rsidRPr="00837408">
              <w:rPr>
                <w:rFonts w:ascii="Times New Roman" w:hAnsi="Times New Roman" w:cs="Times New Roman"/>
                <w:sz w:val="20"/>
                <w:szCs w:val="20"/>
              </w:rPr>
              <w:t>Case series</w:t>
            </w:r>
          </w:p>
        </w:tc>
        <w:tc>
          <w:tcPr>
            <w:tcW w:w="1423" w:type="dxa"/>
            <w:vAlign w:val="center"/>
          </w:tcPr>
          <w:p w14:paraId="79CD8220" w14:textId="113BCE10" w:rsidR="00FB63A0" w:rsidRDefault="00FB63A0" w:rsidP="00FB63A0">
            <w:r w:rsidRPr="00837408">
              <w:rPr>
                <w:rFonts w:ascii="Times New Roman" w:hAnsi="Times New Roman" w:cs="Times New Roman"/>
                <w:sz w:val="20"/>
                <w:szCs w:val="20"/>
              </w:rPr>
              <w:t>Children</w:t>
            </w:r>
          </w:p>
        </w:tc>
        <w:tc>
          <w:tcPr>
            <w:tcW w:w="1960" w:type="dxa"/>
            <w:vAlign w:val="center"/>
          </w:tcPr>
          <w:p w14:paraId="5C060527" w14:textId="3E5CE8B2" w:rsidR="00FB63A0" w:rsidRDefault="00FB63A0" w:rsidP="00FB63A0">
            <w:r w:rsidRPr="00837408">
              <w:rPr>
                <w:rFonts w:ascii="Times New Roman" w:hAnsi="Times New Roman" w:cs="Times New Roman"/>
                <w:sz w:val="20"/>
                <w:szCs w:val="20"/>
              </w:rPr>
              <w:t>Penile amputation</w:t>
            </w:r>
          </w:p>
        </w:tc>
        <w:tc>
          <w:tcPr>
            <w:tcW w:w="1433" w:type="dxa"/>
            <w:vAlign w:val="center"/>
          </w:tcPr>
          <w:p w14:paraId="6E008900" w14:textId="0D57C6F0" w:rsidR="00FB63A0" w:rsidRDefault="00FB63A0" w:rsidP="00FB63A0">
            <w:r w:rsidRPr="00837408">
              <w:rPr>
                <w:rFonts w:ascii="Times New Roman" w:hAnsi="Times New Roman" w:cs="Times New Roman"/>
                <w:sz w:val="20"/>
                <w:szCs w:val="20"/>
              </w:rPr>
              <w:t>Guillotine technique</w:t>
            </w:r>
          </w:p>
        </w:tc>
        <w:tc>
          <w:tcPr>
            <w:tcW w:w="1583" w:type="dxa"/>
            <w:vAlign w:val="center"/>
          </w:tcPr>
          <w:p w14:paraId="2594AB0E" w14:textId="7B77A998" w:rsidR="00FB63A0" w:rsidRDefault="00FB63A0" w:rsidP="00FB63A0">
            <w:r w:rsidRPr="00837408">
              <w:rPr>
                <w:rFonts w:ascii="Times New Roman" w:hAnsi="Times New Roman" w:cs="Times New Roman"/>
                <w:sz w:val="20"/>
                <w:szCs w:val="20"/>
              </w:rPr>
              <w:t>Non-specialist setting</w:t>
            </w:r>
          </w:p>
        </w:tc>
        <w:tc>
          <w:tcPr>
            <w:tcW w:w="1450" w:type="dxa"/>
            <w:vAlign w:val="center"/>
          </w:tcPr>
          <w:p w14:paraId="5372FAD9" w14:textId="38B22634" w:rsidR="00FB63A0" w:rsidRDefault="00FB63A0" w:rsidP="00FB63A0">
            <w:r w:rsidRPr="00837408">
              <w:rPr>
                <w:rFonts w:ascii="Times New Roman" w:hAnsi="Times New Roman" w:cs="Times New Roman"/>
                <w:sz w:val="20"/>
                <w:szCs w:val="20"/>
              </w:rPr>
              <w:t>Surgical</w:t>
            </w:r>
          </w:p>
        </w:tc>
        <w:tc>
          <w:tcPr>
            <w:tcW w:w="1435" w:type="dxa"/>
            <w:vAlign w:val="center"/>
          </w:tcPr>
          <w:p w14:paraId="7D0E2A99" w14:textId="257067A4" w:rsidR="00FB63A0" w:rsidRDefault="00FB63A0" w:rsidP="00FB63A0">
            <w:r w:rsidRPr="00837408">
              <w:rPr>
                <w:rFonts w:ascii="Times New Roman" w:hAnsi="Times New Roman" w:cs="Times New Roman"/>
                <w:sz w:val="20"/>
                <w:szCs w:val="20"/>
              </w:rPr>
              <w:t>Severe outcomes</w:t>
            </w:r>
          </w:p>
        </w:tc>
      </w:tr>
      <w:tr w:rsidR="00FB63A0" w14:paraId="32D64923" w14:textId="77777777" w:rsidTr="00FB63A0">
        <w:tc>
          <w:tcPr>
            <w:tcW w:w="1885" w:type="dxa"/>
            <w:vAlign w:val="center"/>
          </w:tcPr>
          <w:p w14:paraId="47F43EDA" w14:textId="388FB9B8" w:rsidR="00FB63A0" w:rsidRDefault="00FB63A0" w:rsidP="00FB63A0">
            <w:r w:rsidRPr="00837408">
              <w:rPr>
                <w:rFonts w:ascii="Times New Roman" w:hAnsi="Times New Roman" w:cs="Times New Roman"/>
                <w:sz w:val="20"/>
                <w:szCs w:val="20"/>
              </w:rPr>
              <w:t>Pepe (2015)</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
                <w:id w:val="-2074266356"/>
                <w:placeholder>
                  <w:docPart w:val="CA26DE2FF9CD4493ACCA213B8D702736"/>
                </w:placeholder>
              </w:sdtPr>
              <w:sdtContent>
                <w:r w:rsidR="000B40D5" w:rsidRPr="000B40D5">
                  <w:rPr>
                    <w:rFonts w:ascii="Times New Roman" w:hAnsi="Times New Roman" w:cs="Times New Roman"/>
                    <w:color w:val="000000"/>
                    <w:sz w:val="20"/>
                    <w:szCs w:val="20"/>
                  </w:rPr>
                  <w:t>(Pepe et al., 2015)</w:t>
                </w:r>
              </w:sdtContent>
            </w:sdt>
          </w:p>
        </w:tc>
        <w:tc>
          <w:tcPr>
            <w:tcW w:w="1416" w:type="dxa"/>
            <w:vAlign w:val="center"/>
          </w:tcPr>
          <w:p w14:paraId="001C0E69" w14:textId="5201966C" w:rsidR="00FB63A0" w:rsidRDefault="00FB63A0" w:rsidP="00FB63A0">
            <w:r w:rsidRPr="00837408">
              <w:rPr>
                <w:rFonts w:ascii="Times New Roman" w:hAnsi="Times New Roman" w:cs="Times New Roman"/>
                <w:sz w:val="20"/>
                <w:szCs w:val="20"/>
              </w:rPr>
              <w:t>Italy</w:t>
            </w:r>
          </w:p>
        </w:tc>
        <w:tc>
          <w:tcPr>
            <w:tcW w:w="1403" w:type="dxa"/>
            <w:vAlign w:val="center"/>
          </w:tcPr>
          <w:p w14:paraId="4F61841F" w14:textId="21F48B46" w:rsidR="00FB63A0" w:rsidRDefault="00FB63A0" w:rsidP="00FB63A0">
            <w:r w:rsidRPr="00837408">
              <w:rPr>
                <w:rFonts w:ascii="Times New Roman" w:hAnsi="Times New Roman" w:cs="Times New Roman"/>
                <w:sz w:val="20"/>
                <w:szCs w:val="20"/>
              </w:rPr>
              <w:t>Case report</w:t>
            </w:r>
          </w:p>
        </w:tc>
        <w:tc>
          <w:tcPr>
            <w:tcW w:w="1423" w:type="dxa"/>
            <w:vAlign w:val="center"/>
          </w:tcPr>
          <w:p w14:paraId="6B167905" w14:textId="3D8FAE55" w:rsidR="00FB63A0" w:rsidRDefault="00FB63A0" w:rsidP="00FB63A0">
            <w:r w:rsidRPr="00837408">
              <w:rPr>
                <w:rFonts w:ascii="Times New Roman" w:hAnsi="Times New Roman" w:cs="Times New Roman"/>
                <w:sz w:val="20"/>
                <w:szCs w:val="20"/>
              </w:rPr>
              <w:t>Child</w:t>
            </w:r>
          </w:p>
        </w:tc>
        <w:tc>
          <w:tcPr>
            <w:tcW w:w="1960" w:type="dxa"/>
            <w:vAlign w:val="center"/>
          </w:tcPr>
          <w:p w14:paraId="582DA249" w14:textId="4C1FCBAB" w:rsidR="00FB63A0" w:rsidRDefault="00FB63A0" w:rsidP="00FB63A0">
            <w:r w:rsidRPr="00837408">
              <w:rPr>
                <w:rFonts w:ascii="Times New Roman" w:hAnsi="Times New Roman" w:cs="Times New Roman"/>
                <w:sz w:val="20"/>
                <w:szCs w:val="20"/>
              </w:rPr>
              <w:t>Glans ischemia</w:t>
            </w:r>
          </w:p>
        </w:tc>
        <w:tc>
          <w:tcPr>
            <w:tcW w:w="1433" w:type="dxa"/>
            <w:vAlign w:val="center"/>
          </w:tcPr>
          <w:p w14:paraId="69B7B2E4" w14:textId="7AD54253" w:rsidR="00FB63A0" w:rsidRDefault="00FB63A0" w:rsidP="00FB63A0">
            <w:r w:rsidRPr="00837408">
              <w:rPr>
                <w:rFonts w:ascii="Times New Roman" w:hAnsi="Times New Roman" w:cs="Times New Roman"/>
                <w:sz w:val="20"/>
                <w:szCs w:val="20"/>
              </w:rPr>
              <w:t>Anesthesia-related</w:t>
            </w:r>
          </w:p>
        </w:tc>
        <w:tc>
          <w:tcPr>
            <w:tcW w:w="1583" w:type="dxa"/>
            <w:vAlign w:val="center"/>
          </w:tcPr>
          <w:p w14:paraId="4756D601" w14:textId="625E56DF" w:rsidR="00FB63A0" w:rsidRDefault="00FB63A0" w:rsidP="00FB63A0">
            <w:r w:rsidRPr="00837408">
              <w:rPr>
                <w:rFonts w:ascii="Times New Roman" w:hAnsi="Times New Roman" w:cs="Times New Roman"/>
                <w:sz w:val="20"/>
                <w:szCs w:val="20"/>
              </w:rPr>
              <w:t>Clinical setting</w:t>
            </w:r>
          </w:p>
        </w:tc>
        <w:tc>
          <w:tcPr>
            <w:tcW w:w="1450" w:type="dxa"/>
            <w:vAlign w:val="center"/>
          </w:tcPr>
          <w:p w14:paraId="695CC3E5" w14:textId="5837986E" w:rsidR="00FB63A0" w:rsidRDefault="00FB63A0" w:rsidP="00FB63A0">
            <w:r w:rsidRPr="00837408">
              <w:rPr>
                <w:rFonts w:ascii="Times New Roman" w:hAnsi="Times New Roman" w:cs="Times New Roman"/>
                <w:sz w:val="20"/>
                <w:szCs w:val="20"/>
              </w:rPr>
              <w:t>Conservative</w:t>
            </w:r>
          </w:p>
        </w:tc>
        <w:tc>
          <w:tcPr>
            <w:tcW w:w="1435" w:type="dxa"/>
            <w:vAlign w:val="center"/>
          </w:tcPr>
          <w:p w14:paraId="26D418BC" w14:textId="67DF919F" w:rsidR="00FB63A0" w:rsidRDefault="00FB63A0" w:rsidP="00FB63A0">
            <w:r w:rsidRPr="00837408">
              <w:rPr>
                <w:rFonts w:ascii="Times New Roman" w:hAnsi="Times New Roman" w:cs="Times New Roman"/>
                <w:sz w:val="20"/>
                <w:szCs w:val="20"/>
              </w:rPr>
              <w:t>Recovery</w:t>
            </w:r>
          </w:p>
        </w:tc>
      </w:tr>
    </w:tbl>
    <w:p w14:paraId="522F7B96" w14:textId="77777777" w:rsidR="00FB63A0" w:rsidRDefault="00FB63A0" w:rsidP="0065179B"/>
    <w:p w14:paraId="584201BD" w14:textId="77777777" w:rsidR="00A612D0" w:rsidRDefault="00A612D0" w:rsidP="0065179B"/>
    <w:p w14:paraId="5DB0A834" w14:textId="77777777" w:rsidR="00A612D0" w:rsidRDefault="00A612D0" w:rsidP="0065179B"/>
    <w:p w14:paraId="5554D843" w14:textId="77777777" w:rsidR="00A612D0" w:rsidRDefault="00A612D0" w:rsidP="0065179B"/>
    <w:p w14:paraId="227D6BF4" w14:textId="77777777" w:rsidR="00A612D0" w:rsidRDefault="00A612D0" w:rsidP="0065179B"/>
    <w:p w14:paraId="52EAC97E" w14:textId="77777777" w:rsidR="00A612D0" w:rsidRDefault="00A612D0" w:rsidP="0065179B"/>
    <w:p w14:paraId="159CBC84" w14:textId="77777777" w:rsidR="00A612D0" w:rsidRDefault="00A612D0" w:rsidP="0065179B"/>
    <w:p w14:paraId="7255C135" w14:textId="77777777" w:rsidR="00A612D0" w:rsidRDefault="00A612D0" w:rsidP="0065179B"/>
    <w:p w14:paraId="32F88950" w14:textId="77777777" w:rsidR="00A612D0" w:rsidRDefault="00A612D0" w:rsidP="00A612D0">
      <w:pPr>
        <w:rPr>
          <w:b/>
          <w:bCs/>
        </w:rPr>
        <w:sectPr w:rsidR="00A612D0" w:rsidSect="00A612D0">
          <w:pgSz w:w="15840" w:h="12240" w:orient="landscape"/>
          <w:pgMar w:top="1440" w:right="1440" w:bottom="1440" w:left="1440" w:header="720" w:footer="720" w:gutter="0"/>
          <w:cols w:space="720"/>
          <w:docGrid w:linePitch="360"/>
        </w:sectPr>
      </w:pPr>
    </w:p>
    <w:p w14:paraId="52AEE53A" w14:textId="68B170CE" w:rsidR="00D1027B" w:rsidRPr="00A05C04" w:rsidRDefault="00D1027B" w:rsidP="00A612D0">
      <w:pPr>
        <w:rPr>
          <w:rFonts w:ascii="Times New Roman" w:hAnsi="Times New Roman" w:cs="Times New Roman"/>
          <w:b/>
          <w:bCs/>
          <w:i/>
          <w:iCs/>
        </w:rPr>
      </w:pPr>
      <w:r w:rsidRPr="00A05C04">
        <w:rPr>
          <w:rFonts w:ascii="Times New Roman" w:hAnsi="Times New Roman" w:cs="Times New Roman"/>
          <w:b/>
          <w:bCs/>
          <w:i/>
          <w:iCs/>
        </w:rPr>
        <w:lastRenderedPageBreak/>
        <w:t>Quality Assessment Results</w:t>
      </w:r>
    </w:p>
    <w:p w14:paraId="63CA1326" w14:textId="0B7C1F4B" w:rsidR="00527961" w:rsidRPr="00A05C04" w:rsidRDefault="00527961" w:rsidP="00A612D0">
      <w:pPr>
        <w:rPr>
          <w:rFonts w:ascii="Times New Roman" w:hAnsi="Times New Roman" w:cs="Times New Roman"/>
          <w:i/>
          <w:iCs/>
        </w:rPr>
      </w:pPr>
      <w:r w:rsidRPr="00A05C04">
        <w:rPr>
          <w:rFonts w:ascii="Times New Roman" w:hAnsi="Times New Roman" w:cs="Times New Roman"/>
          <w:i/>
          <w:iCs/>
        </w:rPr>
        <w:t>Methodological Quality of Included Case Reports</w:t>
      </w:r>
    </w:p>
    <w:p w14:paraId="525D56C4" w14:textId="77777777" w:rsidR="007F750B" w:rsidRPr="007F750B" w:rsidRDefault="007F750B" w:rsidP="007F750B">
      <w:pPr>
        <w:spacing w:after="0"/>
        <w:ind w:firstLine="630"/>
        <w:jc w:val="both"/>
        <w:rPr>
          <w:rFonts w:ascii="Times New Roman" w:hAnsi="Times New Roman" w:cs="Times New Roman"/>
        </w:rPr>
      </w:pPr>
      <w:r w:rsidRPr="007F750B">
        <w:rPr>
          <w:rFonts w:ascii="Times New Roman" w:hAnsi="Times New Roman" w:cs="Times New Roman"/>
        </w:rPr>
        <w:t>The overall methodological quality of the included case reports was high. Most studies adequately reported patient demographics, clinical history, and detailed descriptions of the clinical condition, as well as the interventions performed and subsequent outcomes. These domains were consistently fulfilled across the majority of studies.</w:t>
      </w:r>
    </w:p>
    <w:p w14:paraId="61D681D5" w14:textId="77777777" w:rsidR="007F750B" w:rsidRPr="007F750B" w:rsidRDefault="007F750B" w:rsidP="007F750B">
      <w:pPr>
        <w:spacing w:after="0"/>
        <w:ind w:firstLine="630"/>
        <w:jc w:val="both"/>
        <w:rPr>
          <w:rFonts w:ascii="Times New Roman" w:hAnsi="Times New Roman" w:cs="Times New Roman"/>
        </w:rPr>
      </w:pPr>
      <w:r w:rsidRPr="007F750B">
        <w:rPr>
          <w:rFonts w:ascii="Times New Roman" w:hAnsi="Times New Roman" w:cs="Times New Roman"/>
        </w:rPr>
        <w:t>However, important limitations were observed in specific areas. Diagnostic evaluation was frequently insufficiently detailed, with several reports relying primarily on clinical findings without comprehensive investigation. In addition, adverse events beyond the primary complication were inconsistently reported, limiting the completeness of outcome assessment.</w:t>
      </w:r>
    </w:p>
    <w:p w14:paraId="7D3FA00B" w14:textId="77777777" w:rsidR="007F750B" w:rsidRPr="007F750B" w:rsidRDefault="007F750B" w:rsidP="007F750B">
      <w:pPr>
        <w:spacing w:after="0"/>
        <w:ind w:firstLine="630"/>
        <w:jc w:val="both"/>
        <w:rPr>
          <w:b/>
          <w:bCs/>
        </w:rPr>
      </w:pPr>
      <w:r w:rsidRPr="007F750B">
        <w:rPr>
          <w:rFonts w:ascii="Times New Roman" w:hAnsi="Times New Roman" w:cs="Times New Roman"/>
        </w:rPr>
        <w:t>Three studies were rated as having moderate risk of bias due to incomplete reporting across multiple domains, particularly in diagnostic clarity and follow-up. Despite these limitations, the overall quality of evidence was considered acceptable for descriptive synthesis, given the rarity and clinical nature of the condition under investigation.</w:t>
      </w:r>
    </w:p>
    <w:p w14:paraId="40AEA4ED" w14:textId="73137E93" w:rsidR="00D1027B" w:rsidRDefault="007F750B" w:rsidP="00A612D0">
      <w:pPr>
        <w:rPr>
          <w:b/>
          <w:bCs/>
        </w:rPr>
      </w:pPr>
      <w:r>
        <w:rPr>
          <w:noProof/>
        </w:rPr>
        <w:drawing>
          <wp:anchor distT="0" distB="0" distL="114300" distR="114300" simplePos="0" relativeHeight="251661312" behindDoc="0" locked="0" layoutInCell="1" allowOverlap="1" wp14:anchorId="21878294" wp14:editId="0A3F7BC6">
            <wp:simplePos x="0" y="0"/>
            <wp:positionH relativeFrom="column">
              <wp:posOffset>567386</wp:posOffset>
            </wp:positionH>
            <wp:positionV relativeFrom="paragraph">
              <wp:posOffset>0</wp:posOffset>
            </wp:positionV>
            <wp:extent cx="4837761" cy="4715123"/>
            <wp:effectExtent l="0" t="0" r="1270" b="0"/>
            <wp:wrapNone/>
            <wp:docPr id="65760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7761" cy="47151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E8B124" w14:textId="77777777" w:rsidR="007F750B" w:rsidRDefault="007F750B" w:rsidP="00A612D0">
      <w:pPr>
        <w:rPr>
          <w:b/>
          <w:bCs/>
        </w:rPr>
      </w:pPr>
    </w:p>
    <w:p w14:paraId="759ACE90" w14:textId="77777777" w:rsidR="007F750B" w:rsidRDefault="007F750B" w:rsidP="00A612D0">
      <w:pPr>
        <w:rPr>
          <w:b/>
          <w:bCs/>
        </w:rPr>
      </w:pPr>
    </w:p>
    <w:p w14:paraId="6A4A4748" w14:textId="77777777" w:rsidR="007F750B" w:rsidRDefault="007F750B" w:rsidP="00A612D0">
      <w:pPr>
        <w:rPr>
          <w:b/>
          <w:bCs/>
        </w:rPr>
      </w:pPr>
    </w:p>
    <w:p w14:paraId="3DF661EA" w14:textId="77777777" w:rsidR="007F750B" w:rsidRDefault="007F750B" w:rsidP="00A612D0">
      <w:pPr>
        <w:rPr>
          <w:b/>
          <w:bCs/>
        </w:rPr>
      </w:pPr>
    </w:p>
    <w:p w14:paraId="025AED47" w14:textId="77777777" w:rsidR="007F750B" w:rsidRDefault="007F750B" w:rsidP="00A612D0">
      <w:pPr>
        <w:rPr>
          <w:b/>
          <w:bCs/>
        </w:rPr>
      </w:pPr>
    </w:p>
    <w:p w14:paraId="357D0864" w14:textId="77777777" w:rsidR="007F750B" w:rsidRDefault="007F750B" w:rsidP="00A612D0">
      <w:pPr>
        <w:rPr>
          <w:b/>
          <w:bCs/>
        </w:rPr>
      </w:pPr>
    </w:p>
    <w:p w14:paraId="59A5E4B5" w14:textId="77777777" w:rsidR="007F750B" w:rsidRDefault="007F750B" w:rsidP="00A612D0">
      <w:pPr>
        <w:rPr>
          <w:b/>
          <w:bCs/>
        </w:rPr>
      </w:pPr>
    </w:p>
    <w:p w14:paraId="1EAB8FE8" w14:textId="77777777" w:rsidR="007513A3" w:rsidRDefault="007513A3" w:rsidP="00A612D0">
      <w:pPr>
        <w:rPr>
          <w:b/>
          <w:bCs/>
        </w:rPr>
      </w:pPr>
    </w:p>
    <w:p w14:paraId="59027C93" w14:textId="77777777" w:rsidR="007F750B" w:rsidRDefault="007F750B" w:rsidP="00A612D0">
      <w:pPr>
        <w:rPr>
          <w:b/>
          <w:bCs/>
        </w:rPr>
      </w:pPr>
    </w:p>
    <w:p w14:paraId="646FE99C" w14:textId="77777777" w:rsidR="007F750B" w:rsidRDefault="007F750B" w:rsidP="00A612D0">
      <w:pPr>
        <w:rPr>
          <w:b/>
          <w:bCs/>
        </w:rPr>
      </w:pPr>
    </w:p>
    <w:p w14:paraId="2E4EE225" w14:textId="77777777" w:rsidR="007F750B" w:rsidRDefault="007F750B" w:rsidP="00A612D0">
      <w:pPr>
        <w:rPr>
          <w:b/>
          <w:bCs/>
        </w:rPr>
      </w:pPr>
    </w:p>
    <w:p w14:paraId="60D032DF" w14:textId="77777777" w:rsidR="007F750B" w:rsidRDefault="007F750B" w:rsidP="00A612D0">
      <w:pPr>
        <w:rPr>
          <w:b/>
          <w:bCs/>
        </w:rPr>
      </w:pPr>
    </w:p>
    <w:p w14:paraId="71BDC8AB" w14:textId="77777777" w:rsidR="004F2F5C" w:rsidRDefault="004F2F5C" w:rsidP="00A612D0">
      <w:pPr>
        <w:rPr>
          <w:b/>
          <w:bCs/>
        </w:rPr>
      </w:pPr>
    </w:p>
    <w:p w14:paraId="534F8F25" w14:textId="77777777" w:rsidR="004F2F5C" w:rsidRDefault="004F2F5C" w:rsidP="00A612D0">
      <w:pPr>
        <w:rPr>
          <w:b/>
          <w:bCs/>
        </w:rPr>
      </w:pPr>
    </w:p>
    <w:p w14:paraId="3E35F850" w14:textId="31908DBC" w:rsidR="00FE6E85" w:rsidRPr="00574172" w:rsidRDefault="00574172" w:rsidP="00574172">
      <w:pPr>
        <w:jc w:val="center"/>
        <w:rPr>
          <w:rFonts w:ascii="Times New Roman" w:hAnsi="Times New Roman" w:cs="Times New Roman"/>
        </w:rPr>
      </w:pPr>
      <w:r w:rsidRPr="00574172">
        <w:rPr>
          <w:rFonts w:ascii="Times New Roman" w:hAnsi="Times New Roman" w:cs="Times New Roman"/>
          <w:b/>
          <w:bCs/>
        </w:rPr>
        <w:t>Figure 2.</w:t>
      </w:r>
      <w:r w:rsidRPr="00574172">
        <w:rPr>
          <w:rFonts w:ascii="Times New Roman" w:hAnsi="Times New Roman" w:cs="Times New Roman"/>
        </w:rPr>
        <w:t xml:space="preserve"> Traffic-Light Plot of included case report studies</w:t>
      </w:r>
    </w:p>
    <w:p w14:paraId="5F80D5D8" w14:textId="08F2276C" w:rsidR="001C77E5" w:rsidRDefault="001C77E5" w:rsidP="00F65DAA">
      <w:pPr>
        <w:spacing w:after="0"/>
        <w:rPr>
          <w:rFonts w:ascii="Times New Roman" w:hAnsi="Times New Roman" w:cs="Times New Roman"/>
          <w:i/>
          <w:iCs/>
        </w:rPr>
      </w:pPr>
      <w:r w:rsidRPr="00A05C04">
        <w:rPr>
          <w:rFonts w:ascii="Times New Roman" w:hAnsi="Times New Roman" w:cs="Times New Roman"/>
          <w:i/>
          <w:iCs/>
        </w:rPr>
        <w:lastRenderedPageBreak/>
        <w:t xml:space="preserve">Methodological Quality of Included Case </w:t>
      </w:r>
      <w:r>
        <w:rPr>
          <w:rFonts w:ascii="Times New Roman" w:hAnsi="Times New Roman" w:cs="Times New Roman"/>
          <w:i/>
          <w:iCs/>
        </w:rPr>
        <w:t>Series</w:t>
      </w:r>
    </w:p>
    <w:p w14:paraId="018FF60E" w14:textId="77777777" w:rsidR="00716965" w:rsidRPr="00716965" w:rsidRDefault="00716965" w:rsidP="00716965">
      <w:pPr>
        <w:spacing w:after="0"/>
        <w:ind w:firstLine="630"/>
        <w:jc w:val="both"/>
        <w:rPr>
          <w:rFonts w:ascii="Times New Roman" w:hAnsi="Times New Roman" w:cs="Times New Roman"/>
        </w:rPr>
      </w:pPr>
      <w:r w:rsidRPr="00716965">
        <w:rPr>
          <w:rFonts w:ascii="Times New Roman" w:hAnsi="Times New Roman" w:cs="Times New Roman"/>
        </w:rPr>
        <w:t>The methodological quality of the included case series was variable. Two studies demonstrated low risk of bias, characterised by clearly defined inclusion criteria, comprehensive reporting of clinical and outcome data, and the use of structured or surveillance-based data collection approaches. In contrast, the majority of studies were rated as having moderate risk of bias due to limitations in case selection and reporting.</w:t>
      </w:r>
    </w:p>
    <w:p w14:paraId="0ADF30DC" w14:textId="77777777" w:rsidR="00716965" w:rsidRPr="00716965" w:rsidRDefault="00716965" w:rsidP="00716965">
      <w:pPr>
        <w:spacing w:after="0"/>
        <w:ind w:firstLine="630"/>
        <w:jc w:val="both"/>
        <w:rPr>
          <w:rFonts w:ascii="Times New Roman" w:hAnsi="Times New Roman" w:cs="Times New Roman"/>
        </w:rPr>
      </w:pPr>
      <w:r w:rsidRPr="00716965">
        <w:rPr>
          <w:rFonts w:ascii="Times New Roman" w:hAnsi="Times New Roman" w:cs="Times New Roman"/>
        </w:rPr>
        <w:t>In several studies, inclusion criteria and case recruitment processes were not explicitly defined, raising concerns regarding selection bias. Consecutive and complete inclusion of cases was frequently unclear, particularly in smaller series derived from single-centre experiences. Furthermore, follow-up data were often limited or inconsistently reported, restricting the assessment of long-term outcomes.</w:t>
      </w:r>
    </w:p>
    <w:p w14:paraId="2F621D20" w14:textId="77777777" w:rsidR="00716965" w:rsidRPr="00716965" w:rsidRDefault="00716965" w:rsidP="00716965">
      <w:pPr>
        <w:spacing w:after="0"/>
        <w:ind w:firstLine="630"/>
        <w:jc w:val="both"/>
        <w:rPr>
          <w:rFonts w:ascii="Times New Roman" w:hAnsi="Times New Roman" w:cs="Times New Roman"/>
        </w:rPr>
      </w:pPr>
      <w:r w:rsidRPr="00716965">
        <w:rPr>
          <w:rFonts w:ascii="Times New Roman" w:hAnsi="Times New Roman" w:cs="Times New Roman"/>
        </w:rPr>
        <w:t>Statistical analysis was largely absent in most studies, reflecting the descriptive nature of these case series. While clinical details and immediate management were generally well described, the lack of analytical approaches and standardized outcome reporting reduced the overall methodological robustness.</w:t>
      </w:r>
    </w:p>
    <w:p w14:paraId="62041240" w14:textId="77777777" w:rsidR="00716965" w:rsidRPr="00716965" w:rsidRDefault="00716965" w:rsidP="00716965">
      <w:pPr>
        <w:spacing w:after="0"/>
        <w:ind w:firstLine="630"/>
        <w:jc w:val="both"/>
        <w:rPr>
          <w:rFonts w:ascii="Times New Roman" w:hAnsi="Times New Roman" w:cs="Times New Roman"/>
        </w:rPr>
      </w:pPr>
      <w:r w:rsidRPr="00716965">
        <w:rPr>
          <w:rFonts w:ascii="Times New Roman" w:hAnsi="Times New Roman" w:cs="Times New Roman"/>
        </w:rPr>
        <w:t>Overall, although case series provided valuable insights into patterns of injury, management strategies, and outcomes, the strength of evidence was constrained by methodological limitations. Findings from higher-quality series, particularly those with structured data collection and larger sample sizes, were therefore considered more reliable in informing the overall synthesis.</w:t>
      </w:r>
    </w:p>
    <w:p w14:paraId="1FFE23AB" w14:textId="249C7484" w:rsidR="00716965" w:rsidRDefault="00393316" w:rsidP="00A612D0">
      <w:pPr>
        <w:rPr>
          <w:rFonts w:ascii="Times New Roman" w:hAnsi="Times New Roman" w:cs="Times New Roman"/>
          <w:i/>
          <w:iCs/>
        </w:rPr>
      </w:pPr>
      <w:r>
        <w:rPr>
          <w:noProof/>
        </w:rPr>
        <w:drawing>
          <wp:anchor distT="0" distB="0" distL="114300" distR="114300" simplePos="0" relativeHeight="251663360" behindDoc="0" locked="0" layoutInCell="1" allowOverlap="1" wp14:anchorId="7EF643E0" wp14:editId="2600DE7D">
            <wp:simplePos x="0" y="0"/>
            <wp:positionH relativeFrom="column">
              <wp:posOffset>350851</wp:posOffset>
            </wp:positionH>
            <wp:positionV relativeFrom="paragraph">
              <wp:posOffset>0</wp:posOffset>
            </wp:positionV>
            <wp:extent cx="5265290" cy="3904090"/>
            <wp:effectExtent l="0" t="0" r="0" b="1270"/>
            <wp:wrapNone/>
            <wp:docPr id="1054448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5290" cy="3904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0C9B5D" w14:textId="77777777" w:rsidR="00716965" w:rsidRDefault="00716965" w:rsidP="00A612D0">
      <w:pPr>
        <w:rPr>
          <w:rFonts w:ascii="Times New Roman" w:hAnsi="Times New Roman" w:cs="Times New Roman"/>
          <w:i/>
          <w:iCs/>
        </w:rPr>
      </w:pPr>
    </w:p>
    <w:p w14:paraId="6741A3DE" w14:textId="77777777" w:rsidR="00716965" w:rsidRDefault="00716965" w:rsidP="00A612D0">
      <w:pPr>
        <w:rPr>
          <w:rFonts w:ascii="Times New Roman" w:hAnsi="Times New Roman" w:cs="Times New Roman"/>
          <w:i/>
          <w:iCs/>
        </w:rPr>
      </w:pPr>
    </w:p>
    <w:p w14:paraId="7BD20470" w14:textId="77777777" w:rsidR="00716965" w:rsidRDefault="00716965" w:rsidP="00A612D0">
      <w:pPr>
        <w:rPr>
          <w:rFonts w:ascii="Times New Roman" w:hAnsi="Times New Roman" w:cs="Times New Roman"/>
          <w:i/>
          <w:iCs/>
        </w:rPr>
      </w:pPr>
    </w:p>
    <w:p w14:paraId="1E147069" w14:textId="77777777" w:rsidR="00716965" w:rsidRDefault="00716965" w:rsidP="00A612D0">
      <w:pPr>
        <w:rPr>
          <w:rFonts w:ascii="Times New Roman" w:hAnsi="Times New Roman" w:cs="Times New Roman"/>
          <w:i/>
          <w:iCs/>
        </w:rPr>
      </w:pPr>
    </w:p>
    <w:p w14:paraId="7327777D" w14:textId="77777777" w:rsidR="00716965" w:rsidRDefault="00716965" w:rsidP="00A612D0">
      <w:pPr>
        <w:rPr>
          <w:rFonts w:ascii="Times New Roman" w:hAnsi="Times New Roman" w:cs="Times New Roman"/>
          <w:i/>
          <w:iCs/>
        </w:rPr>
      </w:pPr>
    </w:p>
    <w:p w14:paraId="00C91C46" w14:textId="77777777" w:rsidR="00716965" w:rsidRDefault="00716965" w:rsidP="00A612D0">
      <w:pPr>
        <w:rPr>
          <w:rFonts w:ascii="Times New Roman" w:hAnsi="Times New Roman" w:cs="Times New Roman"/>
          <w:i/>
          <w:iCs/>
        </w:rPr>
      </w:pPr>
    </w:p>
    <w:p w14:paraId="5D0D3BF3" w14:textId="77777777" w:rsidR="00716965" w:rsidRDefault="00716965" w:rsidP="00A612D0">
      <w:pPr>
        <w:rPr>
          <w:rFonts w:ascii="Times New Roman" w:hAnsi="Times New Roman" w:cs="Times New Roman"/>
          <w:i/>
          <w:iCs/>
        </w:rPr>
      </w:pPr>
    </w:p>
    <w:p w14:paraId="244F1F97" w14:textId="77777777" w:rsidR="00716965" w:rsidRDefault="00716965" w:rsidP="00A612D0">
      <w:pPr>
        <w:rPr>
          <w:rFonts w:ascii="Times New Roman" w:hAnsi="Times New Roman" w:cs="Times New Roman"/>
          <w:i/>
          <w:iCs/>
        </w:rPr>
      </w:pPr>
    </w:p>
    <w:p w14:paraId="1E757A70" w14:textId="77777777" w:rsidR="002A7FEA" w:rsidRDefault="002A7FEA" w:rsidP="002A7FEA">
      <w:pPr>
        <w:jc w:val="center"/>
        <w:rPr>
          <w:rFonts w:ascii="Times New Roman" w:hAnsi="Times New Roman" w:cs="Times New Roman"/>
          <w:b/>
          <w:bCs/>
        </w:rPr>
      </w:pPr>
    </w:p>
    <w:p w14:paraId="45D590A9" w14:textId="77777777" w:rsidR="00F65DAA" w:rsidRDefault="00F65DAA" w:rsidP="002A7FEA">
      <w:pPr>
        <w:jc w:val="center"/>
        <w:rPr>
          <w:rFonts w:ascii="Times New Roman" w:hAnsi="Times New Roman" w:cs="Times New Roman"/>
          <w:b/>
          <w:bCs/>
        </w:rPr>
      </w:pPr>
    </w:p>
    <w:p w14:paraId="14DC3EBC" w14:textId="77777777" w:rsidR="00F65DAA" w:rsidRDefault="00F65DAA" w:rsidP="002A7FEA">
      <w:pPr>
        <w:jc w:val="center"/>
        <w:rPr>
          <w:rFonts w:ascii="Times New Roman" w:hAnsi="Times New Roman" w:cs="Times New Roman"/>
          <w:b/>
          <w:bCs/>
        </w:rPr>
      </w:pPr>
    </w:p>
    <w:p w14:paraId="4A53E61F" w14:textId="77777777" w:rsidR="00F65DAA" w:rsidRDefault="00F65DAA" w:rsidP="002A7FEA">
      <w:pPr>
        <w:jc w:val="center"/>
        <w:rPr>
          <w:rFonts w:ascii="Times New Roman" w:hAnsi="Times New Roman" w:cs="Times New Roman"/>
          <w:b/>
          <w:bCs/>
        </w:rPr>
      </w:pPr>
    </w:p>
    <w:p w14:paraId="4623BE9D" w14:textId="605F7D39" w:rsidR="00716965" w:rsidRDefault="00574172" w:rsidP="002A7FEA">
      <w:pPr>
        <w:jc w:val="center"/>
        <w:rPr>
          <w:rFonts w:ascii="Times New Roman" w:hAnsi="Times New Roman" w:cs="Times New Roman"/>
          <w:i/>
          <w:iCs/>
        </w:rPr>
      </w:pPr>
      <w:r w:rsidRPr="00574172">
        <w:rPr>
          <w:rFonts w:ascii="Times New Roman" w:hAnsi="Times New Roman" w:cs="Times New Roman"/>
          <w:b/>
          <w:bCs/>
        </w:rPr>
        <w:t xml:space="preserve">Figure </w:t>
      </w:r>
      <w:r>
        <w:rPr>
          <w:rFonts w:ascii="Times New Roman" w:hAnsi="Times New Roman" w:cs="Times New Roman"/>
          <w:b/>
          <w:bCs/>
        </w:rPr>
        <w:t>3</w:t>
      </w:r>
      <w:r w:rsidRPr="00574172">
        <w:rPr>
          <w:rFonts w:ascii="Times New Roman" w:hAnsi="Times New Roman" w:cs="Times New Roman"/>
          <w:b/>
          <w:bCs/>
        </w:rPr>
        <w:t>.</w:t>
      </w:r>
      <w:r w:rsidRPr="00574172">
        <w:rPr>
          <w:rFonts w:ascii="Times New Roman" w:hAnsi="Times New Roman" w:cs="Times New Roman"/>
        </w:rPr>
        <w:t xml:space="preserve"> Traffic-Light Plot of included case </w:t>
      </w:r>
      <w:r>
        <w:rPr>
          <w:rFonts w:ascii="Times New Roman" w:hAnsi="Times New Roman" w:cs="Times New Roman"/>
        </w:rPr>
        <w:t>series</w:t>
      </w:r>
      <w:r w:rsidRPr="00574172">
        <w:rPr>
          <w:rFonts w:ascii="Times New Roman" w:hAnsi="Times New Roman" w:cs="Times New Roman"/>
        </w:rPr>
        <w:t xml:space="preserve"> studies</w:t>
      </w:r>
    </w:p>
    <w:p w14:paraId="325E50ED" w14:textId="7A41757C" w:rsidR="00A612D0" w:rsidRPr="00B84E53" w:rsidRDefault="00A612D0" w:rsidP="00B84E53">
      <w:pPr>
        <w:spacing w:after="0" w:line="276" w:lineRule="auto"/>
        <w:jc w:val="both"/>
        <w:rPr>
          <w:rFonts w:ascii="Times New Roman" w:hAnsi="Times New Roman" w:cs="Times New Roman"/>
          <w:b/>
          <w:bCs/>
        </w:rPr>
      </w:pPr>
      <w:r w:rsidRPr="00B84E53">
        <w:rPr>
          <w:rFonts w:ascii="Times New Roman" w:hAnsi="Times New Roman" w:cs="Times New Roman"/>
          <w:b/>
          <w:bCs/>
        </w:rPr>
        <w:lastRenderedPageBreak/>
        <w:t>Study Characteristics</w:t>
      </w:r>
    </w:p>
    <w:p w14:paraId="67537162" w14:textId="77777777" w:rsidR="00A612D0" w:rsidRPr="00B84E53" w:rsidRDefault="00A612D0" w:rsidP="00B84E53">
      <w:pPr>
        <w:spacing w:after="0" w:line="276" w:lineRule="auto"/>
        <w:ind w:firstLine="630"/>
        <w:jc w:val="both"/>
        <w:rPr>
          <w:rFonts w:ascii="Times New Roman" w:hAnsi="Times New Roman" w:cs="Times New Roman"/>
        </w:rPr>
      </w:pPr>
      <w:r w:rsidRPr="00B84E53">
        <w:rPr>
          <w:rFonts w:ascii="Times New Roman" w:hAnsi="Times New Roman" w:cs="Times New Roman"/>
        </w:rPr>
        <w:t>A total of 20 clinical studies were included in the final synthesis, consisting predominantly of case reports and case series, with one retrospective study. The evidence base was largely descriptive, reflecting the rarity and severity of iatrogenic glans and penile injuries during circumcision.</w:t>
      </w:r>
    </w:p>
    <w:p w14:paraId="07319BEA" w14:textId="152C67D6" w:rsidR="00A612D0" w:rsidRPr="00B84E53" w:rsidRDefault="00A612D0" w:rsidP="00B84E53">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The included studies were geographically diverse, spanning Africa, Asia, the Middle East, and Europe. Several reports originated from low- and middle-income countries, including Nigeria, Ethiopia, Somalia, Indonesia, and multicountry African settings, where circumcision is frequently performed in non-specialist or traditional environments </w:t>
      </w:r>
      <w:sdt>
        <w:sdtPr>
          <w:rPr>
            <w:rFonts w:ascii="Times New Roman" w:hAnsi="Times New Roman" w:cs="Times New Roman"/>
            <w:color w:val="000000"/>
          </w:rPr>
          <w:tag w:val="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
          <w:id w:val="193205709"/>
          <w:placeholder>
            <w:docPart w:val="DefaultPlaceholder_-1854013440"/>
          </w:placeholder>
        </w:sdtPr>
        <w:sdtContent>
          <w:r w:rsidR="000B40D5" w:rsidRPr="000E689E">
            <w:rPr>
              <w:rFonts w:ascii="Times New Roman" w:hAnsi="Times New Roman" w:cs="Times New Roman"/>
              <w:color w:val="000000"/>
            </w:rPr>
            <w:t>(Ahmed et al., 2020; Ayalew et al., 2025; Elmi et al., 2026; M. B. I. Hakim et al., 2023; Lucas et al., 2020)</w:t>
          </w:r>
        </w:sdtContent>
      </w:sdt>
      <w:r w:rsidRPr="00B84E53">
        <w:rPr>
          <w:rFonts w:ascii="Times New Roman" w:hAnsi="Times New Roman" w:cs="Times New Roman"/>
        </w:rPr>
        <w:t xml:space="preserve">. Additional cases from Cameroon and Senegal further illustrated the occurrence of severe injuries in resource-limited contexts </w:t>
      </w:r>
      <w:sdt>
        <w:sdtPr>
          <w:rPr>
            <w:rFonts w:ascii="Times New Roman" w:hAnsi="Times New Roman" w:cs="Times New Roman"/>
            <w:color w:val="000000"/>
          </w:rPr>
          <w:tag w:val="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
          <w:id w:val="1671988342"/>
          <w:placeholder>
            <w:docPart w:val="DefaultPlaceholder_-1854013440"/>
          </w:placeholder>
        </w:sdtPr>
        <w:sdtContent>
          <w:r w:rsidR="000E689E" w:rsidRPr="000E689E">
            <w:rPr>
              <w:rFonts w:ascii="Times New Roman" w:hAnsi="Times New Roman" w:cs="Times New Roman"/>
              <w:color w:val="000000"/>
            </w:rPr>
            <w:t>(Sow et al., 2022; Tanyi et al., 2023)</w:t>
          </w:r>
        </w:sdtContent>
      </w:sdt>
      <w:r w:rsidRPr="00B84E53">
        <w:rPr>
          <w:rFonts w:ascii="Times New Roman" w:hAnsi="Times New Roman" w:cs="Times New Roman"/>
        </w:rPr>
        <w:t xml:space="preserve">. In contrast, several studies were conducted in formal medical settings in Europe and the Middle East, including Spain, Turkey, Italy, and Iran </w:t>
      </w:r>
      <w:sdt>
        <w:sdtPr>
          <w:rPr>
            <w:rFonts w:ascii="Times New Roman" w:hAnsi="Times New Roman" w:cs="Times New Roman"/>
            <w:color w:val="000000"/>
          </w:rPr>
          <w:tag w:val="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
          <w:id w:val="-1787194243"/>
          <w:placeholder>
            <w:docPart w:val="DefaultPlaceholder_-1854013440"/>
          </w:placeholder>
        </w:sdtPr>
        <w:sdtContent>
          <w:r w:rsidR="000E689E" w:rsidRPr="000E689E">
            <w:rPr>
              <w:rFonts w:ascii="Times New Roman" w:eastAsia="Times New Roman" w:hAnsi="Times New Roman" w:cs="Times New Roman"/>
              <w:color w:val="000000"/>
            </w:rPr>
            <w:t>(Garrido-Abad &amp; Suarez-Fonseca, 2015; Pepe et al., 2015; Soltani et al., 2020; Tasci et al., 2020)</w:t>
          </w:r>
        </w:sdtContent>
      </w:sdt>
      <w:r w:rsidRPr="00B84E53">
        <w:rPr>
          <w:rFonts w:ascii="Times New Roman" w:hAnsi="Times New Roman" w:cs="Times New Roman"/>
        </w:rPr>
        <w:t>.</w:t>
      </w:r>
    </w:p>
    <w:p w14:paraId="15371549" w14:textId="250B621D" w:rsidR="00A612D0" w:rsidRPr="00B84E53" w:rsidRDefault="00A612D0" w:rsidP="00B84E53">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Most studies involved pediatric populations, particularly infants and young children, consistent with the epidemiology of circumcision. For example, the retrospective study by Tasci et al. reported a mean age of approximately 5 years among 24 patients with post-circumcision penile necrosis </w:t>
      </w:r>
      <w:sdt>
        <w:sdtPr>
          <w:rPr>
            <w:rFonts w:ascii="Times New Roman" w:hAnsi="Times New Roman" w:cs="Times New Roman"/>
            <w:color w:val="000000"/>
          </w:rPr>
          <w:tag w:val="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773471933"/>
          <w:placeholder>
            <w:docPart w:val="DefaultPlaceholder_-1854013440"/>
          </w:placeholder>
        </w:sdtPr>
        <w:sdtContent>
          <w:r w:rsidR="000E689E" w:rsidRPr="000E689E">
            <w:rPr>
              <w:rFonts w:ascii="Times New Roman" w:hAnsi="Times New Roman" w:cs="Times New Roman"/>
              <w:color w:val="000000"/>
            </w:rPr>
            <w:t>(Tasci et al., 2020)</w:t>
          </w:r>
        </w:sdtContent>
      </w:sdt>
      <w:r w:rsidRPr="00B84E53">
        <w:rPr>
          <w:rFonts w:ascii="Times New Roman" w:hAnsi="Times New Roman" w:cs="Times New Roman"/>
        </w:rPr>
        <w:t xml:space="preserve">. Individual case reports also consistently described injuries occurring in children across a wide age range, from neonates to school-aged boys </w:t>
      </w:r>
      <w:sdt>
        <w:sdtPr>
          <w:rPr>
            <w:rFonts w:ascii="Times New Roman" w:hAnsi="Times New Roman" w:cs="Times New Roman"/>
            <w:color w:val="000000"/>
          </w:rPr>
          <w:tag w:val="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
          <w:id w:val="1254322412"/>
          <w:placeholder>
            <w:docPart w:val="DefaultPlaceholder_-1854013440"/>
          </w:placeholder>
        </w:sdtPr>
        <w:sdtContent>
          <w:r w:rsidR="000E689E" w:rsidRPr="000E689E">
            <w:rPr>
              <w:rFonts w:ascii="Times New Roman" w:eastAsia="Times New Roman" w:hAnsi="Times New Roman" w:cs="Times New Roman"/>
              <w:color w:val="000000"/>
            </w:rPr>
            <w:t>(Banihani et al., 2014; Shah &amp; Shah, 2023; Sharma et al., 2022)</w:t>
          </w:r>
        </w:sdtContent>
      </w:sdt>
      <w:r w:rsidRPr="00B84E53">
        <w:rPr>
          <w:rFonts w:ascii="Times New Roman" w:hAnsi="Times New Roman" w:cs="Times New Roman"/>
        </w:rPr>
        <w:t>.</w:t>
      </w:r>
    </w:p>
    <w:p w14:paraId="7393529B" w14:textId="77777777" w:rsidR="00A612D0" w:rsidRPr="00B84E53" w:rsidRDefault="00A612D0" w:rsidP="00B84E53">
      <w:pPr>
        <w:spacing w:after="0" w:line="276" w:lineRule="auto"/>
        <w:jc w:val="both"/>
        <w:rPr>
          <w:rFonts w:ascii="Times New Roman" w:hAnsi="Times New Roman" w:cs="Times New Roman"/>
          <w:b/>
          <w:bCs/>
        </w:rPr>
      </w:pPr>
      <w:r w:rsidRPr="00B84E53">
        <w:rPr>
          <w:rFonts w:ascii="Times New Roman" w:hAnsi="Times New Roman" w:cs="Times New Roman"/>
          <w:b/>
          <w:bCs/>
        </w:rPr>
        <w:t>3.2 Clinical Spectrum of Injuries</w:t>
      </w:r>
    </w:p>
    <w:p w14:paraId="75D501F6" w14:textId="77777777" w:rsidR="00A612D0" w:rsidRPr="00B84E53" w:rsidRDefault="00A612D0" w:rsidP="00B84E53">
      <w:pPr>
        <w:spacing w:after="0" w:line="276" w:lineRule="auto"/>
        <w:ind w:firstLine="630"/>
        <w:jc w:val="both"/>
        <w:rPr>
          <w:rFonts w:ascii="Times New Roman" w:hAnsi="Times New Roman" w:cs="Times New Roman"/>
        </w:rPr>
      </w:pPr>
      <w:r w:rsidRPr="00B84E53">
        <w:rPr>
          <w:rFonts w:ascii="Times New Roman" w:hAnsi="Times New Roman" w:cs="Times New Roman"/>
        </w:rPr>
        <w:t>The clinical spectrum of iatrogenic injury to the glans penis during circumcision ranged from localized ischemia to catastrophic penile loss.</w:t>
      </w:r>
    </w:p>
    <w:p w14:paraId="07B92BBD" w14:textId="4ECEE3D1" w:rsidR="00A612D0" w:rsidRPr="00B84E53" w:rsidRDefault="00A612D0" w:rsidP="00B84E53">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Amputative injuries represented the most severe and frequently reported category. Multiple studies documented total or partial glans amputation following circumcision, including cases from Indonesia, India, Iran, and Senegal </w:t>
      </w:r>
      <w:sdt>
        <w:sdtPr>
          <w:rPr>
            <w:rFonts w:ascii="Times New Roman" w:hAnsi="Times New Roman" w:cs="Times New Roman"/>
            <w:color w:val="000000"/>
          </w:rPr>
          <w:tag w:val="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
          <w:id w:val="1808430448"/>
          <w:placeholder>
            <w:docPart w:val="DefaultPlaceholder_-1854013440"/>
          </w:placeholder>
        </w:sdtPr>
        <w:sdtContent>
          <w:r w:rsidR="000E689E" w:rsidRPr="000E689E">
            <w:rPr>
              <w:rFonts w:ascii="Times New Roman" w:hAnsi="Times New Roman" w:cs="Times New Roman"/>
              <w:color w:val="000000"/>
            </w:rPr>
            <w:t>(Nafatalewa et al., 2022; Sharma et al., 2022; Soltani et al., 2020; Sow et al., 2022)</w:t>
          </w:r>
        </w:sdtContent>
      </w:sdt>
      <w:r w:rsidRPr="00B84E53">
        <w:rPr>
          <w:rFonts w:ascii="Times New Roman" w:hAnsi="Times New Roman" w:cs="Times New Roman"/>
        </w:rPr>
        <w:t xml:space="preserve">. Additional reports described glans or penile amputation in diverse contexts, including hospital-based and non-medical settings </w:t>
      </w:r>
      <w:sdt>
        <w:sdtPr>
          <w:rPr>
            <w:rFonts w:ascii="Times New Roman" w:hAnsi="Times New Roman" w:cs="Times New Roman"/>
            <w:color w:val="000000"/>
          </w:rPr>
          <w:tag w:val="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729761088"/>
          <w:placeholder>
            <w:docPart w:val="DefaultPlaceholder_-1854013440"/>
          </w:placeholder>
        </w:sdtPr>
        <w:sdtContent>
          <w:r w:rsidR="000E689E" w:rsidRPr="000E689E">
            <w:rPr>
              <w:rFonts w:ascii="Times New Roman" w:hAnsi="Times New Roman" w:cs="Times New Roman"/>
              <w:color w:val="000000"/>
            </w:rPr>
            <w:t>(M. B. I. Hakim et al., 2023; Satyagraha et al., 2020)</w:t>
          </w:r>
        </w:sdtContent>
      </w:sdt>
      <w:r w:rsidRPr="00B84E53">
        <w:rPr>
          <w:rFonts w:ascii="Times New Roman" w:hAnsi="Times New Roman" w:cs="Times New Roman"/>
        </w:rPr>
        <w:t xml:space="preserve">. In more extreme presentations, total penile amputation was reported, particularly in procedures performed by untrained or traditional providers </w:t>
      </w:r>
      <w:sdt>
        <w:sdtPr>
          <w:rPr>
            <w:rFonts w:ascii="Times New Roman" w:hAnsi="Times New Roman" w:cs="Times New Roman"/>
            <w:color w:val="000000"/>
          </w:rPr>
          <w:tag w:val="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
          <w:id w:val="996541497"/>
          <w:placeholder>
            <w:docPart w:val="DefaultPlaceholder_-1854013440"/>
          </w:placeholder>
        </w:sdtPr>
        <w:sdtContent>
          <w:r w:rsidR="000E689E" w:rsidRPr="000E689E">
            <w:rPr>
              <w:rFonts w:ascii="Times New Roman" w:hAnsi="Times New Roman" w:cs="Times New Roman"/>
              <w:color w:val="000000"/>
            </w:rPr>
            <w:t>(Andaloussi et al., 2025; Ayalew et al., 2025; Banihani et al., 2014)</w:t>
          </w:r>
        </w:sdtContent>
      </w:sdt>
      <w:r w:rsidRPr="00B84E53">
        <w:rPr>
          <w:rFonts w:ascii="Times New Roman" w:hAnsi="Times New Roman" w:cs="Times New Roman"/>
        </w:rPr>
        <w:t>.</w:t>
      </w:r>
    </w:p>
    <w:p w14:paraId="65CF9E64" w14:textId="325F18DF" w:rsidR="00A612D0" w:rsidRPr="00B84E53" w:rsidRDefault="00A612D0" w:rsidP="00B84E53">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Case series data further confirmed that these injuries are not isolated events. A multicountry study of voluntary medical male circumcision programs reported 36 cases of glans injury, including lacerations and amputations </w:t>
      </w:r>
      <w:sdt>
        <w:sdtPr>
          <w:rPr>
            <w:rFonts w:ascii="Times New Roman" w:hAnsi="Times New Roman" w:cs="Times New Roman"/>
            <w:color w:val="000000"/>
          </w:rPr>
          <w:tag w:val="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
          <w:id w:val="1607230317"/>
          <w:placeholder>
            <w:docPart w:val="DefaultPlaceholder_-1854013440"/>
          </w:placeholder>
        </w:sdtPr>
        <w:sdtContent>
          <w:r w:rsidR="000E689E" w:rsidRPr="000E689E">
            <w:rPr>
              <w:rFonts w:ascii="Times New Roman" w:hAnsi="Times New Roman" w:cs="Times New Roman"/>
              <w:color w:val="000000"/>
            </w:rPr>
            <w:t>(Lucas et al., 2020)</w:t>
          </w:r>
        </w:sdtContent>
      </w:sdt>
      <w:r w:rsidRPr="00B84E53">
        <w:rPr>
          <w:rFonts w:ascii="Times New Roman" w:hAnsi="Times New Roman" w:cs="Times New Roman"/>
        </w:rPr>
        <w:t xml:space="preserve">. Similarly, a three-case series from Cameroon described complete penile and glans amputation following circumcision, with variable outcomes depending on injury severity and management </w:t>
      </w:r>
      <w:sdt>
        <w:sdtPr>
          <w:rPr>
            <w:rFonts w:ascii="Times New Roman" w:hAnsi="Times New Roman" w:cs="Times New Roman"/>
            <w:color w:val="000000"/>
          </w:rPr>
          <w:tag w:val="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708922823"/>
          <w:placeholder>
            <w:docPart w:val="DefaultPlaceholder_-1854013440"/>
          </w:placeholder>
        </w:sdtPr>
        <w:sdtContent>
          <w:r w:rsidR="000E689E" w:rsidRPr="000E689E">
            <w:rPr>
              <w:rFonts w:ascii="Times New Roman" w:hAnsi="Times New Roman" w:cs="Times New Roman"/>
              <w:color w:val="000000"/>
            </w:rPr>
            <w:t>(Tanyi et al., 2023)</w:t>
          </w:r>
        </w:sdtContent>
      </w:sdt>
      <w:r w:rsidRPr="00B84E53">
        <w:rPr>
          <w:rFonts w:ascii="Times New Roman" w:hAnsi="Times New Roman" w:cs="Times New Roman"/>
        </w:rPr>
        <w:t>.</w:t>
      </w:r>
    </w:p>
    <w:p w14:paraId="68FC4D06" w14:textId="6ECD71E1" w:rsidR="00A612D0" w:rsidRPr="00B84E53" w:rsidRDefault="00A612D0" w:rsidP="00B84E53">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In addition to amputative injuries, ischemic and necrotic complications constituted a major component of the clinical spectrum. Several case reports described glans ischemia and progressive necrosis following circumcision, often presenting with discoloration, tissue devitalization, and eventual tissue loss </w:t>
      </w:r>
      <w:sdt>
        <w:sdtPr>
          <w:rPr>
            <w:rFonts w:ascii="Times New Roman" w:hAnsi="Times New Roman" w:cs="Times New Roman"/>
            <w:color w:val="000000"/>
          </w:rPr>
          <w:tag w:val="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
          <w:id w:val="-458725136"/>
          <w:placeholder>
            <w:docPart w:val="DefaultPlaceholder_-1854013440"/>
          </w:placeholder>
        </w:sdtPr>
        <w:sdtContent>
          <w:r w:rsidR="000E689E" w:rsidRPr="000E689E">
            <w:rPr>
              <w:rFonts w:ascii="Times New Roman" w:eastAsia="Times New Roman" w:hAnsi="Times New Roman" w:cs="Times New Roman"/>
              <w:color w:val="000000"/>
            </w:rPr>
            <w:t>(Garrido-Abad &amp; Suarez-Fonseca, 2015; Pepe et al., 2015; Uzun et al., 2012)</w:t>
          </w:r>
        </w:sdtContent>
      </w:sdt>
      <w:r w:rsidRPr="00B84E53">
        <w:rPr>
          <w:rFonts w:ascii="Times New Roman" w:hAnsi="Times New Roman" w:cs="Times New Roman"/>
        </w:rPr>
        <w:t xml:space="preserve">. </w:t>
      </w:r>
      <w:r w:rsidRPr="00B84E53">
        <w:rPr>
          <w:rFonts w:ascii="Times New Roman" w:hAnsi="Times New Roman" w:cs="Times New Roman"/>
        </w:rPr>
        <w:lastRenderedPageBreak/>
        <w:t xml:space="preserve">The retrospective analysis by Tasci et al. further demonstrated penile necrosis as a clinically significant complication with diverse etiologies and long-term sequelae </w:t>
      </w:r>
      <w:sdt>
        <w:sdtPr>
          <w:rPr>
            <w:rFonts w:ascii="Times New Roman" w:hAnsi="Times New Roman" w:cs="Times New Roman"/>
            <w:color w:val="000000"/>
          </w:rPr>
          <w:tag w:val="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711386705"/>
          <w:placeholder>
            <w:docPart w:val="DefaultPlaceholder_-1854013440"/>
          </w:placeholder>
        </w:sdtPr>
        <w:sdtContent>
          <w:r w:rsidR="000E689E" w:rsidRPr="000E689E">
            <w:rPr>
              <w:rFonts w:ascii="Times New Roman" w:hAnsi="Times New Roman" w:cs="Times New Roman"/>
              <w:color w:val="000000"/>
            </w:rPr>
            <w:t>(Tasci et al., 2020)</w:t>
          </w:r>
        </w:sdtContent>
      </w:sdt>
      <w:r w:rsidRPr="00B84E53">
        <w:rPr>
          <w:rFonts w:ascii="Times New Roman" w:hAnsi="Times New Roman" w:cs="Times New Roman"/>
        </w:rPr>
        <w:t>.</w:t>
      </w:r>
    </w:p>
    <w:p w14:paraId="3223D232" w14:textId="30BB9F12" w:rsidR="00A612D0" w:rsidRPr="00B84E53" w:rsidRDefault="00A612D0" w:rsidP="00B84E53">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Less frequently, studies reported complex traumatic injuries involving laceration, tissue loss, or combined urethral and glanular damage, further expanding the spectrum of circumcision-related complications </w:t>
      </w:r>
      <w:sdt>
        <w:sdtPr>
          <w:rPr>
            <w:rFonts w:ascii="Times New Roman" w:hAnsi="Times New Roman" w:cs="Times New Roman"/>
            <w:color w:val="000000"/>
          </w:rPr>
          <w:tag w:val="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
          <w:id w:val="-372225601"/>
          <w:placeholder>
            <w:docPart w:val="DefaultPlaceholder_-1854013440"/>
          </w:placeholder>
        </w:sdtPr>
        <w:sdtContent>
          <w:r w:rsidR="000E689E" w:rsidRPr="000E689E">
            <w:rPr>
              <w:rFonts w:ascii="Times New Roman" w:hAnsi="Times New Roman" w:cs="Times New Roman"/>
              <w:color w:val="000000"/>
            </w:rPr>
            <w:t>(Ahmed et al., 2020)</w:t>
          </w:r>
        </w:sdtContent>
      </w:sdt>
      <w:r w:rsidRPr="00B84E53">
        <w:rPr>
          <w:rFonts w:ascii="Times New Roman" w:hAnsi="Times New Roman" w:cs="Times New Roman"/>
        </w:rPr>
        <w:t>.</w:t>
      </w:r>
    </w:p>
    <w:p w14:paraId="739F7E0F" w14:textId="41FB6482" w:rsidR="00A612D0" w:rsidRPr="001134D8" w:rsidRDefault="00A612D0" w:rsidP="00B84E53">
      <w:pPr>
        <w:spacing w:after="0" w:line="276" w:lineRule="auto"/>
        <w:jc w:val="both"/>
        <w:rPr>
          <w:rFonts w:ascii="Times New Roman" w:hAnsi="Times New Roman" w:cs="Times New Roman"/>
          <w:b/>
          <w:bCs/>
          <w:i/>
          <w:iCs/>
        </w:rPr>
      </w:pPr>
      <w:r w:rsidRPr="001134D8">
        <w:rPr>
          <w:rFonts w:ascii="Times New Roman" w:hAnsi="Times New Roman" w:cs="Times New Roman"/>
          <w:b/>
          <w:bCs/>
          <w:i/>
          <w:iCs/>
        </w:rPr>
        <w:t>Mechanisms and Procedural Causes</w:t>
      </w:r>
    </w:p>
    <w:p w14:paraId="48B404D4" w14:textId="77777777" w:rsidR="00A612D0" w:rsidRPr="00B84E53" w:rsidRDefault="00A612D0" w:rsidP="00DF0E85">
      <w:pPr>
        <w:spacing w:after="0" w:line="276" w:lineRule="auto"/>
        <w:ind w:firstLine="630"/>
        <w:jc w:val="both"/>
        <w:rPr>
          <w:rFonts w:ascii="Times New Roman" w:hAnsi="Times New Roman" w:cs="Times New Roman"/>
        </w:rPr>
      </w:pPr>
      <w:r w:rsidRPr="00B84E53">
        <w:rPr>
          <w:rFonts w:ascii="Times New Roman" w:hAnsi="Times New Roman" w:cs="Times New Roman"/>
        </w:rPr>
        <w:t>Multiple consistent mechanisms underlying glans injury were identified across the included studies.</w:t>
      </w:r>
    </w:p>
    <w:p w14:paraId="3D2A0AC3" w14:textId="72E9D440" w:rsidR="00A612D0" w:rsidRPr="00B84E53" w:rsidRDefault="00A612D0" w:rsidP="00DF0E85">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One of the most prominent mechanisms was inadequate visualization of the glans during circumcision. Blind or clamp-based techniques, including the guillotine method and forceps-guided circumcision, were frequently associated with inadvertent glans injury when proper anatomical identification was not ensured </w:t>
      </w:r>
      <w:sdt>
        <w:sdtPr>
          <w:rPr>
            <w:rFonts w:ascii="Times New Roman" w:hAnsi="Times New Roman" w:cs="Times New Roman"/>
            <w:color w:val="000000"/>
          </w:rPr>
          <w:tag w:val="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
          <w:id w:val="1318448724"/>
          <w:placeholder>
            <w:docPart w:val="DefaultPlaceholder_-1854013440"/>
          </w:placeholder>
        </w:sdtPr>
        <w:sdtContent>
          <w:r w:rsidR="000E689E" w:rsidRPr="000E689E">
            <w:rPr>
              <w:rFonts w:ascii="Times New Roman" w:hAnsi="Times New Roman" w:cs="Times New Roman"/>
              <w:color w:val="000000"/>
            </w:rPr>
            <w:t>(M. B. I. Hakim et al., 2023; Satyagraha et al., 2020)</w:t>
          </w:r>
        </w:sdtContent>
      </w:sdt>
      <w:r w:rsidRPr="00B84E53">
        <w:rPr>
          <w:rFonts w:ascii="Times New Roman" w:hAnsi="Times New Roman" w:cs="Times New Roman"/>
        </w:rPr>
        <w:t>. In such cases, incomplete separation of the prepuce from the glans or improper clamp placement led to unintended excision of glanular tissue.</w:t>
      </w:r>
    </w:p>
    <w:p w14:paraId="10EBBB33" w14:textId="57690A9A" w:rsidR="00A612D0" w:rsidRPr="00B84E53" w:rsidRDefault="00A612D0" w:rsidP="00DF0E85">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Operator-related factors were consistently implicated across studies. Many injuries occurred when circumcision was performed by untrained or inadequately trained individuals, including traditional circumcisers, nurse assistants, and non-specialist practitioners </w:t>
      </w:r>
      <w:sdt>
        <w:sdtPr>
          <w:rPr>
            <w:rFonts w:ascii="Times New Roman" w:hAnsi="Times New Roman" w:cs="Times New Roman"/>
            <w:color w:val="000000"/>
          </w:rPr>
          <w:tag w:val="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89163103"/>
          <w:placeholder>
            <w:docPart w:val="DefaultPlaceholder_-1854013440"/>
          </w:placeholder>
        </w:sdtPr>
        <w:sdtContent>
          <w:r w:rsidR="000E689E" w:rsidRPr="000E689E">
            <w:rPr>
              <w:rFonts w:ascii="Times New Roman" w:hAnsi="Times New Roman" w:cs="Times New Roman"/>
              <w:color w:val="000000"/>
            </w:rPr>
            <w:t>(Ahmed et al., 2020; Andaloussi et al., 2025; Ayalew et al., 2025; Tanyi et al., 2023)</w:t>
          </w:r>
        </w:sdtContent>
      </w:sdt>
      <w:r w:rsidRPr="00B84E53">
        <w:rPr>
          <w:rFonts w:ascii="Times New Roman" w:hAnsi="Times New Roman" w:cs="Times New Roman"/>
        </w:rPr>
        <w:t xml:space="preserve">. However, severe complications were not limited to non-medical settings; some cases also occurred in clinical environments due to procedural errors, inappropriate technique selection, or insufficient surgical expertise </w:t>
      </w:r>
      <w:sdt>
        <w:sdtPr>
          <w:rPr>
            <w:rFonts w:ascii="Times New Roman" w:hAnsi="Times New Roman" w:cs="Times New Roman"/>
            <w:color w:val="000000"/>
          </w:rPr>
          <w:tag w:val="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992521885"/>
          <w:placeholder>
            <w:docPart w:val="DefaultPlaceholder_-1854013440"/>
          </w:placeholder>
        </w:sdtPr>
        <w:sdtContent>
          <w:r w:rsidR="000E689E" w:rsidRPr="000E689E">
            <w:rPr>
              <w:rFonts w:ascii="Times New Roman" w:hAnsi="Times New Roman" w:cs="Times New Roman"/>
              <w:color w:val="000000"/>
            </w:rPr>
            <w:t>(M. B. I. Hakim et al., 2023; Soltani et al., 2020)</w:t>
          </w:r>
        </w:sdtContent>
      </w:sdt>
      <w:r w:rsidRPr="00B84E53">
        <w:rPr>
          <w:rFonts w:ascii="Times New Roman" w:hAnsi="Times New Roman" w:cs="Times New Roman"/>
        </w:rPr>
        <w:t>.</w:t>
      </w:r>
    </w:p>
    <w:p w14:paraId="3E795DA2" w14:textId="07D8CB45" w:rsidR="00A612D0" w:rsidRPr="00B84E53" w:rsidRDefault="00A612D0" w:rsidP="00DF0E85">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Thermal injury was another major mechanism. The use of monopolar electrocautery was strongly associated with glans necrosis and gangrene due to heat propagation within the penile tissues </w:t>
      </w:r>
      <w:sdt>
        <w:sdtPr>
          <w:rPr>
            <w:rFonts w:ascii="Times New Roman" w:hAnsi="Times New Roman" w:cs="Times New Roman"/>
            <w:color w:val="000000"/>
          </w:rPr>
          <w:tag w:val="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
          <w:id w:val="74553957"/>
          <w:placeholder>
            <w:docPart w:val="DefaultPlaceholder_-1854013440"/>
          </w:placeholder>
        </w:sdtPr>
        <w:sdtContent>
          <w:r w:rsidR="000E689E" w:rsidRPr="000E689E">
            <w:rPr>
              <w:rFonts w:ascii="Times New Roman" w:hAnsi="Times New Roman" w:cs="Times New Roman"/>
              <w:color w:val="000000"/>
            </w:rPr>
            <w:t>(Tasci et al., 2020; Uzun et al., 2012)</w:t>
          </w:r>
        </w:sdtContent>
      </w:sdt>
      <w:r w:rsidRPr="00B84E53">
        <w:rPr>
          <w:rFonts w:ascii="Times New Roman" w:hAnsi="Times New Roman" w:cs="Times New Roman"/>
        </w:rPr>
        <w:t xml:space="preserve">. In the retrospective necrosis study, monopolar cautery was identified as the leading etiological factor in a substantial proportion of cases </w:t>
      </w:r>
      <w:sdt>
        <w:sdtPr>
          <w:rPr>
            <w:rFonts w:ascii="Times New Roman" w:hAnsi="Times New Roman" w:cs="Times New Roman"/>
            <w:color w:val="000000"/>
          </w:rPr>
          <w:tag w:val="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384442603"/>
          <w:placeholder>
            <w:docPart w:val="DefaultPlaceholder_-1854013440"/>
          </w:placeholder>
        </w:sdtPr>
        <w:sdtContent>
          <w:r w:rsidR="000E689E" w:rsidRPr="000E689E">
            <w:rPr>
              <w:rFonts w:ascii="Times New Roman" w:hAnsi="Times New Roman" w:cs="Times New Roman"/>
              <w:color w:val="000000"/>
            </w:rPr>
            <w:t>(Tasci et al., 2020)</w:t>
          </w:r>
        </w:sdtContent>
      </w:sdt>
      <w:r w:rsidRPr="00B84E53">
        <w:rPr>
          <w:rFonts w:ascii="Times New Roman" w:hAnsi="Times New Roman" w:cs="Times New Roman"/>
        </w:rPr>
        <w:t>.</w:t>
      </w:r>
    </w:p>
    <w:p w14:paraId="5109DBFA" w14:textId="55EB6DD0" w:rsidR="00A612D0" w:rsidRPr="00B84E53" w:rsidRDefault="00A612D0" w:rsidP="00DF0E85">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Vascular compromise also played a significant role, particularly in ischemic injuries. Glans ischemia following dorsal penile nerve block or local anesthesia was reported in several cases, suggesting mechanisms such as vasospasm, endothelial injury, or reduced blood flow </w:t>
      </w:r>
      <w:sdt>
        <w:sdtPr>
          <w:rPr>
            <w:rFonts w:ascii="Times New Roman" w:hAnsi="Times New Roman" w:cs="Times New Roman"/>
            <w:color w:val="000000"/>
          </w:rPr>
          <w:tag w:val="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
          <w:id w:val="-1560243275"/>
          <w:placeholder>
            <w:docPart w:val="DefaultPlaceholder_-1854013440"/>
          </w:placeholder>
        </w:sdtPr>
        <w:sdtContent>
          <w:r w:rsidR="000E689E" w:rsidRPr="000E689E">
            <w:rPr>
              <w:rFonts w:ascii="Times New Roman" w:eastAsia="Times New Roman" w:hAnsi="Times New Roman" w:cs="Times New Roman"/>
              <w:color w:val="000000"/>
            </w:rPr>
            <w:t>(Garrido-Abad &amp; Suarez-Fonseca, 2015; Pepe et al., 2015)</w:t>
          </w:r>
        </w:sdtContent>
      </w:sdt>
      <w:r w:rsidRPr="00B84E53">
        <w:rPr>
          <w:rFonts w:ascii="Times New Roman" w:hAnsi="Times New Roman" w:cs="Times New Roman"/>
        </w:rPr>
        <w:t xml:space="preserve">. Additional contributing factors included compressive dressings, infection, and compartment-like effects, which were identified in the larger necrosis series </w:t>
      </w:r>
      <w:sdt>
        <w:sdtPr>
          <w:rPr>
            <w:rFonts w:ascii="Times New Roman" w:hAnsi="Times New Roman" w:cs="Times New Roman"/>
            <w:color w:val="000000"/>
          </w:rPr>
          <w:tag w:val="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844633767"/>
          <w:placeholder>
            <w:docPart w:val="DefaultPlaceholder_-1854013440"/>
          </w:placeholder>
        </w:sdtPr>
        <w:sdtContent>
          <w:r w:rsidR="000E689E" w:rsidRPr="000E689E">
            <w:rPr>
              <w:rFonts w:ascii="Times New Roman" w:hAnsi="Times New Roman" w:cs="Times New Roman"/>
              <w:color w:val="000000"/>
            </w:rPr>
            <w:t>(Tasci et al., 2020)</w:t>
          </w:r>
        </w:sdtContent>
      </w:sdt>
      <w:r w:rsidRPr="00B84E53">
        <w:rPr>
          <w:rFonts w:ascii="Times New Roman" w:hAnsi="Times New Roman" w:cs="Times New Roman"/>
        </w:rPr>
        <w:t>.</w:t>
      </w:r>
    </w:p>
    <w:p w14:paraId="43DE03DB" w14:textId="5CB2A795" w:rsidR="00A612D0" w:rsidRPr="0040735F" w:rsidRDefault="00A612D0" w:rsidP="00B84E53">
      <w:pPr>
        <w:spacing w:after="0" w:line="276" w:lineRule="auto"/>
        <w:jc w:val="both"/>
        <w:rPr>
          <w:rFonts w:ascii="Times New Roman" w:hAnsi="Times New Roman" w:cs="Times New Roman"/>
          <w:b/>
          <w:bCs/>
          <w:i/>
          <w:iCs/>
        </w:rPr>
      </w:pPr>
      <w:r w:rsidRPr="0040735F">
        <w:rPr>
          <w:rFonts w:ascii="Times New Roman" w:hAnsi="Times New Roman" w:cs="Times New Roman"/>
          <w:b/>
          <w:bCs/>
          <w:i/>
          <w:iCs/>
        </w:rPr>
        <w:t>Management Strategies and Clinical Outcomes</w:t>
      </w:r>
    </w:p>
    <w:p w14:paraId="3746BEF4" w14:textId="77777777" w:rsidR="00A612D0" w:rsidRPr="00B84E53" w:rsidRDefault="00A612D0" w:rsidP="00DF0E85">
      <w:pPr>
        <w:spacing w:after="0" w:line="276" w:lineRule="auto"/>
        <w:ind w:firstLine="630"/>
        <w:jc w:val="both"/>
        <w:rPr>
          <w:rFonts w:ascii="Times New Roman" w:hAnsi="Times New Roman" w:cs="Times New Roman"/>
        </w:rPr>
      </w:pPr>
      <w:r w:rsidRPr="00B84E53">
        <w:rPr>
          <w:rFonts w:ascii="Times New Roman" w:hAnsi="Times New Roman" w:cs="Times New Roman"/>
        </w:rPr>
        <w:t>Management strategies varied widely depending on injury severity, timing of presentation, and resource availability.</w:t>
      </w:r>
    </w:p>
    <w:p w14:paraId="301871AE" w14:textId="7B9453BE" w:rsidR="00A612D0" w:rsidRPr="00B84E53" w:rsidRDefault="00A612D0" w:rsidP="00DF0E85">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In cases of acute amputative injury, replantation or reattachment was the primary treatment approach. Surgical techniques included urethral catheterization, urethral anastomosis, approximation of corporal bodies, and glans reattachment. Favorable outcomes were reported in several cases, particularly when the amputated tissue was preserved and intervention was performed promptly </w:t>
      </w:r>
      <w:sdt>
        <w:sdtPr>
          <w:rPr>
            <w:rFonts w:ascii="Times New Roman" w:hAnsi="Times New Roman" w:cs="Times New Roman"/>
            <w:color w:val="000000"/>
          </w:rPr>
          <w:tag w:val="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845275428"/>
          <w:placeholder>
            <w:docPart w:val="DefaultPlaceholder_-1854013440"/>
          </w:placeholder>
        </w:sdtPr>
        <w:sdtContent>
          <w:r w:rsidR="000E689E" w:rsidRPr="000E689E">
            <w:rPr>
              <w:rFonts w:ascii="Times New Roman" w:hAnsi="Times New Roman" w:cs="Times New Roman"/>
              <w:color w:val="000000"/>
            </w:rPr>
            <w:t>(Banihani et al., 2014; Soltani et al., 2020)</w:t>
          </w:r>
        </w:sdtContent>
      </w:sdt>
      <w:r w:rsidRPr="00B84E53">
        <w:rPr>
          <w:rFonts w:ascii="Times New Roman" w:hAnsi="Times New Roman" w:cs="Times New Roman"/>
        </w:rPr>
        <w:t xml:space="preserve">. However, in resource-limited </w:t>
      </w:r>
      <w:r w:rsidRPr="00B84E53">
        <w:rPr>
          <w:rFonts w:ascii="Times New Roman" w:hAnsi="Times New Roman" w:cs="Times New Roman"/>
        </w:rPr>
        <w:lastRenderedPageBreak/>
        <w:t xml:space="preserve">settings, macroscopic replantation without microsurgical repair was often performed, resulting in variable functional and cosmetic outcomes </w:t>
      </w:r>
      <w:sdt>
        <w:sdtPr>
          <w:rPr>
            <w:rFonts w:ascii="Times New Roman" w:hAnsi="Times New Roman" w:cs="Times New Roman"/>
            <w:color w:val="000000"/>
          </w:rPr>
          <w:tag w:val="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1367563054"/>
          <w:placeholder>
            <w:docPart w:val="DefaultPlaceholder_-1854013440"/>
          </w:placeholder>
        </w:sdtPr>
        <w:sdtContent>
          <w:r w:rsidR="000E689E" w:rsidRPr="000E689E">
            <w:rPr>
              <w:rFonts w:ascii="Times New Roman" w:hAnsi="Times New Roman" w:cs="Times New Roman"/>
              <w:color w:val="000000"/>
            </w:rPr>
            <w:t>(Tanyi et al., 2023)</w:t>
          </w:r>
        </w:sdtContent>
      </w:sdt>
      <w:r w:rsidRPr="00B84E53">
        <w:rPr>
          <w:rFonts w:ascii="Times New Roman" w:hAnsi="Times New Roman" w:cs="Times New Roman"/>
        </w:rPr>
        <w:t>.</w:t>
      </w:r>
    </w:p>
    <w:p w14:paraId="34CDEE4A" w14:textId="1E8376AE" w:rsidR="00A612D0" w:rsidRPr="00B84E53" w:rsidRDefault="00A612D0" w:rsidP="000C44F6">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When replantation was not feasible, alternative procedures such as meatoplasty, urethroplasty, or staged reconstruction were employed, often preserving urinary function but with compromised anatomical outcomes </w:t>
      </w:r>
      <w:sdt>
        <w:sdtPr>
          <w:rPr>
            <w:rFonts w:ascii="Times New Roman" w:hAnsi="Times New Roman" w:cs="Times New Roman"/>
            <w:color w:val="000000"/>
          </w:rPr>
          <w:tag w:val="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
          <w:id w:val="729358474"/>
          <w:placeholder>
            <w:docPart w:val="DefaultPlaceholder_-1854013440"/>
          </w:placeholder>
        </w:sdtPr>
        <w:sdtContent>
          <w:r w:rsidR="000E689E" w:rsidRPr="000E689E">
            <w:rPr>
              <w:rFonts w:ascii="Times New Roman" w:hAnsi="Times New Roman" w:cs="Times New Roman"/>
              <w:color w:val="000000"/>
            </w:rPr>
            <w:t>(Sow et al., 2022)</w:t>
          </w:r>
        </w:sdtContent>
      </w:sdt>
      <w:r w:rsidRPr="00B84E53">
        <w:rPr>
          <w:rFonts w:ascii="Times New Roman" w:hAnsi="Times New Roman" w:cs="Times New Roman"/>
        </w:rPr>
        <w:t>.</w:t>
      </w:r>
    </w:p>
    <w:p w14:paraId="5B3B4AB3" w14:textId="2EDC8906" w:rsidR="00A612D0" w:rsidRPr="00B84E53" w:rsidRDefault="00A612D0" w:rsidP="000C44F6">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For ischemic and necrotic injuries, management ranged from conservative therapy to surgical intervention. Conservative approaches included wound care, pharmacologic treatment, and hyperbaric oxygen therapy, which in some cases resulted in recovery of viable tissue </w:t>
      </w:r>
      <w:sdt>
        <w:sdtPr>
          <w:rPr>
            <w:rFonts w:ascii="Times New Roman" w:hAnsi="Times New Roman" w:cs="Times New Roman"/>
            <w:color w:val="000000"/>
          </w:rPr>
          <w:tag w:val="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
          <w:id w:val="-445463868"/>
          <w:placeholder>
            <w:docPart w:val="DefaultPlaceholder_-1854013440"/>
          </w:placeholder>
        </w:sdtPr>
        <w:sdtContent>
          <w:r w:rsidR="000E689E" w:rsidRPr="000E689E">
            <w:rPr>
              <w:rFonts w:ascii="Times New Roman" w:eastAsia="Times New Roman" w:hAnsi="Times New Roman" w:cs="Times New Roman"/>
              <w:color w:val="000000"/>
            </w:rPr>
            <w:t>(Garrido-Abad &amp; Suarez-Fonseca, 2015)</w:t>
          </w:r>
        </w:sdtContent>
      </w:sdt>
      <w:r w:rsidRPr="00B84E53">
        <w:rPr>
          <w:rFonts w:ascii="Times New Roman" w:hAnsi="Times New Roman" w:cs="Times New Roman"/>
        </w:rPr>
        <w:t xml:space="preserve">. However, severe cases frequently required debridement, skin grafting, or even partial or total penile amputation </w:t>
      </w:r>
      <w:sdt>
        <w:sdtPr>
          <w:rPr>
            <w:rFonts w:ascii="Times New Roman" w:hAnsi="Times New Roman" w:cs="Times New Roman"/>
            <w:color w:val="000000"/>
          </w:rPr>
          <w:tag w:val="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55552155"/>
          <w:placeholder>
            <w:docPart w:val="DefaultPlaceholder_-1854013440"/>
          </w:placeholder>
        </w:sdtPr>
        <w:sdtContent>
          <w:r w:rsidR="000E689E" w:rsidRPr="000E689E">
            <w:rPr>
              <w:rFonts w:ascii="Times New Roman" w:hAnsi="Times New Roman" w:cs="Times New Roman"/>
              <w:color w:val="000000"/>
            </w:rPr>
            <w:t>(Tasci et al., 2020)</w:t>
          </w:r>
        </w:sdtContent>
      </w:sdt>
      <w:r w:rsidRPr="00B84E53">
        <w:rPr>
          <w:rFonts w:ascii="Times New Roman" w:hAnsi="Times New Roman" w:cs="Times New Roman"/>
        </w:rPr>
        <w:t>.</w:t>
      </w:r>
    </w:p>
    <w:p w14:paraId="0CAD8940" w14:textId="5A6683E3" w:rsidR="00A612D0" w:rsidRDefault="00A612D0" w:rsidP="000C44F6">
      <w:pPr>
        <w:spacing w:after="0" w:line="276" w:lineRule="auto"/>
        <w:ind w:firstLine="630"/>
        <w:jc w:val="both"/>
        <w:rPr>
          <w:rFonts w:ascii="Times New Roman" w:hAnsi="Times New Roman" w:cs="Times New Roman"/>
        </w:rPr>
      </w:pPr>
      <w:r w:rsidRPr="00B84E53">
        <w:rPr>
          <w:rFonts w:ascii="Times New Roman" w:hAnsi="Times New Roman" w:cs="Times New Roman"/>
        </w:rPr>
        <w:t xml:space="preserve">Clinical outcomes were heterogeneous. Some patients achieved satisfactory urinary function, preserved sensation, and acceptable cosmetic results following early intervention. However, many cases resulted in long-term complications, including penile deformity, meatal stenosis, urethral stricture, and urethrocutaneous fistula </w:t>
      </w:r>
      <w:sdt>
        <w:sdtPr>
          <w:rPr>
            <w:rFonts w:ascii="Times New Roman" w:hAnsi="Times New Roman" w:cs="Times New Roman"/>
            <w:color w:val="000000"/>
          </w:rPr>
          <w:tag w:val="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833208399"/>
          <w:placeholder>
            <w:docPart w:val="DefaultPlaceholder_-1854013440"/>
          </w:placeholder>
        </w:sdtPr>
        <w:sdtContent>
          <w:r w:rsidR="000E689E" w:rsidRPr="000E689E">
            <w:rPr>
              <w:rFonts w:ascii="Times New Roman" w:hAnsi="Times New Roman" w:cs="Times New Roman"/>
              <w:color w:val="000000"/>
            </w:rPr>
            <w:t>(Tasci et al., 2020)</w:t>
          </w:r>
        </w:sdtContent>
      </w:sdt>
      <w:r w:rsidRPr="00B84E53">
        <w:rPr>
          <w:rFonts w:ascii="Times New Roman" w:hAnsi="Times New Roman" w:cs="Times New Roman"/>
        </w:rPr>
        <w:t xml:space="preserve">. Several studies also highlighted the potential long-term psychological and functional impact of these injuries, particularly in pediatric populations </w:t>
      </w:r>
      <w:sdt>
        <w:sdtPr>
          <w:rPr>
            <w:rFonts w:ascii="Times New Roman" w:hAnsi="Times New Roman" w:cs="Times New Roman"/>
            <w:color w:val="000000"/>
          </w:rPr>
          <w:tag w:val="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
          <w:id w:val="187336170"/>
          <w:placeholder>
            <w:docPart w:val="DefaultPlaceholder_-1854013440"/>
          </w:placeholder>
        </w:sdtPr>
        <w:sdtContent>
          <w:r w:rsidR="000E689E" w:rsidRPr="000E689E">
            <w:rPr>
              <w:rFonts w:ascii="Times New Roman" w:hAnsi="Times New Roman" w:cs="Times New Roman"/>
              <w:color w:val="000000"/>
            </w:rPr>
            <w:t>(Andaloussi et al., 2025; Ayalew et al., 2025)</w:t>
          </w:r>
        </w:sdtContent>
      </w:sdt>
      <w:r w:rsidRPr="00B84E53">
        <w:rPr>
          <w:rFonts w:ascii="Times New Roman" w:hAnsi="Times New Roman" w:cs="Times New Roman"/>
        </w:rPr>
        <w:t>.</w:t>
      </w:r>
    </w:p>
    <w:p w14:paraId="420413F6" w14:textId="77777777" w:rsidR="000310BA" w:rsidRPr="00A612D0" w:rsidRDefault="000310BA" w:rsidP="000C44F6">
      <w:pPr>
        <w:spacing w:after="0" w:line="276" w:lineRule="auto"/>
        <w:ind w:firstLine="630"/>
        <w:jc w:val="both"/>
      </w:pPr>
    </w:p>
    <w:p w14:paraId="6980E8ED" w14:textId="3DD5E1C3" w:rsidR="00A612D0" w:rsidRPr="00586829" w:rsidRDefault="009E6DF1" w:rsidP="000310BA">
      <w:pPr>
        <w:jc w:val="center"/>
        <w:rPr>
          <w:rFonts w:ascii="Times New Roman" w:hAnsi="Times New Roman" w:cs="Times New Roman"/>
        </w:rPr>
      </w:pPr>
      <w:r w:rsidRPr="000310BA">
        <w:rPr>
          <w:rFonts w:ascii="Times New Roman" w:hAnsi="Times New Roman" w:cs="Times New Roman"/>
          <w:b/>
          <w:bCs/>
        </w:rPr>
        <w:t xml:space="preserve">Table </w:t>
      </w:r>
      <w:r w:rsidR="00586829" w:rsidRPr="000310BA">
        <w:rPr>
          <w:rFonts w:ascii="Times New Roman" w:hAnsi="Times New Roman" w:cs="Times New Roman"/>
          <w:b/>
          <w:bCs/>
        </w:rPr>
        <w:t>3</w:t>
      </w:r>
      <w:r w:rsidRPr="000310BA">
        <w:rPr>
          <w:rFonts w:ascii="Times New Roman" w:hAnsi="Times New Roman" w:cs="Times New Roman"/>
          <w:b/>
          <w:bCs/>
        </w:rPr>
        <w:t>.</w:t>
      </w:r>
      <w:r w:rsidRPr="00586829">
        <w:rPr>
          <w:rFonts w:ascii="Times New Roman" w:hAnsi="Times New Roman" w:cs="Times New Roman"/>
        </w:rPr>
        <w:t xml:space="preserve"> Medicolegal Evidence Related to Iatrogenic Glans Penis Injury During Circumcision</w:t>
      </w:r>
    </w:p>
    <w:tbl>
      <w:tblPr>
        <w:tblStyle w:val="TableGrid"/>
        <w:tblW w:w="9355" w:type="dxa"/>
        <w:tblLayout w:type="fixed"/>
        <w:tblLook w:val="04A0" w:firstRow="1" w:lastRow="0" w:firstColumn="1" w:lastColumn="0" w:noHBand="0" w:noVBand="1"/>
      </w:tblPr>
      <w:tblGrid>
        <w:gridCol w:w="1206"/>
        <w:gridCol w:w="994"/>
        <w:gridCol w:w="1395"/>
        <w:gridCol w:w="1080"/>
        <w:gridCol w:w="1350"/>
        <w:gridCol w:w="1800"/>
        <w:gridCol w:w="1530"/>
      </w:tblGrid>
      <w:tr w:rsidR="003C1F22" w:rsidRPr="003C1F22" w14:paraId="659F745E" w14:textId="77777777" w:rsidTr="003C1F22">
        <w:tc>
          <w:tcPr>
            <w:tcW w:w="1206" w:type="dxa"/>
            <w:vAlign w:val="center"/>
          </w:tcPr>
          <w:p w14:paraId="27AEA5FB" w14:textId="5A51895F"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Author (Year)</w:t>
            </w:r>
          </w:p>
        </w:tc>
        <w:tc>
          <w:tcPr>
            <w:tcW w:w="994" w:type="dxa"/>
            <w:vAlign w:val="center"/>
          </w:tcPr>
          <w:p w14:paraId="7222476D" w14:textId="050FE0C0"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Country</w:t>
            </w:r>
          </w:p>
        </w:tc>
        <w:tc>
          <w:tcPr>
            <w:tcW w:w="1395" w:type="dxa"/>
            <w:vAlign w:val="center"/>
          </w:tcPr>
          <w:p w14:paraId="281B181C" w14:textId="4D2DD40E"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Study Type</w:t>
            </w:r>
          </w:p>
        </w:tc>
        <w:tc>
          <w:tcPr>
            <w:tcW w:w="1080" w:type="dxa"/>
            <w:vAlign w:val="center"/>
          </w:tcPr>
          <w:p w14:paraId="3278B939" w14:textId="722D00AA"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Context</w:t>
            </w:r>
          </w:p>
        </w:tc>
        <w:tc>
          <w:tcPr>
            <w:tcW w:w="1350" w:type="dxa"/>
            <w:vAlign w:val="center"/>
          </w:tcPr>
          <w:p w14:paraId="5C668B62" w14:textId="437F62F5"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Type of Medicolegal Issue</w:t>
            </w:r>
          </w:p>
        </w:tc>
        <w:tc>
          <w:tcPr>
            <w:tcW w:w="1800" w:type="dxa"/>
            <w:vAlign w:val="center"/>
          </w:tcPr>
          <w:p w14:paraId="64FE19F9" w14:textId="09042BBF"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Key Findings</w:t>
            </w:r>
          </w:p>
        </w:tc>
        <w:tc>
          <w:tcPr>
            <w:tcW w:w="1530" w:type="dxa"/>
            <w:vAlign w:val="center"/>
          </w:tcPr>
          <w:p w14:paraId="03374A77" w14:textId="000EF098"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Implications</w:t>
            </w:r>
          </w:p>
        </w:tc>
      </w:tr>
      <w:tr w:rsidR="003C1F22" w:rsidRPr="003C1F22" w14:paraId="535BE12E" w14:textId="77777777" w:rsidTr="003C1F22">
        <w:tc>
          <w:tcPr>
            <w:tcW w:w="1206" w:type="dxa"/>
            <w:vAlign w:val="center"/>
          </w:tcPr>
          <w:p w14:paraId="0A9FFD43" w14:textId="58309F28"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Tasci (2020)</w:t>
            </w:r>
          </w:p>
        </w:tc>
        <w:tc>
          <w:tcPr>
            <w:tcW w:w="994" w:type="dxa"/>
            <w:vAlign w:val="center"/>
          </w:tcPr>
          <w:p w14:paraId="36C39D60" w14:textId="5C569441"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Turkey</w:t>
            </w:r>
          </w:p>
        </w:tc>
        <w:tc>
          <w:tcPr>
            <w:tcW w:w="1395" w:type="dxa"/>
            <w:vAlign w:val="center"/>
          </w:tcPr>
          <w:p w14:paraId="097941E5" w14:textId="0082571C"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Retrospective forensic review</w:t>
            </w:r>
          </w:p>
        </w:tc>
        <w:tc>
          <w:tcPr>
            <w:tcW w:w="1080" w:type="dxa"/>
            <w:vAlign w:val="center"/>
          </w:tcPr>
          <w:p w14:paraId="0BE1B5C0" w14:textId="23548A51"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24 cases penile necrosis</w:t>
            </w:r>
          </w:p>
        </w:tc>
        <w:tc>
          <w:tcPr>
            <w:tcW w:w="1350" w:type="dxa"/>
            <w:vAlign w:val="center"/>
          </w:tcPr>
          <w:p w14:paraId="6D064C22" w14:textId="7D4B014B"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Malpractice evaluation</w:t>
            </w:r>
          </w:p>
        </w:tc>
        <w:tc>
          <w:tcPr>
            <w:tcW w:w="1800" w:type="dxa"/>
            <w:vAlign w:val="center"/>
          </w:tcPr>
          <w:p w14:paraId="25A395D6" w14:textId="417D849B"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Majority of cases investigated for malpractice; causes included cautery, infection, anesthesia</w:t>
            </w:r>
          </w:p>
        </w:tc>
        <w:tc>
          <w:tcPr>
            <w:tcW w:w="1530" w:type="dxa"/>
            <w:vAlign w:val="center"/>
          </w:tcPr>
          <w:p w14:paraId="0FB7F25C" w14:textId="07551530"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Circumcision complications can trigger formal legal investigation</w:t>
            </w:r>
          </w:p>
        </w:tc>
      </w:tr>
      <w:tr w:rsidR="003C1F22" w:rsidRPr="003C1F22" w14:paraId="7D67A91F" w14:textId="77777777" w:rsidTr="003C1F22">
        <w:tc>
          <w:tcPr>
            <w:tcW w:w="1206" w:type="dxa"/>
            <w:vAlign w:val="center"/>
          </w:tcPr>
          <w:p w14:paraId="1686A922" w14:textId="661A94F9"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Li (2022)</w:t>
            </w:r>
          </w:p>
        </w:tc>
        <w:tc>
          <w:tcPr>
            <w:tcW w:w="994" w:type="dxa"/>
            <w:vAlign w:val="center"/>
          </w:tcPr>
          <w:p w14:paraId="47133B8B" w14:textId="24D1F9B0"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USA</w:t>
            </w:r>
          </w:p>
        </w:tc>
        <w:tc>
          <w:tcPr>
            <w:tcW w:w="1395" w:type="dxa"/>
            <w:vAlign w:val="center"/>
          </w:tcPr>
          <w:p w14:paraId="47E01432" w14:textId="266497A0"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database analysis</w:t>
            </w:r>
          </w:p>
        </w:tc>
        <w:tc>
          <w:tcPr>
            <w:tcW w:w="1080" w:type="dxa"/>
            <w:vAlign w:val="center"/>
          </w:tcPr>
          <w:p w14:paraId="7A738DB0" w14:textId="7C19A1EC"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Litigation cases</w:t>
            </w:r>
          </w:p>
        </w:tc>
        <w:tc>
          <w:tcPr>
            <w:tcW w:w="1350" w:type="dxa"/>
            <w:vAlign w:val="center"/>
          </w:tcPr>
          <w:p w14:paraId="3E0F9CBD" w14:textId="7E65E1E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Malpractice / negligence</w:t>
            </w:r>
          </w:p>
        </w:tc>
        <w:tc>
          <w:tcPr>
            <w:tcW w:w="1800" w:type="dxa"/>
            <w:vAlign w:val="center"/>
          </w:tcPr>
          <w:p w14:paraId="77FCC59D" w14:textId="25984ED5"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Circumcision-related injuries frequently associated with claims of improper technique and lack of consent</w:t>
            </w:r>
          </w:p>
        </w:tc>
        <w:tc>
          <w:tcPr>
            <w:tcW w:w="1530" w:type="dxa"/>
            <w:vAlign w:val="center"/>
          </w:tcPr>
          <w:p w14:paraId="373618C3" w14:textId="5F151B3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risk persists even in developed healthcare systems</w:t>
            </w:r>
          </w:p>
        </w:tc>
      </w:tr>
      <w:tr w:rsidR="003C1F22" w:rsidRPr="003C1F22" w14:paraId="3BC35EE6" w14:textId="77777777" w:rsidTr="003C1F22">
        <w:tc>
          <w:tcPr>
            <w:tcW w:w="1206" w:type="dxa"/>
            <w:vAlign w:val="center"/>
          </w:tcPr>
          <w:p w14:paraId="69A842BE" w14:textId="47C20504"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Nurhayani (2021)</w:t>
            </w:r>
          </w:p>
        </w:tc>
        <w:tc>
          <w:tcPr>
            <w:tcW w:w="994" w:type="dxa"/>
            <w:vAlign w:val="center"/>
          </w:tcPr>
          <w:p w14:paraId="771561FD" w14:textId="794743D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14:paraId="0A5D277E" w14:textId="3E0283B2"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review</w:t>
            </w:r>
          </w:p>
        </w:tc>
        <w:tc>
          <w:tcPr>
            <w:tcW w:w="1080" w:type="dxa"/>
            <w:vAlign w:val="center"/>
          </w:tcPr>
          <w:p w14:paraId="32C0B490" w14:textId="01830F6C"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Nursing practice</w:t>
            </w:r>
          </w:p>
        </w:tc>
        <w:tc>
          <w:tcPr>
            <w:tcW w:w="1350" w:type="dxa"/>
            <w:vAlign w:val="center"/>
          </w:tcPr>
          <w:p w14:paraId="25DBBD19" w14:textId="1BF347DA"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Professional negligence</w:t>
            </w:r>
          </w:p>
        </w:tc>
        <w:tc>
          <w:tcPr>
            <w:tcW w:w="1800" w:type="dxa"/>
            <w:vAlign w:val="center"/>
          </w:tcPr>
          <w:p w14:paraId="79F2382D" w14:textId="5F1830B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Emphasizes competency requirements for healthcare providers performing procedures</w:t>
            </w:r>
          </w:p>
        </w:tc>
        <w:tc>
          <w:tcPr>
            <w:tcW w:w="1530" w:type="dxa"/>
            <w:vAlign w:val="center"/>
          </w:tcPr>
          <w:p w14:paraId="5C621D38" w14:textId="3E11BC80"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Lack of competence increases legal liability</w:t>
            </w:r>
          </w:p>
        </w:tc>
      </w:tr>
      <w:tr w:rsidR="003C1F22" w:rsidRPr="003C1F22" w14:paraId="62DB5852" w14:textId="77777777" w:rsidTr="003C1F22">
        <w:tc>
          <w:tcPr>
            <w:tcW w:w="1206" w:type="dxa"/>
            <w:vAlign w:val="center"/>
          </w:tcPr>
          <w:p w14:paraId="342C2ADA" w14:textId="49795EC1"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Hakim (2025)</w:t>
            </w:r>
          </w:p>
        </w:tc>
        <w:tc>
          <w:tcPr>
            <w:tcW w:w="994" w:type="dxa"/>
            <w:vAlign w:val="center"/>
          </w:tcPr>
          <w:p w14:paraId="1D74B667" w14:textId="5034ED4D"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14:paraId="218652A7" w14:textId="19807EFD"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analysis</w:t>
            </w:r>
          </w:p>
        </w:tc>
        <w:tc>
          <w:tcPr>
            <w:tcW w:w="1080" w:type="dxa"/>
            <w:vAlign w:val="center"/>
          </w:tcPr>
          <w:p w14:paraId="391DA437" w14:textId="7194657B"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Medical actions by nurses</w:t>
            </w:r>
          </w:p>
        </w:tc>
        <w:tc>
          <w:tcPr>
            <w:tcW w:w="1350" w:type="dxa"/>
            <w:vAlign w:val="center"/>
          </w:tcPr>
          <w:p w14:paraId="413199C3" w14:textId="65061B03"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Scope of practice</w:t>
            </w:r>
          </w:p>
        </w:tc>
        <w:tc>
          <w:tcPr>
            <w:tcW w:w="1800" w:type="dxa"/>
            <w:vAlign w:val="center"/>
          </w:tcPr>
          <w:p w14:paraId="26E4A821" w14:textId="364741B2"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Highlights legal limitations of non-physician procedures</w:t>
            </w:r>
          </w:p>
        </w:tc>
        <w:tc>
          <w:tcPr>
            <w:tcW w:w="1530" w:type="dxa"/>
            <w:vAlign w:val="center"/>
          </w:tcPr>
          <w:p w14:paraId="2D12CF1C" w14:textId="66B009F3"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Unauthorized procedures may constitute malpractice</w:t>
            </w:r>
          </w:p>
        </w:tc>
      </w:tr>
      <w:tr w:rsidR="003C1F22" w:rsidRPr="003C1F22" w14:paraId="7EA4A947" w14:textId="77777777" w:rsidTr="003C1F22">
        <w:tc>
          <w:tcPr>
            <w:tcW w:w="1206" w:type="dxa"/>
            <w:vAlign w:val="center"/>
          </w:tcPr>
          <w:p w14:paraId="2BD85337" w14:textId="0A7AA9A4"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Latifah (2024)</w:t>
            </w:r>
          </w:p>
        </w:tc>
        <w:tc>
          <w:tcPr>
            <w:tcW w:w="994" w:type="dxa"/>
            <w:vAlign w:val="center"/>
          </w:tcPr>
          <w:p w14:paraId="24FD41F8" w14:textId="1ECA9D72"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14:paraId="22D88A88" w14:textId="5E06DFFA"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study</w:t>
            </w:r>
          </w:p>
        </w:tc>
        <w:tc>
          <w:tcPr>
            <w:tcW w:w="1080" w:type="dxa"/>
            <w:vAlign w:val="center"/>
          </w:tcPr>
          <w:p w14:paraId="6847492A" w14:textId="48CB5130"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Healthcare regulation</w:t>
            </w:r>
          </w:p>
        </w:tc>
        <w:tc>
          <w:tcPr>
            <w:tcW w:w="1350" w:type="dxa"/>
            <w:vAlign w:val="center"/>
          </w:tcPr>
          <w:p w14:paraId="11CEAE39" w14:textId="3AF67056"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Liability</w:t>
            </w:r>
          </w:p>
        </w:tc>
        <w:tc>
          <w:tcPr>
            <w:tcW w:w="1800" w:type="dxa"/>
            <w:vAlign w:val="center"/>
          </w:tcPr>
          <w:p w14:paraId="40FE6BA4" w14:textId="1B405B2D"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 xml:space="preserve">Identifies responsibility of providers in </w:t>
            </w:r>
            <w:r w:rsidRPr="009E6DF1">
              <w:rPr>
                <w:rFonts w:ascii="Times New Roman" w:hAnsi="Times New Roman" w:cs="Times New Roman"/>
                <w:sz w:val="20"/>
                <w:szCs w:val="20"/>
              </w:rPr>
              <w:lastRenderedPageBreak/>
              <w:t>procedural complications</w:t>
            </w:r>
          </w:p>
        </w:tc>
        <w:tc>
          <w:tcPr>
            <w:tcW w:w="1530" w:type="dxa"/>
            <w:vAlign w:val="center"/>
          </w:tcPr>
          <w:p w14:paraId="7B744F7C" w14:textId="0EF68F3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lastRenderedPageBreak/>
              <w:t xml:space="preserve">Clear delineation of roles needed to </w:t>
            </w:r>
            <w:r w:rsidRPr="009E6DF1">
              <w:rPr>
                <w:rFonts w:ascii="Times New Roman" w:hAnsi="Times New Roman" w:cs="Times New Roman"/>
                <w:sz w:val="20"/>
                <w:szCs w:val="20"/>
              </w:rPr>
              <w:lastRenderedPageBreak/>
              <w:t>prevent legal disputes</w:t>
            </w:r>
          </w:p>
        </w:tc>
      </w:tr>
      <w:tr w:rsidR="003C1F22" w:rsidRPr="003C1F22" w14:paraId="0C181640" w14:textId="77777777" w:rsidTr="003C1F22">
        <w:tc>
          <w:tcPr>
            <w:tcW w:w="1206" w:type="dxa"/>
            <w:vAlign w:val="center"/>
          </w:tcPr>
          <w:p w14:paraId="64AB817A" w14:textId="23E0D77F"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lastRenderedPageBreak/>
              <w:t>Pane (2023)</w:t>
            </w:r>
          </w:p>
        </w:tc>
        <w:tc>
          <w:tcPr>
            <w:tcW w:w="994" w:type="dxa"/>
            <w:vAlign w:val="center"/>
          </w:tcPr>
          <w:p w14:paraId="229309E0" w14:textId="03B7E48E"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14:paraId="7DEEA712" w14:textId="40C7BEA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review</w:t>
            </w:r>
          </w:p>
        </w:tc>
        <w:tc>
          <w:tcPr>
            <w:tcW w:w="1080" w:type="dxa"/>
            <w:vAlign w:val="center"/>
          </w:tcPr>
          <w:p w14:paraId="478C4F6E" w14:textId="49E9E6CE"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Malpractice law</w:t>
            </w:r>
          </w:p>
        </w:tc>
        <w:tc>
          <w:tcPr>
            <w:tcW w:w="1350" w:type="dxa"/>
            <w:vAlign w:val="center"/>
          </w:tcPr>
          <w:p w14:paraId="6CD00C65" w14:textId="2D485A62"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Negligence</w:t>
            </w:r>
          </w:p>
        </w:tc>
        <w:tc>
          <w:tcPr>
            <w:tcW w:w="1800" w:type="dxa"/>
            <w:vAlign w:val="center"/>
          </w:tcPr>
          <w:p w14:paraId="04786BF1" w14:textId="4BC02A82"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Defines malpractice in procedural errors including surgical injury</w:t>
            </w:r>
          </w:p>
        </w:tc>
        <w:tc>
          <w:tcPr>
            <w:tcW w:w="1530" w:type="dxa"/>
            <w:vAlign w:val="center"/>
          </w:tcPr>
          <w:p w14:paraId="1AD1A9BC" w14:textId="262B8CF4"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Procedural errors directly linked to legal accountability</w:t>
            </w:r>
          </w:p>
        </w:tc>
      </w:tr>
      <w:tr w:rsidR="003C1F22" w:rsidRPr="003C1F22" w14:paraId="1B9E73FD" w14:textId="77777777" w:rsidTr="003C1F22">
        <w:tc>
          <w:tcPr>
            <w:tcW w:w="1206" w:type="dxa"/>
            <w:vAlign w:val="center"/>
          </w:tcPr>
          <w:p w14:paraId="7C8B2E8D" w14:textId="6FCB2A4E"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Sahari (2022)</w:t>
            </w:r>
          </w:p>
        </w:tc>
        <w:tc>
          <w:tcPr>
            <w:tcW w:w="994" w:type="dxa"/>
            <w:vAlign w:val="center"/>
          </w:tcPr>
          <w:p w14:paraId="0285D2C9" w14:textId="6022DEFB"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14:paraId="62F40A5C" w14:textId="34D12BB6"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study</w:t>
            </w:r>
          </w:p>
        </w:tc>
        <w:tc>
          <w:tcPr>
            <w:tcW w:w="1080" w:type="dxa"/>
            <w:vAlign w:val="center"/>
          </w:tcPr>
          <w:p w14:paraId="473E651C" w14:textId="5786A781"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Medical responsibility</w:t>
            </w:r>
          </w:p>
        </w:tc>
        <w:tc>
          <w:tcPr>
            <w:tcW w:w="1350" w:type="dxa"/>
            <w:vAlign w:val="center"/>
          </w:tcPr>
          <w:p w14:paraId="3FB9AD0D" w14:textId="63D4D72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liability</w:t>
            </w:r>
          </w:p>
        </w:tc>
        <w:tc>
          <w:tcPr>
            <w:tcW w:w="1800" w:type="dxa"/>
            <w:vAlign w:val="center"/>
          </w:tcPr>
          <w:p w14:paraId="5130A94F" w14:textId="774EE475"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Discusses responsibility in adverse medical outcomes</w:t>
            </w:r>
          </w:p>
        </w:tc>
        <w:tc>
          <w:tcPr>
            <w:tcW w:w="1530" w:type="dxa"/>
            <w:vAlign w:val="center"/>
          </w:tcPr>
          <w:p w14:paraId="52DC1084" w14:textId="289F4EEC"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Emphasizes duty of care in invasive procedures</w:t>
            </w:r>
          </w:p>
        </w:tc>
      </w:tr>
      <w:tr w:rsidR="003C1F22" w:rsidRPr="003C1F22" w14:paraId="1986F71F" w14:textId="77777777" w:rsidTr="003C1F22">
        <w:tc>
          <w:tcPr>
            <w:tcW w:w="1206" w:type="dxa"/>
            <w:vAlign w:val="center"/>
          </w:tcPr>
          <w:p w14:paraId="4810A18D" w14:textId="02A3754D"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Wulandari (2024)</w:t>
            </w:r>
          </w:p>
        </w:tc>
        <w:tc>
          <w:tcPr>
            <w:tcW w:w="994" w:type="dxa"/>
            <w:vAlign w:val="center"/>
          </w:tcPr>
          <w:p w14:paraId="411279B6" w14:textId="53D7BBFA"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14:paraId="7CD40CA3" w14:textId="165337B9"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review</w:t>
            </w:r>
          </w:p>
        </w:tc>
        <w:tc>
          <w:tcPr>
            <w:tcW w:w="1080" w:type="dxa"/>
            <w:vAlign w:val="center"/>
          </w:tcPr>
          <w:p w14:paraId="6DF5BB07" w14:textId="118D6CC8"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Nursing protection</w:t>
            </w:r>
          </w:p>
        </w:tc>
        <w:tc>
          <w:tcPr>
            <w:tcW w:w="1350" w:type="dxa"/>
            <w:vAlign w:val="center"/>
          </w:tcPr>
          <w:p w14:paraId="0714F874" w14:textId="7992ED73"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protection vs liability</w:t>
            </w:r>
          </w:p>
        </w:tc>
        <w:tc>
          <w:tcPr>
            <w:tcW w:w="1800" w:type="dxa"/>
            <w:vAlign w:val="center"/>
          </w:tcPr>
          <w:p w14:paraId="4A8C25D3" w14:textId="14AC48D8"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Balances provider protection with accountability</w:t>
            </w:r>
          </w:p>
        </w:tc>
        <w:tc>
          <w:tcPr>
            <w:tcW w:w="1530" w:type="dxa"/>
            <w:vAlign w:val="center"/>
          </w:tcPr>
          <w:p w14:paraId="7D93E584" w14:textId="307347E2"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frameworks must protect patients and regulate providers</w:t>
            </w:r>
          </w:p>
        </w:tc>
      </w:tr>
    </w:tbl>
    <w:p w14:paraId="68AA4C41" w14:textId="77777777" w:rsidR="00327B31" w:rsidRDefault="00327B31" w:rsidP="0065179B"/>
    <w:p w14:paraId="134DC938" w14:textId="1C413539" w:rsidR="009E6DF1" w:rsidRPr="009E6DF1" w:rsidRDefault="009E6DF1" w:rsidP="0097320D">
      <w:pPr>
        <w:spacing w:after="0" w:line="276" w:lineRule="auto"/>
        <w:ind w:firstLine="630"/>
        <w:jc w:val="both"/>
        <w:rPr>
          <w:rFonts w:ascii="Times New Roman" w:hAnsi="Times New Roman" w:cs="Times New Roman"/>
          <w:b/>
          <w:bCs/>
        </w:rPr>
      </w:pPr>
      <w:r w:rsidRPr="009E6DF1">
        <w:rPr>
          <w:rFonts w:ascii="Times New Roman" w:hAnsi="Times New Roman" w:cs="Times New Roman"/>
          <w:b/>
          <w:bCs/>
        </w:rPr>
        <w:t>Medicolegal Findings</w:t>
      </w:r>
    </w:p>
    <w:p w14:paraId="2A2D303A" w14:textId="77777777" w:rsidR="009E6DF1" w:rsidRPr="009E6DF1" w:rsidRDefault="009E6DF1" w:rsidP="0097320D">
      <w:pPr>
        <w:spacing w:after="0" w:line="276" w:lineRule="auto"/>
        <w:ind w:firstLine="630"/>
        <w:jc w:val="both"/>
        <w:rPr>
          <w:rFonts w:ascii="Times New Roman" w:hAnsi="Times New Roman" w:cs="Times New Roman"/>
        </w:rPr>
      </w:pPr>
      <w:r w:rsidRPr="009E6DF1">
        <w:rPr>
          <w:rFonts w:ascii="Times New Roman" w:hAnsi="Times New Roman" w:cs="Times New Roman"/>
        </w:rPr>
        <w:t>The medicolegal analysis revealed that iatrogenic injuries to the glans penis during circumcision carry substantial legal implications, particularly when associated with preventable procedural errors and deviations from accepted standards of care.</w:t>
      </w:r>
    </w:p>
    <w:p w14:paraId="229FF478" w14:textId="0E3BD281" w:rsidR="009E6DF1" w:rsidRPr="009E6DF1" w:rsidRDefault="009E6DF1" w:rsidP="0097320D">
      <w:pPr>
        <w:spacing w:after="0" w:line="276" w:lineRule="auto"/>
        <w:ind w:firstLine="630"/>
        <w:jc w:val="both"/>
        <w:rPr>
          <w:rFonts w:ascii="Times New Roman" w:hAnsi="Times New Roman" w:cs="Times New Roman"/>
        </w:rPr>
      </w:pPr>
      <w:r w:rsidRPr="009E6DF1">
        <w:rPr>
          <w:rFonts w:ascii="Times New Roman" w:hAnsi="Times New Roman" w:cs="Times New Roman"/>
        </w:rPr>
        <w:t xml:space="preserve">Evidence from clinical–forensic data demonstrated that severe complications may lead to formal malpractice investigations. The retrospective study by Tasci et al., which evaluated 24 cases of post-circumcision penile necrosis, reported that all cases were reviewed within a forensic medicine framework due to suspected malpractice </w:t>
      </w:r>
      <w:sdt>
        <w:sdtPr>
          <w:rPr>
            <w:rFonts w:ascii="Times New Roman" w:hAnsi="Times New Roman" w:cs="Times New Roman"/>
            <w:color w:val="000000"/>
          </w:rPr>
          <w:tag w:val="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933351554"/>
          <w:placeholder>
            <w:docPart w:val="DefaultPlaceholder_-1854013440"/>
          </w:placeholder>
        </w:sdtPr>
        <w:sdtContent>
          <w:r w:rsidR="000E689E" w:rsidRPr="000E689E">
            <w:rPr>
              <w:rFonts w:ascii="Times New Roman" w:hAnsi="Times New Roman" w:cs="Times New Roman"/>
              <w:color w:val="000000"/>
            </w:rPr>
            <w:t>(Tasci et al., 2020)</w:t>
          </w:r>
        </w:sdtContent>
      </w:sdt>
      <w:r w:rsidRPr="009E6DF1">
        <w:rPr>
          <w:rFonts w:ascii="Times New Roman" w:hAnsi="Times New Roman" w:cs="Times New Roman"/>
        </w:rPr>
        <w:t>. This finding illustrates the direct intersection between adverse clinical outcomes—such as necrosis, tissue loss, and functional impairment—and legal accountability.</w:t>
      </w:r>
    </w:p>
    <w:p w14:paraId="6D725970" w14:textId="7A5574DA" w:rsidR="009E6DF1" w:rsidRPr="009E6DF1" w:rsidRDefault="009E6DF1" w:rsidP="0097320D">
      <w:pPr>
        <w:spacing w:after="0" w:line="276" w:lineRule="auto"/>
        <w:ind w:firstLine="630"/>
        <w:jc w:val="both"/>
        <w:rPr>
          <w:rFonts w:ascii="Times New Roman" w:hAnsi="Times New Roman" w:cs="Times New Roman"/>
        </w:rPr>
      </w:pPr>
      <w:r w:rsidRPr="009E6DF1">
        <w:rPr>
          <w:rFonts w:ascii="Times New Roman" w:hAnsi="Times New Roman" w:cs="Times New Roman"/>
        </w:rPr>
        <w:t xml:space="preserve">Across medicolegal studies, procedural errors and operator-related factors were consistently identified as primary drivers of liability. Legal analyses emphasized that complications arising from improper surgical technique, misuse of instruments, or inadequate anatomical assessment may be interpreted as negligence, particularly when such injuries are preventable under standard clinical practice </w:t>
      </w:r>
      <w:sdt>
        <w:sdtPr>
          <w:rPr>
            <w:rFonts w:ascii="Times New Roman" w:hAnsi="Times New Roman" w:cs="Times New Roman"/>
            <w:color w:val="000000"/>
          </w:rPr>
          <w:tag w:val="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n0sImlzVGVtcG9yYXJ5IjpmYWxzZX1dfQ=="/>
          <w:id w:val="1131369158"/>
          <w:placeholder>
            <w:docPart w:val="DefaultPlaceholder_-1854013440"/>
          </w:placeholder>
        </w:sdtPr>
        <w:sdtContent>
          <w:r w:rsidR="000E689E" w:rsidRPr="000E689E">
            <w:rPr>
              <w:rFonts w:ascii="Times New Roman" w:eastAsia="Times New Roman" w:hAnsi="Times New Roman" w:cs="Times New Roman"/>
              <w:color w:val="000000"/>
            </w:rPr>
            <w:t>(Nurhayani et al., 2021; Pane &amp; Suminar, 2023; Sahari, 2022)</w:t>
          </w:r>
        </w:sdtContent>
      </w:sdt>
      <w:r w:rsidRPr="009E6DF1">
        <w:rPr>
          <w:rFonts w:ascii="Times New Roman" w:hAnsi="Times New Roman" w:cs="Times New Roman"/>
        </w:rPr>
        <w:t xml:space="preserve">. In addition, litigation-based analyses indicated that circumcision-related injuries are frequently associated with claims of substandard care, including inappropriate technique selection and lack of procedural competence </w:t>
      </w:r>
      <w:sdt>
        <w:sdtPr>
          <w:rPr>
            <w:rFonts w:ascii="Times New Roman" w:hAnsi="Times New Roman" w:cs="Times New Roman"/>
            <w:color w:val="000000"/>
          </w:rPr>
          <w:tag w:val="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65088794"/>
          <w:placeholder>
            <w:docPart w:val="DefaultPlaceholder_-1854013440"/>
          </w:placeholder>
        </w:sdtPr>
        <w:sdtContent>
          <w:r w:rsidR="000E689E" w:rsidRPr="000E689E">
            <w:rPr>
              <w:rFonts w:ascii="Times New Roman" w:hAnsi="Times New Roman" w:cs="Times New Roman"/>
              <w:color w:val="000000"/>
            </w:rPr>
            <w:t>(Li et al., 2022)</w:t>
          </w:r>
        </w:sdtContent>
      </w:sdt>
      <w:r w:rsidRPr="009E6DF1">
        <w:rPr>
          <w:rFonts w:ascii="Times New Roman" w:hAnsi="Times New Roman" w:cs="Times New Roman"/>
        </w:rPr>
        <w:t>.</w:t>
      </w:r>
    </w:p>
    <w:p w14:paraId="56DE0038" w14:textId="1E5A3984" w:rsidR="009E6DF1" w:rsidRPr="009E6DF1" w:rsidRDefault="009E6DF1" w:rsidP="0097320D">
      <w:pPr>
        <w:spacing w:after="0" w:line="276" w:lineRule="auto"/>
        <w:ind w:firstLine="630"/>
        <w:jc w:val="both"/>
        <w:rPr>
          <w:rFonts w:ascii="Times New Roman" w:hAnsi="Times New Roman" w:cs="Times New Roman"/>
        </w:rPr>
      </w:pPr>
      <w:r w:rsidRPr="009E6DF1">
        <w:rPr>
          <w:rFonts w:ascii="Times New Roman" w:hAnsi="Times New Roman" w:cs="Times New Roman"/>
        </w:rPr>
        <w:t xml:space="preserve">A recurring theme across multiple studies was the critical role of provider competency and scope of practice. Several legal reviews highlighted that circumcision performed by unqualified or inadequately trained individuals—such as non-physician providers or traditional circumcisers—significantly increases both clinical risk and legal liability </w:t>
      </w:r>
      <w:sdt>
        <w:sdtPr>
          <w:rPr>
            <w:rFonts w:ascii="Times New Roman" w:hAnsi="Times New Roman" w:cs="Times New Roman"/>
            <w:color w:val="000000"/>
          </w:rPr>
          <w:tag w:val="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
          <w:id w:val="-1703314665"/>
          <w:placeholder>
            <w:docPart w:val="DefaultPlaceholder_-1854013440"/>
          </w:placeholder>
        </w:sdtPr>
        <w:sdtContent>
          <w:r w:rsidR="000E689E" w:rsidRPr="000E689E">
            <w:rPr>
              <w:rFonts w:ascii="Times New Roman" w:hAnsi="Times New Roman" w:cs="Times New Roman"/>
              <w:color w:val="000000"/>
            </w:rPr>
            <w:t>(L. Hakim et al., 2025; Nurhayani et al., 2021; Tri Wulandari et al., 2024)</w:t>
          </w:r>
        </w:sdtContent>
      </w:sdt>
      <w:r w:rsidRPr="009E6DF1">
        <w:rPr>
          <w:rFonts w:ascii="Times New Roman" w:hAnsi="Times New Roman" w:cs="Times New Roman"/>
        </w:rPr>
        <w:t>. Performing surgical procedures beyond authorized professional scope may itself constitute a breach of legal and ethical standards.</w:t>
      </w:r>
    </w:p>
    <w:p w14:paraId="1DBB38CA" w14:textId="6FA528AF" w:rsidR="009E6DF1" w:rsidRPr="009E6DF1" w:rsidRDefault="009E6DF1" w:rsidP="0097320D">
      <w:pPr>
        <w:spacing w:after="0" w:line="276" w:lineRule="auto"/>
        <w:ind w:firstLine="630"/>
        <w:jc w:val="both"/>
        <w:rPr>
          <w:rFonts w:ascii="Times New Roman" w:hAnsi="Times New Roman" w:cs="Times New Roman"/>
        </w:rPr>
      </w:pPr>
      <w:r w:rsidRPr="009E6DF1">
        <w:rPr>
          <w:rFonts w:ascii="Times New Roman" w:hAnsi="Times New Roman" w:cs="Times New Roman"/>
        </w:rPr>
        <w:t xml:space="preserve">Informed consent also emerged as an important medicolegal consideration. Although inconsistently reported in clinical studies, legal evidence suggests that failure to adequately inform </w:t>
      </w:r>
      <w:r w:rsidRPr="009E6DF1">
        <w:rPr>
          <w:rFonts w:ascii="Times New Roman" w:hAnsi="Times New Roman" w:cs="Times New Roman"/>
        </w:rPr>
        <w:lastRenderedPageBreak/>
        <w:t xml:space="preserve">patients or guardians regarding risks, complications, and alternatives may strengthen claims of negligence, particularly in elective or non-therapeutic circumcision </w:t>
      </w:r>
      <w:sdt>
        <w:sdtPr>
          <w:rPr>
            <w:rFonts w:ascii="Times New Roman" w:hAnsi="Times New Roman" w:cs="Times New Roman"/>
            <w:color w:val="000000"/>
          </w:rPr>
          <w:tag w:val="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304893381"/>
          <w:placeholder>
            <w:docPart w:val="DefaultPlaceholder_-1854013440"/>
          </w:placeholder>
        </w:sdtPr>
        <w:sdtContent>
          <w:r w:rsidR="000E689E" w:rsidRPr="000E689E">
            <w:rPr>
              <w:rFonts w:ascii="Times New Roman" w:hAnsi="Times New Roman" w:cs="Times New Roman"/>
              <w:color w:val="000000"/>
            </w:rPr>
            <w:t>(Li et al., 2022; Sahari, 2022)</w:t>
          </w:r>
        </w:sdtContent>
      </w:sdt>
      <w:r w:rsidRPr="009E6DF1">
        <w:rPr>
          <w:rFonts w:ascii="Times New Roman" w:hAnsi="Times New Roman" w:cs="Times New Roman"/>
        </w:rPr>
        <w:t>.</w:t>
      </w:r>
    </w:p>
    <w:p w14:paraId="327E6C0F" w14:textId="41D20420" w:rsidR="009E6DF1" w:rsidRPr="009E6DF1" w:rsidRDefault="009E6DF1" w:rsidP="0097320D">
      <w:pPr>
        <w:spacing w:after="0" w:line="276" w:lineRule="auto"/>
        <w:ind w:firstLine="630"/>
        <w:jc w:val="both"/>
        <w:rPr>
          <w:rFonts w:ascii="Times New Roman" w:hAnsi="Times New Roman" w:cs="Times New Roman"/>
        </w:rPr>
      </w:pPr>
      <w:r w:rsidRPr="009E6DF1">
        <w:rPr>
          <w:rFonts w:ascii="Times New Roman" w:hAnsi="Times New Roman" w:cs="Times New Roman"/>
        </w:rPr>
        <w:t xml:space="preserve">Importantly, medicolegal risks were not confined to low-resource or traditional settings. Evidence from legal database analyses demonstrated that circumcision-related injuries may lead to malpractice claims even within well-established healthcare systems </w:t>
      </w:r>
      <w:sdt>
        <w:sdtPr>
          <w:rPr>
            <w:rFonts w:ascii="Times New Roman" w:hAnsi="Times New Roman" w:cs="Times New Roman"/>
            <w:color w:val="000000"/>
          </w:rPr>
          <w:tag w:val="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5524368"/>
          <w:placeholder>
            <w:docPart w:val="DefaultPlaceholder_-1854013440"/>
          </w:placeholder>
        </w:sdtPr>
        <w:sdtContent>
          <w:r w:rsidR="000E689E" w:rsidRPr="000E689E">
            <w:rPr>
              <w:rFonts w:ascii="Times New Roman" w:hAnsi="Times New Roman" w:cs="Times New Roman"/>
              <w:color w:val="000000"/>
            </w:rPr>
            <w:t>(Li et al., 2022)</w:t>
          </w:r>
        </w:sdtContent>
      </w:sdt>
      <w:r w:rsidRPr="009E6DF1">
        <w:rPr>
          <w:rFonts w:ascii="Times New Roman" w:hAnsi="Times New Roman" w:cs="Times New Roman"/>
        </w:rPr>
        <w:t>. This indicates that legal exposure is influenced not only by setting, but by adherence to procedural standards, documentation, and informed consent practices.</w:t>
      </w:r>
    </w:p>
    <w:p w14:paraId="37044AA6" w14:textId="1038C1F2" w:rsidR="009E6DF1" w:rsidRPr="0097320D" w:rsidRDefault="009E6DF1" w:rsidP="0097320D">
      <w:pPr>
        <w:spacing w:after="0" w:line="276" w:lineRule="auto"/>
        <w:ind w:firstLine="630"/>
        <w:jc w:val="both"/>
        <w:rPr>
          <w:rFonts w:ascii="Times New Roman" w:hAnsi="Times New Roman" w:cs="Times New Roman"/>
        </w:rPr>
      </w:pPr>
      <w:r w:rsidRPr="009E6DF1">
        <w:rPr>
          <w:rFonts w:ascii="Times New Roman" w:hAnsi="Times New Roman" w:cs="Times New Roman"/>
        </w:rPr>
        <w:t xml:space="preserve">Taken together, these findings indicate that the medicolegal consequences of iatrogenic glans penis injury are closely linked to identifiable and largely preventable factors, including operator inexperience, inappropriate technique, inadequate perioperative assessment, and failure to comply with established standards of care </w:t>
      </w:r>
      <w:sdt>
        <w:sdtPr>
          <w:rPr>
            <w:rFonts w:ascii="Times New Roman" w:hAnsi="Times New Roman" w:cs="Times New Roman"/>
            <w:color w:val="000000"/>
          </w:rPr>
          <w:tag w:val="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
          <w:id w:val="212013746"/>
          <w:placeholder>
            <w:docPart w:val="DefaultPlaceholder_-1854013440"/>
          </w:placeholder>
        </w:sdtPr>
        <w:sdtContent>
          <w:r w:rsidR="000E689E" w:rsidRPr="000E689E">
            <w:rPr>
              <w:rFonts w:ascii="Times New Roman" w:eastAsia="Times New Roman" w:hAnsi="Times New Roman" w:cs="Times New Roman"/>
              <w:color w:val="000000"/>
            </w:rPr>
            <w:t>(Nurhayani et al., 2021; Pane &amp; Suminar, 2023; Sahari, 2022; Tri Wulandari et al., 2024)</w:t>
          </w:r>
        </w:sdtContent>
      </w:sdt>
      <w:r w:rsidRPr="009E6DF1">
        <w:rPr>
          <w:rFonts w:ascii="Times New Roman" w:hAnsi="Times New Roman" w:cs="Times New Roman"/>
        </w:rPr>
        <w:t>. Strengthening surgical training, enforcing scope-of-practice regulations, and improving procedural safety protocols are therefore essential not only to reduce clinical complications but also to mitigate medicolegal risk.</w:t>
      </w:r>
    </w:p>
    <w:p w14:paraId="1A8BE367" w14:textId="77777777" w:rsidR="00FC47F8" w:rsidRDefault="00FC47F8" w:rsidP="009E6DF1">
      <w:pPr>
        <w:rPr>
          <w:b/>
          <w:bCs/>
        </w:rPr>
      </w:pPr>
    </w:p>
    <w:p w14:paraId="372D7C04" w14:textId="3597C5CC" w:rsidR="00834041" w:rsidRPr="009E6DF1" w:rsidRDefault="00834041" w:rsidP="00FC47F8">
      <w:pPr>
        <w:spacing w:after="0"/>
        <w:rPr>
          <w:rFonts w:ascii="Times New Roman" w:hAnsi="Times New Roman" w:cs="Times New Roman"/>
          <w:b/>
          <w:bCs/>
        </w:rPr>
      </w:pPr>
      <w:r w:rsidRPr="00FC47F8">
        <w:rPr>
          <w:rFonts w:ascii="Times New Roman" w:hAnsi="Times New Roman" w:cs="Times New Roman"/>
          <w:b/>
          <w:bCs/>
        </w:rPr>
        <w:t>DISCUSSION</w:t>
      </w:r>
    </w:p>
    <w:p w14:paraId="5F61A59E" w14:textId="58E556C0" w:rsidR="006C5578" w:rsidRPr="006C5578" w:rsidRDefault="006C5578" w:rsidP="00FF23CF">
      <w:pPr>
        <w:spacing w:after="0" w:line="276" w:lineRule="auto"/>
        <w:ind w:firstLine="630"/>
        <w:jc w:val="both"/>
        <w:rPr>
          <w:rFonts w:ascii="Times New Roman" w:hAnsi="Times New Roman" w:cs="Times New Roman"/>
        </w:rPr>
      </w:pPr>
      <w:r w:rsidRPr="006C5578">
        <w:rPr>
          <w:rFonts w:ascii="Times New Roman" w:hAnsi="Times New Roman" w:cs="Times New Roman"/>
        </w:rPr>
        <w:t xml:space="preserve">The present systematic review provides a comprehensive synthesis of the clinical spectrum, mechanisms, and medicolegal implications of iatrogenic glans penis injury during circumcision. While previous literature has described circumcision-related complications in general terms </w:t>
      </w:r>
      <w:sdt>
        <w:sdtPr>
          <w:rPr>
            <w:rFonts w:ascii="Times New Roman" w:hAnsi="Times New Roman" w:cs="Times New Roman"/>
            <w:color w:val="000000"/>
          </w:rPr>
          <w:tag w:val="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
          <w:id w:val="-2031790980"/>
          <w:placeholder>
            <w:docPart w:val="DefaultPlaceholder_-1854013440"/>
          </w:placeholder>
        </w:sdtPr>
        <w:sdtContent>
          <w:r w:rsidR="000E689E" w:rsidRPr="000E689E">
            <w:rPr>
              <w:rFonts w:ascii="Times New Roman" w:hAnsi="Times New Roman" w:cs="Times New Roman"/>
              <w:color w:val="000000"/>
            </w:rPr>
            <w:t>(Iacob et al., 2022; Weiss et al., 2010)</w:t>
          </w:r>
        </w:sdtContent>
      </w:sdt>
      <w:r w:rsidRPr="006C5578">
        <w:rPr>
          <w:rFonts w:ascii="Times New Roman" w:hAnsi="Times New Roman" w:cs="Times New Roman"/>
        </w:rPr>
        <w:t xml:space="preserve">, the present findings specifically highlight severe and functionally devastating injuries, including glans amputation and necrosis, as consistently reported across multiple included studies </w:t>
      </w:r>
      <w:sdt>
        <w:sdtPr>
          <w:rPr>
            <w:rFonts w:ascii="Times New Roman" w:hAnsi="Times New Roman" w:cs="Times New Roman"/>
            <w:color w:val="000000"/>
          </w:rPr>
          <w:tag w:val="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
          <w:id w:val="-931280994"/>
          <w:placeholder>
            <w:docPart w:val="DefaultPlaceholder_-1854013440"/>
          </w:placeholder>
        </w:sdtPr>
        <w:sdtContent>
          <w:r w:rsidR="000E689E" w:rsidRPr="000E689E">
            <w:rPr>
              <w:rFonts w:ascii="Times New Roman" w:hAnsi="Times New Roman" w:cs="Times New Roman"/>
              <w:color w:val="000000"/>
            </w:rPr>
            <w:t>(Nafatalewa et al., 2022; Sharma et al., 2022; Tanyi et al., 2023)</w:t>
          </w:r>
        </w:sdtContent>
      </w:sdt>
      <w:r w:rsidRPr="006C5578">
        <w:rPr>
          <w:rFonts w:ascii="Times New Roman" w:hAnsi="Times New Roman" w:cs="Times New Roman"/>
        </w:rPr>
        <w:t>. This suggests that such complications, although uncommon, represent a reproducible pattern of high-severity iatrogenic harm rather than isolated incidents.</w:t>
      </w:r>
    </w:p>
    <w:p w14:paraId="401B8C18" w14:textId="004367C7" w:rsidR="006C5578" w:rsidRPr="006C5578" w:rsidRDefault="006C5578" w:rsidP="00FF23CF">
      <w:pPr>
        <w:spacing w:after="0" w:line="276" w:lineRule="auto"/>
        <w:ind w:firstLine="630"/>
        <w:jc w:val="both"/>
        <w:rPr>
          <w:rFonts w:ascii="Times New Roman" w:hAnsi="Times New Roman" w:cs="Times New Roman"/>
        </w:rPr>
      </w:pPr>
      <w:r w:rsidRPr="006C5578">
        <w:rPr>
          <w:rFonts w:ascii="Times New Roman" w:hAnsi="Times New Roman" w:cs="Times New Roman"/>
        </w:rPr>
        <w:t xml:space="preserve">The broad clinical spectrum identified in this review—from glans ischemia to complete penile amputation—reflects both mechanical and vascular injury pathways. Amputative injuries were consistently linked to direct procedural errors across several included reports </w:t>
      </w:r>
      <w:sdt>
        <w:sdtPr>
          <w:rPr>
            <w:rFonts w:ascii="Times New Roman" w:hAnsi="Times New Roman" w:cs="Times New Roman"/>
            <w:color w:val="000000"/>
          </w:rPr>
          <w:tag w:val="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699620067"/>
          <w:placeholder>
            <w:docPart w:val="DefaultPlaceholder_-1854013440"/>
          </w:placeholder>
        </w:sdtPr>
        <w:sdtContent>
          <w:r w:rsidR="000E689E" w:rsidRPr="000E689E">
            <w:rPr>
              <w:rFonts w:ascii="Times New Roman" w:hAnsi="Times New Roman" w:cs="Times New Roman"/>
              <w:color w:val="000000"/>
            </w:rPr>
            <w:t>(M. B. I. Hakim et al., 2023; Satyagraha et al., 2020)</w:t>
          </w:r>
        </w:sdtContent>
      </w:sdt>
      <w:r w:rsidRPr="006C5578">
        <w:rPr>
          <w:rFonts w:ascii="Times New Roman" w:hAnsi="Times New Roman" w:cs="Times New Roman"/>
        </w:rPr>
        <w:t xml:space="preserve">, whereas ischemic and necrotic complications were documented in both case reports and larger retrospective analyses </w:t>
      </w:r>
      <w:sdt>
        <w:sdtPr>
          <w:rPr>
            <w:rFonts w:ascii="Times New Roman" w:hAnsi="Times New Roman" w:cs="Times New Roman"/>
            <w:color w:val="000000"/>
          </w:rPr>
          <w:tag w:val="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262208684"/>
          <w:placeholder>
            <w:docPart w:val="DefaultPlaceholder_-1854013440"/>
          </w:placeholder>
        </w:sdtPr>
        <w:sdtContent>
          <w:r w:rsidR="000E689E" w:rsidRPr="000E689E">
            <w:rPr>
              <w:rFonts w:ascii="Times New Roman" w:eastAsia="Times New Roman" w:hAnsi="Times New Roman" w:cs="Times New Roman"/>
              <w:color w:val="000000"/>
            </w:rPr>
            <w:t>(Garrido-Abad &amp; Suarez-Fonseca, 2015; Pepe et al., 2015; Tasci et al., 2020)</w:t>
          </w:r>
        </w:sdtContent>
      </w:sdt>
      <w:r w:rsidRPr="006C5578">
        <w:rPr>
          <w:rFonts w:ascii="Times New Roman" w:hAnsi="Times New Roman" w:cs="Times New Roman"/>
        </w:rPr>
        <w:t xml:space="preserve">. These findings align with broader epidemiological evidence suggesting that circumcision-related complications are multifactorial and influenced by both technical and perioperative factors </w:t>
      </w:r>
      <w:sdt>
        <w:sdtPr>
          <w:rPr>
            <w:rFonts w:ascii="Times New Roman" w:hAnsi="Times New Roman" w:cs="Times New Roman"/>
            <w:color w:val="000000"/>
          </w:rPr>
          <w:tag w:val="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
          <w:id w:val="15121175"/>
          <w:placeholder>
            <w:docPart w:val="DefaultPlaceholder_-1854013440"/>
          </w:placeholder>
        </w:sdtPr>
        <w:sdtContent>
          <w:r w:rsidR="000E689E" w:rsidRPr="000E689E">
            <w:rPr>
              <w:rFonts w:ascii="Times New Roman" w:hAnsi="Times New Roman" w:cs="Times New Roman"/>
              <w:color w:val="000000"/>
            </w:rPr>
            <w:t>(Chen et al., 2023; Earp et al., 2018; Gologram et al., 2022; Hung et al., 2019; Kim et al., 2019)</w:t>
          </w:r>
        </w:sdtContent>
      </w:sdt>
      <w:r w:rsidRPr="006C5578">
        <w:rPr>
          <w:rFonts w:ascii="Times New Roman" w:hAnsi="Times New Roman" w:cs="Times New Roman"/>
        </w:rPr>
        <w:t>.</w:t>
      </w:r>
    </w:p>
    <w:p w14:paraId="7BDA4B8F" w14:textId="113651BD" w:rsidR="006C5578" w:rsidRPr="006C5578" w:rsidRDefault="006C5578" w:rsidP="00FF23CF">
      <w:pPr>
        <w:spacing w:after="0" w:line="276" w:lineRule="auto"/>
        <w:ind w:firstLine="630"/>
        <w:jc w:val="both"/>
        <w:rPr>
          <w:rFonts w:ascii="Times New Roman" w:hAnsi="Times New Roman" w:cs="Times New Roman"/>
        </w:rPr>
      </w:pPr>
      <w:r w:rsidRPr="006C5578">
        <w:rPr>
          <w:rFonts w:ascii="Times New Roman" w:hAnsi="Times New Roman" w:cs="Times New Roman"/>
        </w:rPr>
        <w:t xml:space="preserve">The mechanisms underlying these injuries strongly reinforce established surgical safety principles. In particular, the repeated association between blind or clamp-based techniques and glans injury observed in the included studies </w:t>
      </w:r>
      <w:sdt>
        <w:sdtPr>
          <w:rPr>
            <w:rFonts w:ascii="Times New Roman" w:hAnsi="Times New Roman" w:cs="Times New Roman"/>
            <w:color w:val="000000"/>
          </w:rPr>
          <w:tag w:val="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
          <w:id w:val="-1473448605"/>
          <w:placeholder>
            <w:docPart w:val="DefaultPlaceholder_-1854013440"/>
          </w:placeholder>
        </w:sdtPr>
        <w:sdtContent>
          <w:r w:rsidR="000E689E" w:rsidRPr="000E689E">
            <w:rPr>
              <w:rFonts w:ascii="Times New Roman" w:hAnsi="Times New Roman" w:cs="Times New Roman"/>
              <w:color w:val="000000"/>
            </w:rPr>
            <w:t>(Lucas et al., 2020; Satyagraha et al., 2020)</w:t>
          </w:r>
        </w:sdtContent>
      </w:sdt>
      <w:r w:rsidR="0082165E" w:rsidRPr="00FF23CF">
        <w:rPr>
          <w:rFonts w:ascii="Times New Roman" w:hAnsi="Times New Roman" w:cs="Times New Roman"/>
          <w:color w:val="000000"/>
        </w:rPr>
        <w:t xml:space="preserve"> </w:t>
      </w:r>
      <w:r w:rsidRPr="006C5578">
        <w:rPr>
          <w:rFonts w:ascii="Times New Roman" w:hAnsi="Times New Roman" w:cs="Times New Roman"/>
        </w:rPr>
        <w:t xml:space="preserve">supports the well-established concept that failure to adequately visualize critical anatomical structures is a leading cause of iatrogenic injury in surgery </w:t>
      </w:r>
      <w:sdt>
        <w:sdtPr>
          <w:rPr>
            <w:rFonts w:ascii="Times New Roman" w:hAnsi="Times New Roman" w:cs="Times New Roman"/>
            <w:color w:val="000000"/>
          </w:rPr>
          <w:tag w:val="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
          <w:id w:val="242383126"/>
          <w:placeholder>
            <w:docPart w:val="DefaultPlaceholder_-1854013440"/>
          </w:placeholder>
        </w:sdtPr>
        <w:sdtContent>
          <w:r w:rsidR="000E689E" w:rsidRPr="000E689E">
            <w:rPr>
              <w:rFonts w:ascii="Times New Roman" w:eastAsia="Times New Roman" w:hAnsi="Times New Roman" w:cs="Times New Roman"/>
              <w:color w:val="000000"/>
            </w:rPr>
            <w:t>(Aman et al., 2023; Kowalczyk &amp; Majewski, 2021; Vorobev et al., 2021)</w:t>
          </w:r>
        </w:sdtContent>
      </w:sdt>
      <w:r w:rsidRPr="006C5578">
        <w:rPr>
          <w:rFonts w:ascii="Times New Roman" w:hAnsi="Times New Roman" w:cs="Times New Roman"/>
        </w:rPr>
        <w:t>. This suggests that the persistence of such injuries reflects not only technical limitations but also systemic gaps in procedural training and standardization.</w:t>
      </w:r>
    </w:p>
    <w:p w14:paraId="00919ACC" w14:textId="2E04B72F" w:rsidR="006C5578" w:rsidRPr="006C5578" w:rsidRDefault="006C5578" w:rsidP="00FF23CF">
      <w:pPr>
        <w:spacing w:after="0" w:line="276" w:lineRule="auto"/>
        <w:ind w:firstLine="630"/>
        <w:jc w:val="both"/>
        <w:rPr>
          <w:rFonts w:ascii="Times New Roman" w:hAnsi="Times New Roman" w:cs="Times New Roman"/>
        </w:rPr>
      </w:pPr>
      <w:r w:rsidRPr="006C5578">
        <w:rPr>
          <w:rFonts w:ascii="Times New Roman" w:hAnsi="Times New Roman" w:cs="Times New Roman"/>
        </w:rPr>
        <w:lastRenderedPageBreak/>
        <w:t xml:space="preserve">Operator competency emerged as a central determinant of injury risk. A substantial proportion of cases in this review occurred in settings involving untrained or non-specialist providers </w:t>
      </w:r>
      <w:sdt>
        <w:sdtPr>
          <w:rPr>
            <w:rFonts w:ascii="Times New Roman" w:hAnsi="Times New Roman" w:cs="Times New Roman"/>
            <w:color w:val="000000"/>
          </w:rPr>
          <w:tag w:val="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649589184"/>
          <w:placeholder>
            <w:docPart w:val="DefaultPlaceholder_-1854013440"/>
          </w:placeholder>
        </w:sdtPr>
        <w:sdtContent>
          <w:r w:rsidR="000E689E" w:rsidRPr="000E689E">
            <w:rPr>
              <w:rFonts w:ascii="Times New Roman" w:hAnsi="Times New Roman" w:cs="Times New Roman"/>
              <w:color w:val="000000"/>
            </w:rPr>
            <w:t>(Ahmed et al., 2020; Andaloussi et al., 2025; Tanyi et al., 2023)</w:t>
          </w:r>
        </w:sdtContent>
      </w:sdt>
      <w:r w:rsidRPr="006C5578">
        <w:rPr>
          <w:rFonts w:ascii="Times New Roman" w:hAnsi="Times New Roman" w:cs="Times New Roman"/>
        </w:rPr>
        <w:t xml:space="preserve">, consistent with prior evidence demonstrating significantly higher complication rates in circumcisions performed outside specialist care </w:t>
      </w:r>
      <w:sdt>
        <w:sdtPr>
          <w:rPr>
            <w:rFonts w:ascii="Times New Roman" w:hAnsi="Times New Roman" w:cs="Times New Roman"/>
            <w:color w:val="000000"/>
          </w:rPr>
          <w:tag w:val="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
          <w:id w:val="1552355578"/>
          <w:placeholder>
            <w:docPart w:val="DefaultPlaceholder_-1854013440"/>
          </w:placeholder>
        </w:sdtPr>
        <w:sdtContent>
          <w:r w:rsidR="000E689E" w:rsidRPr="000E689E">
            <w:rPr>
              <w:rFonts w:ascii="Times New Roman" w:eastAsia="Times New Roman" w:hAnsi="Times New Roman" w:cs="Times New Roman"/>
              <w:color w:val="000000"/>
            </w:rPr>
            <w:t>(Atikeler et al., 2005; Boakye &amp; Obeng, 2025)</w:t>
          </w:r>
        </w:sdtContent>
      </w:sdt>
      <w:r w:rsidRPr="006C5578">
        <w:rPr>
          <w:rFonts w:ascii="Times New Roman" w:hAnsi="Times New Roman" w:cs="Times New Roman"/>
        </w:rPr>
        <w:t xml:space="preserve">. However, the occurrence of similar complications in formal clinical settings </w:t>
      </w:r>
      <w:sdt>
        <w:sdtPr>
          <w:rPr>
            <w:rFonts w:ascii="Times New Roman" w:hAnsi="Times New Roman" w:cs="Times New Roman"/>
            <w:color w:val="000000"/>
          </w:rPr>
          <w:tag w:val="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185398603"/>
          <w:placeholder>
            <w:docPart w:val="DefaultPlaceholder_-1854013440"/>
          </w:placeholder>
        </w:sdtPr>
        <w:sdtContent>
          <w:r w:rsidR="000E689E" w:rsidRPr="000E689E">
            <w:rPr>
              <w:rFonts w:ascii="Times New Roman" w:hAnsi="Times New Roman" w:cs="Times New Roman"/>
              <w:color w:val="000000"/>
            </w:rPr>
            <w:t>(M. B. I. Hakim et al., 2023; Soltani et al., 2020)</w:t>
          </w:r>
        </w:sdtContent>
      </w:sdt>
      <w:r w:rsidR="0075740A" w:rsidRPr="00FF23CF">
        <w:rPr>
          <w:rFonts w:ascii="Times New Roman" w:hAnsi="Times New Roman" w:cs="Times New Roman"/>
          <w:color w:val="000000"/>
        </w:rPr>
        <w:t xml:space="preserve"> </w:t>
      </w:r>
      <w:r w:rsidRPr="006C5578">
        <w:rPr>
          <w:rFonts w:ascii="Times New Roman" w:hAnsi="Times New Roman" w:cs="Times New Roman"/>
        </w:rPr>
        <w:t>indicates that technical proficiency and adherence to procedural standards are critical irrespective of setting. This finding highlights the need for universal competency-based training and credentialing systems.</w:t>
      </w:r>
    </w:p>
    <w:p w14:paraId="6CEC42AC" w14:textId="201D4E02" w:rsidR="006C5578" w:rsidRPr="006C5578" w:rsidRDefault="006C5578" w:rsidP="00FF23CF">
      <w:pPr>
        <w:spacing w:after="0" w:line="276" w:lineRule="auto"/>
        <w:ind w:firstLine="630"/>
        <w:jc w:val="both"/>
        <w:rPr>
          <w:rFonts w:ascii="Times New Roman" w:hAnsi="Times New Roman" w:cs="Times New Roman"/>
        </w:rPr>
      </w:pPr>
      <w:r w:rsidRPr="006C5578">
        <w:rPr>
          <w:rFonts w:ascii="Times New Roman" w:hAnsi="Times New Roman" w:cs="Times New Roman"/>
        </w:rPr>
        <w:t xml:space="preserve">Thermal injury represents another important mechanism of harm. The association between monopolar electrocautery and glans necrosis observed in both case reports and retrospective analyses </w:t>
      </w:r>
      <w:sdt>
        <w:sdtPr>
          <w:rPr>
            <w:rFonts w:ascii="Times New Roman" w:hAnsi="Times New Roman" w:cs="Times New Roman"/>
            <w:color w:val="000000"/>
          </w:rPr>
          <w:tag w:val="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
          <w:id w:val="-136422673"/>
          <w:placeholder>
            <w:docPart w:val="DefaultPlaceholder_-1854013440"/>
          </w:placeholder>
        </w:sdtPr>
        <w:sdtContent>
          <w:r w:rsidR="000E689E" w:rsidRPr="000E689E">
            <w:rPr>
              <w:rFonts w:ascii="Times New Roman" w:hAnsi="Times New Roman" w:cs="Times New Roman"/>
              <w:color w:val="000000"/>
            </w:rPr>
            <w:t>(Tasci et al., 2020; Uzun et al., 2012)</w:t>
          </w:r>
        </w:sdtContent>
      </w:sdt>
      <w:r w:rsidR="00C32574" w:rsidRPr="00FF23CF">
        <w:rPr>
          <w:rFonts w:ascii="Times New Roman" w:hAnsi="Times New Roman" w:cs="Times New Roman"/>
          <w:color w:val="000000"/>
        </w:rPr>
        <w:t xml:space="preserve"> </w:t>
      </w:r>
      <w:r w:rsidRPr="006C5578">
        <w:rPr>
          <w:rFonts w:ascii="Times New Roman" w:hAnsi="Times New Roman" w:cs="Times New Roman"/>
        </w:rPr>
        <w:t xml:space="preserve">is consistent with experimental and clinical evidence demonstrating the risk of unintended thermal spread in small anatomical structures </w:t>
      </w:r>
      <w:sdt>
        <w:sdtPr>
          <w:rPr>
            <w:rFonts w:ascii="Times New Roman" w:hAnsi="Times New Roman" w:cs="Times New Roman"/>
            <w:color w:val="000000"/>
          </w:rPr>
          <w:tag w:val="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
          <w:id w:val="1519126898"/>
          <w:placeholder>
            <w:docPart w:val="DefaultPlaceholder_-1854013440"/>
          </w:placeholder>
        </w:sdtPr>
        <w:sdtContent>
          <w:r w:rsidR="000E689E" w:rsidRPr="000E689E">
            <w:rPr>
              <w:rFonts w:ascii="Times New Roman" w:hAnsi="Times New Roman" w:cs="Times New Roman"/>
              <w:color w:val="000000"/>
            </w:rPr>
            <w:t>(Kalyenci et al., 2025)</w:t>
          </w:r>
        </w:sdtContent>
      </w:sdt>
      <w:r w:rsidRPr="006C5578">
        <w:rPr>
          <w:rFonts w:ascii="Times New Roman" w:hAnsi="Times New Roman" w:cs="Times New Roman"/>
        </w:rPr>
        <w:t>. These findings support existing recommendations to avoid monopolar cautery in delicate tissues such as the penis.</w:t>
      </w:r>
    </w:p>
    <w:p w14:paraId="3EC6B406" w14:textId="3F6E85F8" w:rsidR="006C5578" w:rsidRPr="006C5578" w:rsidRDefault="006C5578" w:rsidP="00FF23CF">
      <w:pPr>
        <w:spacing w:after="0" w:line="276" w:lineRule="auto"/>
        <w:ind w:firstLine="630"/>
        <w:jc w:val="both"/>
        <w:rPr>
          <w:rFonts w:ascii="Times New Roman" w:hAnsi="Times New Roman" w:cs="Times New Roman"/>
        </w:rPr>
      </w:pPr>
      <w:r w:rsidRPr="006C5578">
        <w:rPr>
          <w:rFonts w:ascii="Times New Roman" w:hAnsi="Times New Roman" w:cs="Times New Roman"/>
        </w:rPr>
        <w:t xml:space="preserve">Vascular compromise also plays a significant role in the pathogenesis of glans ischemia. Evidence from included studies demonstrates that dorsal penile nerve block and local anesthetic use may contribute to ischemic injury </w:t>
      </w:r>
      <w:sdt>
        <w:sdtPr>
          <w:rPr>
            <w:rFonts w:ascii="Times New Roman" w:hAnsi="Times New Roman" w:cs="Times New Roman"/>
            <w:color w:val="000000"/>
          </w:rPr>
          <w:tag w:val="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
          <w:id w:val="625125469"/>
          <w:placeholder>
            <w:docPart w:val="DefaultPlaceholder_-1854013440"/>
          </w:placeholder>
        </w:sdtPr>
        <w:sdtContent>
          <w:r w:rsidR="000E689E" w:rsidRPr="000E689E">
            <w:rPr>
              <w:rFonts w:ascii="Times New Roman" w:eastAsia="Times New Roman" w:hAnsi="Times New Roman" w:cs="Times New Roman"/>
              <w:color w:val="000000"/>
            </w:rPr>
            <w:t>(Garrido-Abad &amp; Suarez-Fonseca, 2015; Pepe et al., 2015)</w:t>
          </w:r>
        </w:sdtContent>
      </w:sdt>
      <w:r w:rsidRPr="006C5578">
        <w:rPr>
          <w:rFonts w:ascii="Times New Roman" w:hAnsi="Times New Roman" w:cs="Times New Roman"/>
        </w:rPr>
        <w:t xml:space="preserve">, which is consistent with previous reports describing vasospasm and reduced tissue perfusion following local anesthesia </w:t>
      </w:r>
      <w:sdt>
        <w:sdtPr>
          <w:rPr>
            <w:rFonts w:ascii="Times New Roman" w:hAnsi="Times New Roman" w:cs="Times New Roman"/>
            <w:color w:val="000000"/>
          </w:rPr>
          <w:tag w:val="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
          <w:id w:val="1993679513"/>
          <w:placeholder>
            <w:docPart w:val="DefaultPlaceholder_-1854013440"/>
          </w:placeholder>
        </w:sdtPr>
        <w:sdtContent>
          <w:r w:rsidR="000E689E" w:rsidRPr="000E689E">
            <w:rPr>
              <w:rFonts w:ascii="Times New Roman" w:hAnsi="Times New Roman" w:cs="Times New Roman"/>
              <w:color w:val="000000"/>
            </w:rPr>
            <w:t>(Harris et al., 2025; Smith et al., 2022)</w:t>
          </w:r>
        </w:sdtContent>
      </w:sdt>
      <w:r w:rsidRPr="006C5578">
        <w:rPr>
          <w:rFonts w:ascii="Times New Roman" w:hAnsi="Times New Roman" w:cs="Times New Roman"/>
        </w:rPr>
        <w:t xml:space="preserve">. Additional factors such as infection and compressive dressings further contribute to tissue compromise, reinforcing the multifactorial nature of these injuries </w:t>
      </w:r>
      <w:sdt>
        <w:sdtPr>
          <w:rPr>
            <w:rFonts w:ascii="Times New Roman" w:hAnsi="Times New Roman" w:cs="Times New Roman"/>
            <w:color w:val="000000"/>
          </w:rPr>
          <w:tag w:val="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380012761"/>
          <w:placeholder>
            <w:docPart w:val="DefaultPlaceholder_-1854013440"/>
          </w:placeholder>
        </w:sdtPr>
        <w:sdtContent>
          <w:r w:rsidR="000E689E" w:rsidRPr="000E689E">
            <w:rPr>
              <w:rFonts w:ascii="Times New Roman" w:hAnsi="Times New Roman" w:cs="Times New Roman"/>
              <w:color w:val="000000"/>
            </w:rPr>
            <w:t>(Tasci et al., 2020)</w:t>
          </w:r>
        </w:sdtContent>
      </w:sdt>
      <w:r w:rsidRPr="006C5578">
        <w:rPr>
          <w:rFonts w:ascii="Times New Roman" w:hAnsi="Times New Roman" w:cs="Times New Roman"/>
        </w:rPr>
        <w:t>.</w:t>
      </w:r>
    </w:p>
    <w:p w14:paraId="67F53301" w14:textId="2AEA65A1" w:rsidR="006C5578" w:rsidRPr="006C5578" w:rsidRDefault="006C5578" w:rsidP="00FF23CF">
      <w:pPr>
        <w:spacing w:after="0" w:line="276" w:lineRule="auto"/>
        <w:ind w:firstLine="630"/>
        <w:jc w:val="both"/>
        <w:rPr>
          <w:rFonts w:ascii="Times New Roman" w:hAnsi="Times New Roman" w:cs="Times New Roman"/>
        </w:rPr>
      </w:pPr>
      <w:r w:rsidRPr="006C5578">
        <w:rPr>
          <w:rFonts w:ascii="Times New Roman" w:hAnsi="Times New Roman" w:cs="Times New Roman"/>
        </w:rPr>
        <w:t xml:space="preserve">From a management perspective, the findings of this review are consistent with established reconstructive principles. Early replantation was associated with more favorable outcomes in several included cases </w:t>
      </w:r>
      <w:sdt>
        <w:sdtPr>
          <w:rPr>
            <w:rFonts w:ascii="Times New Roman" w:hAnsi="Times New Roman" w:cs="Times New Roman"/>
            <w:color w:val="000000"/>
          </w:rPr>
          <w:tag w:val="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223209911"/>
          <w:placeholder>
            <w:docPart w:val="DefaultPlaceholder_-1854013440"/>
          </w:placeholder>
        </w:sdtPr>
        <w:sdtContent>
          <w:r w:rsidR="000E689E" w:rsidRPr="000E689E">
            <w:rPr>
              <w:rFonts w:ascii="Times New Roman" w:hAnsi="Times New Roman" w:cs="Times New Roman"/>
              <w:color w:val="000000"/>
            </w:rPr>
            <w:t>(Banihani et al., 2014; Soltani et al., 2020)</w:t>
          </w:r>
        </w:sdtContent>
      </w:sdt>
      <w:r w:rsidRPr="006C5578">
        <w:rPr>
          <w:rFonts w:ascii="Times New Roman" w:hAnsi="Times New Roman" w:cs="Times New Roman"/>
        </w:rPr>
        <w:t xml:space="preserve">, in line with microsurgical literature emphasizing the importance of ischemic time and tissue preservation </w:t>
      </w:r>
      <w:sdt>
        <w:sdtPr>
          <w:rPr>
            <w:rFonts w:ascii="Times New Roman" w:hAnsi="Times New Roman" w:cs="Times New Roman"/>
            <w:color w:val="000000"/>
          </w:rPr>
          <w:tag w:val="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
          <w:id w:val="829714255"/>
          <w:placeholder>
            <w:docPart w:val="DefaultPlaceholder_-1854013440"/>
          </w:placeholder>
        </w:sdtPr>
        <w:sdtContent>
          <w:r w:rsidR="000E689E" w:rsidRPr="000E689E">
            <w:rPr>
              <w:rFonts w:ascii="Times New Roman" w:eastAsia="Times New Roman" w:hAnsi="Times New Roman" w:cs="Times New Roman"/>
              <w:color w:val="000000"/>
            </w:rPr>
            <w:t>(Arbel et al., 2025; De &amp; Dawar, 2022; Liu et al., 2025)</w:t>
          </w:r>
        </w:sdtContent>
      </w:sdt>
      <w:r w:rsidRPr="006C5578">
        <w:rPr>
          <w:rFonts w:ascii="Times New Roman" w:hAnsi="Times New Roman" w:cs="Times New Roman"/>
        </w:rPr>
        <w:t xml:space="preserve">. However, outcomes varied widely, particularly in resource-limited settings where microsurgical expertise is not available </w:t>
      </w:r>
      <w:sdt>
        <w:sdtPr>
          <w:rPr>
            <w:rFonts w:ascii="Times New Roman" w:hAnsi="Times New Roman" w:cs="Times New Roman"/>
            <w:color w:val="000000"/>
          </w:rPr>
          <w:tag w:val="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849877260"/>
          <w:placeholder>
            <w:docPart w:val="DefaultPlaceholder_-1854013440"/>
          </w:placeholder>
        </w:sdtPr>
        <w:sdtContent>
          <w:r w:rsidR="000E689E" w:rsidRPr="000E689E">
            <w:rPr>
              <w:rFonts w:ascii="Times New Roman" w:hAnsi="Times New Roman" w:cs="Times New Roman"/>
              <w:color w:val="000000"/>
            </w:rPr>
            <w:t>(Tanyi et al., 2023)</w:t>
          </w:r>
        </w:sdtContent>
      </w:sdt>
      <w:r w:rsidRPr="006C5578">
        <w:rPr>
          <w:rFonts w:ascii="Times New Roman" w:hAnsi="Times New Roman" w:cs="Times New Roman"/>
        </w:rPr>
        <w:t xml:space="preserve">. Long-term complications, including penile deformity and urethral strictures, were frequently reported in retrospective analyses </w:t>
      </w:r>
      <w:sdt>
        <w:sdtPr>
          <w:rPr>
            <w:rFonts w:ascii="Times New Roman" w:hAnsi="Times New Roman" w:cs="Times New Roman"/>
            <w:color w:val="000000"/>
          </w:rPr>
          <w:tag w:val="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2040543261"/>
          <w:placeholder>
            <w:docPart w:val="DefaultPlaceholder_-1854013440"/>
          </w:placeholder>
        </w:sdtPr>
        <w:sdtContent>
          <w:r w:rsidR="000E689E" w:rsidRPr="000E689E">
            <w:rPr>
              <w:rFonts w:ascii="Times New Roman" w:hAnsi="Times New Roman" w:cs="Times New Roman"/>
              <w:color w:val="000000"/>
            </w:rPr>
            <w:t>(Tasci et al., 2020)</w:t>
          </w:r>
        </w:sdtContent>
      </w:sdt>
      <w:r w:rsidRPr="006C5578">
        <w:rPr>
          <w:rFonts w:ascii="Times New Roman" w:hAnsi="Times New Roman" w:cs="Times New Roman"/>
        </w:rPr>
        <w:t>, highlighting the enduring impact of these injuries.</w:t>
      </w:r>
    </w:p>
    <w:p w14:paraId="44B28BA0" w14:textId="337D651D" w:rsidR="006C5578" w:rsidRPr="006C5578" w:rsidRDefault="006C5578" w:rsidP="00FF23CF">
      <w:pPr>
        <w:spacing w:after="0" w:line="276" w:lineRule="auto"/>
        <w:ind w:firstLine="630"/>
        <w:jc w:val="both"/>
        <w:rPr>
          <w:rFonts w:ascii="Times New Roman" w:hAnsi="Times New Roman" w:cs="Times New Roman"/>
        </w:rPr>
      </w:pPr>
      <w:r w:rsidRPr="006C5578">
        <w:rPr>
          <w:rFonts w:ascii="Times New Roman" w:hAnsi="Times New Roman" w:cs="Times New Roman"/>
        </w:rPr>
        <w:t xml:space="preserve">Beyond clinical outcomes, this review underscores the significant medicolegal implications of circumcision-related injury. The forensic analysis of penile necrosis cases demonstrated that such complications are frequently subject to malpractice investigation </w:t>
      </w:r>
      <w:sdt>
        <w:sdtPr>
          <w:rPr>
            <w:rFonts w:ascii="Times New Roman" w:hAnsi="Times New Roman" w:cs="Times New Roman"/>
            <w:color w:val="000000"/>
          </w:rPr>
          <w:tag w:val="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145471900"/>
          <w:placeholder>
            <w:docPart w:val="DefaultPlaceholder_-1854013440"/>
          </w:placeholder>
        </w:sdtPr>
        <w:sdtContent>
          <w:r w:rsidR="000E689E" w:rsidRPr="000E689E">
            <w:rPr>
              <w:rFonts w:ascii="Times New Roman" w:hAnsi="Times New Roman" w:cs="Times New Roman"/>
              <w:color w:val="000000"/>
            </w:rPr>
            <w:t>(Tasci et al., 2020)</w:t>
          </w:r>
        </w:sdtContent>
      </w:sdt>
      <w:r w:rsidRPr="006C5578">
        <w:rPr>
          <w:rFonts w:ascii="Times New Roman" w:hAnsi="Times New Roman" w:cs="Times New Roman"/>
        </w:rPr>
        <w:t xml:space="preserve">, while legal studies consistently identify inadequate training, improper technique, and failure to obtain informed consent as major contributors to liability </w:t>
      </w:r>
      <w:sdt>
        <w:sdtPr>
          <w:rPr>
            <w:rFonts w:ascii="Times New Roman" w:hAnsi="Times New Roman" w:cs="Times New Roman"/>
            <w:color w:val="000000"/>
          </w:rPr>
          <w:tag w:val="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201509411"/>
          <w:placeholder>
            <w:docPart w:val="DefaultPlaceholder_-1854013440"/>
          </w:placeholder>
        </w:sdtPr>
        <w:sdtContent>
          <w:r w:rsidR="000E689E" w:rsidRPr="000E689E">
            <w:rPr>
              <w:rFonts w:ascii="Times New Roman" w:eastAsia="Times New Roman" w:hAnsi="Times New Roman" w:cs="Times New Roman"/>
              <w:color w:val="000000"/>
            </w:rPr>
            <w:t>(Nurhayani et al., 2021; Pane &amp; Suminar, 2023; Sahari, 2022)</w:t>
          </w:r>
        </w:sdtContent>
      </w:sdt>
      <w:r w:rsidRPr="006C5578">
        <w:rPr>
          <w:rFonts w:ascii="Times New Roman" w:hAnsi="Times New Roman" w:cs="Times New Roman"/>
        </w:rPr>
        <w:t xml:space="preserve">. These findings are consistent with broader malpractice literature indicating that preventable surgical errors represent a major source of legal claims </w:t>
      </w:r>
      <w:sdt>
        <w:sdtPr>
          <w:rPr>
            <w:rFonts w:ascii="Times New Roman" w:hAnsi="Times New Roman" w:cs="Times New Roman"/>
            <w:color w:val="000000"/>
          </w:rPr>
          <w:tag w:val="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
          <w:id w:val="-863597771"/>
          <w:placeholder>
            <w:docPart w:val="DefaultPlaceholder_-1854013440"/>
          </w:placeholder>
        </w:sdtPr>
        <w:sdtContent>
          <w:r w:rsidR="000E689E" w:rsidRPr="000E689E">
            <w:rPr>
              <w:rFonts w:ascii="Times New Roman" w:hAnsi="Times New Roman" w:cs="Times New Roman"/>
              <w:color w:val="000000"/>
            </w:rPr>
            <w:t>(Kulkarni et al., 2025; B. Morris et al., 2024; Nergül et al., 2026)</w:t>
          </w:r>
        </w:sdtContent>
      </w:sdt>
      <w:r w:rsidRPr="006C5578">
        <w:rPr>
          <w:rFonts w:ascii="Times New Roman" w:hAnsi="Times New Roman" w:cs="Times New Roman"/>
        </w:rPr>
        <w:t>.</w:t>
      </w:r>
    </w:p>
    <w:p w14:paraId="10A33FEF" w14:textId="1356B8A2" w:rsidR="006C5578" w:rsidRPr="006C5578" w:rsidRDefault="006C5578" w:rsidP="00FF23CF">
      <w:pPr>
        <w:spacing w:after="0" w:line="276" w:lineRule="auto"/>
        <w:ind w:firstLine="630"/>
        <w:jc w:val="both"/>
        <w:rPr>
          <w:rFonts w:ascii="Times New Roman" w:hAnsi="Times New Roman" w:cs="Times New Roman"/>
        </w:rPr>
      </w:pPr>
      <w:r w:rsidRPr="006C5578">
        <w:rPr>
          <w:rFonts w:ascii="Times New Roman" w:hAnsi="Times New Roman" w:cs="Times New Roman"/>
        </w:rPr>
        <w:t xml:space="preserve">Importantly, medicolegal risk is not limited to specific contexts. Evidence from litigation analyses suggests that circumcision-related injuries may lead to legal action even in well-regulated </w:t>
      </w:r>
      <w:r w:rsidRPr="006C5578">
        <w:rPr>
          <w:rFonts w:ascii="Times New Roman" w:hAnsi="Times New Roman" w:cs="Times New Roman"/>
        </w:rPr>
        <w:lastRenderedPageBreak/>
        <w:t xml:space="preserve">healthcare systems </w:t>
      </w:r>
      <w:sdt>
        <w:sdtPr>
          <w:rPr>
            <w:rFonts w:ascii="Times New Roman" w:hAnsi="Times New Roman" w:cs="Times New Roman"/>
            <w:color w:val="000000"/>
          </w:rPr>
          <w:tag w:val="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02913193"/>
          <w:placeholder>
            <w:docPart w:val="DefaultPlaceholder_-1854013440"/>
          </w:placeholder>
        </w:sdtPr>
        <w:sdtContent>
          <w:r w:rsidR="000E689E" w:rsidRPr="000E689E">
            <w:rPr>
              <w:rFonts w:ascii="Times New Roman" w:hAnsi="Times New Roman" w:cs="Times New Roman"/>
              <w:color w:val="000000"/>
            </w:rPr>
            <w:t>(Li et al., 2022)</w:t>
          </w:r>
        </w:sdtContent>
      </w:sdt>
      <w:r w:rsidRPr="006C5578">
        <w:rPr>
          <w:rFonts w:ascii="Times New Roman" w:hAnsi="Times New Roman" w:cs="Times New Roman"/>
        </w:rPr>
        <w:t xml:space="preserve">, reinforcing the universal importance of adherence to procedural standards and patient safety principles </w:t>
      </w:r>
      <w:sdt>
        <w:sdtPr>
          <w:rPr>
            <w:rFonts w:ascii="Times New Roman" w:hAnsi="Times New Roman" w:cs="Times New Roman"/>
            <w:color w:val="000000"/>
          </w:rPr>
          <w:tag w:val="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
          <w:id w:val="231045391"/>
          <w:placeholder>
            <w:docPart w:val="DefaultPlaceholder_-1854013440"/>
          </w:placeholder>
        </w:sdtPr>
        <w:sdtContent>
          <w:r w:rsidR="000E689E" w:rsidRPr="000E689E">
            <w:rPr>
              <w:rFonts w:ascii="Times New Roman" w:hAnsi="Times New Roman" w:cs="Times New Roman"/>
              <w:color w:val="000000"/>
            </w:rPr>
            <w:t>(Emond et al., 2022; Labrague, 2024)</w:t>
          </w:r>
        </w:sdtContent>
      </w:sdt>
      <w:r w:rsidRPr="006C5578">
        <w:rPr>
          <w:rFonts w:ascii="Times New Roman" w:hAnsi="Times New Roman" w:cs="Times New Roman"/>
        </w:rPr>
        <w:t>.</w:t>
      </w:r>
    </w:p>
    <w:p w14:paraId="61D88040" w14:textId="427C7D79" w:rsidR="006C5578" w:rsidRPr="006C5578" w:rsidRDefault="006C5578" w:rsidP="00FF23CF">
      <w:pPr>
        <w:spacing w:after="0" w:line="276" w:lineRule="auto"/>
        <w:ind w:firstLine="630"/>
        <w:jc w:val="both"/>
        <w:rPr>
          <w:rFonts w:ascii="Times New Roman" w:hAnsi="Times New Roman" w:cs="Times New Roman"/>
        </w:rPr>
      </w:pPr>
      <w:r w:rsidRPr="006C5578">
        <w:rPr>
          <w:rFonts w:ascii="Times New Roman" w:hAnsi="Times New Roman" w:cs="Times New Roman"/>
        </w:rPr>
        <w:t xml:space="preserve">Taken together, the findings of this review support a unifying conceptual framework in which iatrogenic glans injury arises from the interaction of procedural technique, operator competency, anatomical vulnerability, and perioperative management. This framework is consistent with broader models of surgical error that emphasize the role of human factors and system-level influences </w:t>
      </w:r>
      <w:sdt>
        <w:sdtPr>
          <w:rPr>
            <w:rFonts w:ascii="Times New Roman" w:hAnsi="Times New Roman" w:cs="Times New Roman"/>
            <w:color w:val="000000"/>
          </w:rPr>
          <w:tag w:val="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
          <w:id w:val="-707718106"/>
          <w:placeholder>
            <w:docPart w:val="DefaultPlaceholder_-1854013440"/>
          </w:placeholder>
        </w:sdtPr>
        <w:sdtContent>
          <w:r w:rsidR="000E689E" w:rsidRPr="000E689E">
            <w:rPr>
              <w:rFonts w:ascii="Times New Roman" w:hAnsi="Times New Roman" w:cs="Times New Roman"/>
              <w:color w:val="000000"/>
            </w:rPr>
            <w:t>(Yu et al., 2022)</w:t>
          </w:r>
        </w:sdtContent>
      </w:sdt>
      <w:r w:rsidRPr="006C5578">
        <w:rPr>
          <w:rFonts w:ascii="Times New Roman" w:hAnsi="Times New Roman" w:cs="Times New Roman"/>
        </w:rPr>
        <w:t>. Within this context, most injuries appear to be preventable, highlighting the need for targeted interventions, including structured training programs, stricter regulation, and improved procedural standardization.</w:t>
      </w:r>
    </w:p>
    <w:p w14:paraId="49BCFB94" w14:textId="77777777" w:rsidR="006C5578" w:rsidRPr="006C5578" w:rsidRDefault="006C5578" w:rsidP="00FF23CF">
      <w:pPr>
        <w:spacing w:after="0" w:line="276" w:lineRule="auto"/>
        <w:ind w:firstLine="630"/>
        <w:jc w:val="both"/>
        <w:rPr>
          <w:rFonts w:ascii="Times New Roman" w:hAnsi="Times New Roman" w:cs="Times New Roman"/>
        </w:rPr>
      </w:pPr>
      <w:r w:rsidRPr="006C5578">
        <w:rPr>
          <w:rFonts w:ascii="Times New Roman" w:hAnsi="Times New Roman" w:cs="Times New Roman"/>
        </w:rPr>
        <w:t>Despite its strengths, this review has several limitations. The reliance on case reports and case series may introduce reporting bias, and the absence of prospective data limits the ability to estimate incidence or risk. Additionally, heterogeneity in reporting and medicolegal frameworks may affect comparability. Nevertheless, the consistency of findings across included studies strengthens the validity of the conclusions.</w:t>
      </w:r>
    </w:p>
    <w:p w14:paraId="720C3EEB" w14:textId="093F8E77" w:rsidR="006C5578" w:rsidRDefault="006C5578" w:rsidP="00FF23CF">
      <w:pPr>
        <w:spacing w:after="0" w:line="276" w:lineRule="auto"/>
        <w:ind w:firstLine="630"/>
        <w:jc w:val="both"/>
        <w:rPr>
          <w:rFonts w:ascii="Times New Roman" w:hAnsi="Times New Roman" w:cs="Times New Roman"/>
        </w:rPr>
      </w:pPr>
      <w:r w:rsidRPr="006C5578">
        <w:rPr>
          <w:rFonts w:ascii="Times New Roman" w:hAnsi="Times New Roman" w:cs="Times New Roman"/>
        </w:rPr>
        <w:t xml:space="preserve">Future research should focus on prospective surveillance, standardized reporting systems, and evaluation of preventive strategies. Further investigation into long-term functional and psychological outcomes is also warranted, as these remain underreported in the current literature </w:t>
      </w:r>
      <w:sdt>
        <w:sdtPr>
          <w:rPr>
            <w:rFonts w:ascii="Times New Roman" w:hAnsi="Times New Roman" w:cs="Times New Roman"/>
            <w:color w:val="000000"/>
          </w:rPr>
          <w:tag w:val="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
          <w:id w:val="1442182395"/>
          <w:placeholder>
            <w:docPart w:val="DefaultPlaceholder_-1854013440"/>
          </w:placeholder>
        </w:sdtPr>
        <w:sdtContent>
          <w:r w:rsidR="000E689E" w:rsidRPr="000E689E">
            <w:rPr>
              <w:rFonts w:ascii="Times New Roman" w:eastAsia="Times New Roman" w:hAnsi="Times New Roman" w:cs="Times New Roman"/>
              <w:color w:val="000000"/>
            </w:rPr>
            <w:t>(Tye &amp; Sardi, 2023)</w:t>
          </w:r>
        </w:sdtContent>
      </w:sdt>
      <w:r w:rsidRPr="006C5578">
        <w:rPr>
          <w:rFonts w:ascii="Times New Roman" w:hAnsi="Times New Roman" w:cs="Times New Roman"/>
        </w:rPr>
        <w:t>.</w:t>
      </w:r>
    </w:p>
    <w:p w14:paraId="69EB47D1" w14:textId="77777777" w:rsidR="004E7B29" w:rsidRDefault="004E7B29" w:rsidP="004E7B29">
      <w:pPr>
        <w:spacing w:after="0" w:line="276" w:lineRule="auto"/>
        <w:jc w:val="both"/>
        <w:rPr>
          <w:rFonts w:ascii="Times New Roman" w:hAnsi="Times New Roman" w:cs="Times New Roman"/>
        </w:rPr>
      </w:pPr>
    </w:p>
    <w:p w14:paraId="1B318701" w14:textId="4A2484A3" w:rsidR="004E7B29" w:rsidRDefault="004E7B29" w:rsidP="004E7B29">
      <w:pPr>
        <w:spacing w:after="0" w:line="276" w:lineRule="auto"/>
        <w:jc w:val="both"/>
        <w:rPr>
          <w:rFonts w:ascii="Times New Roman" w:hAnsi="Times New Roman" w:cs="Times New Roman"/>
          <w:b/>
          <w:bCs/>
        </w:rPr>
      </w:pPr>
      <w:r w:rsidRPr="004E7B29">
        <w:rPr>
          <w:rFonts w:ascii="Times New Roman" w:hAnsi="Times New Roman" w:cs="Times New Roman"/>
          <w:b/>
          <w:bCs/>
        </w:rPr>
        <w:t>CONCLUSION</w:t>
      </w:r>
    </w:p>
    <w:p w14:paraId="02379EB7" w14:textId="77777777" w:rsidR="00B94E52" w:rsidRPr="00B94E52" w:rsidRDefault="00B94E52" w:rsidP="00B94E52">
      <w:pPr>
        <w:spacing w:after="0" w:line="276" w:lineRule="auto"/>
        <w:ind w:firstLine="630"/>
        <w:jc w:val="both"/>
        <w:rPr>
          <w:rFonts w:ascii="Times New Roman" w:hAnsi="Times New Roman" w:cs="Times New Roman"/>
        </w:rPr>
      </w:pPr>
      <w:r w:rsidRPr="00B94E52">
        <w:rPr>
          <w:rFonts w:ascii="Times New Roman" w:hAnsi="Times New Roman" w:cs="Times New Roman"/>
        </w:rPr>
        <w:t>Iatrogenic injury to the glans penis during circumcision represents a rare but severe and consistently preventable complication with significant clinical and medicolegal implications. This systematic review demonstrates that the clinical spectrum ranges from reversible ischemia to catastrophic outcomes such as partial or complete glans and penile amputation, reflecting both mechanical and vascular pathways of injury.</w:t>
      </w:r>
    </w:p>
    <w:p w14:paraId="198DDDC3" w14:textId="77777777" w:rsidR="00B94E52" w:rsidRPr="00B94E52" w:rsidRDefault="00B94E52" w:rsidP="00B94E52">
      <w:pPr>
        <w:spacing w:after="0" w:line="276" w:lineRule="auto"/>
        <w:ind w:firstLine="630"/>
        <w:jc w:val="both"/>
        <w:rPr>
          <w:rFonts w:ascii="Times New Roman" w:hAnsi="Times New Roman" w:cs="Times New Roman"/>
        </w:rPr>
      </w:pPr>
      <w:r w:rsidRPr="00B94E52">
        <w:rPr>
          <w:rFonts w:ascii="Times New Roman" w:hAnsi="Times New Roman" w:cs="Times New Roman"/>
        </w:rPr>
        <w:t>The findings identify inadequate glans visualization, unsafe or blind surgical techniques, inappropriate use of devices, and insufficient operator competency as the principal mechanisms and risk factors underlying these injuries. Notably, such complications occur across both traditional and formal healthcare settings, indicating that procedural safety is determined more by technical proficiency and adherence to standards than by setting alone.</w:t>
      </w:r>
    </w:p>
    <w:p w14:paraId="651D511C" w14:textId="77777777" w:rsidR="00B94E52" w:rsidRPr="00B94E52" w:rsidRDefault="00B94E52" w:rsidP="00B94E52">
      <w:pPr>
        <w:spacing w:after="0" w:line="276" w:lineRule="auto"/>
        <w:ind w:firstLine="630"/>
        <w:jc w:val="both"/>
        <w:rPr>
          <w:rFonts w:ascii="Times New Roman" w:hAnsi="Times New Roman" w:cs="Times New Roman"/>
        </w:rPr>
      </w:pPr>
      <w:r w:rsidRPr="00B94E52">
        <w:rPr>
          <w:rFonts w:ascii="Times New Roman" w:hAnsi="Times New Roman" w:cs="Times New Roman"/>
        </w:rPr>
        <w:t>Importantly, many of these injuries arise from identifiable and avoidable errors, placing them within the domain of preventable iatrogenic harm and potential medical negligence. The integration of clinical and medicolegal evidence highlights that failure to ensure proper training, technique selection, and informed consent not only compromises patient safety but also increases legal liability.</w:t>
      </w:r>
    </w:p>
    <w:p w14:paraId="0C77AB56" w14:textId="715F282C" w:rsidR="00FA7739" w:rsidRPr="006C5578" w:rsidRDefault="00B94E52" w:rsidP="00B94E52">
      <w:pPr>
        <w:spacing w:after="0" w:line="276" w:lineRule="auto"/>
        <w:ind w:firstLine="630"/>
        <w:jc w:val="both"/>
      </w:pPr>
      <w:r w:rsidRPr="00B94E52">
        <w:rPr>
          <w:rFonts w:ascii="Times New Roman" w:hAnsi="Times New Roman" w:cs="Times New Roman"/>
        </w:rPr>
        <w:t>Taken together, these findings support a unified framework in which iatrogenic glans injury during circumcision is driven by the interaction of procedural, operator, anatomical, and system-level factors. Strengthening training, enforcing scope-of-practice regulations, standardizing techniques, and prioritizing anatomical safety are therefore essential strategies to reduce both clinical complications and medicolegal risk.</w:t>
      </w:r>
    </w:p>
    <w:p w14:paraId="64CFD765" w14:textId="540F6914" w:rsidR="009E6DF1" w:rsidRDefault="006843C0" w:rsidP="0065179B">
      <w:pPr>
        <w:rPr>
          <w:rFonts w:ascii="Times New Roman" w:hAnsi="Times New Roman" w:cs="Times New Roman"/>
          <w:b/>
          <w:bCs/>
        </w:rPr>
      </w:pPr>
      <w:r w:rsidRPr="006843C0">
        <w:rPr>
          <w:rFonts w:ascii="Times New Roman" w:hAnsi="Times New Roman" w:cs="Times New Roman"/>
          <w:b/>
          <w:bCs/>
        </w:rPr>
        <w:lastRenderedPageBreak/>
        <w:t>REFERENCES</w:t>
      </w:r>
    </w:p>
    <w:sdt>
      <w:sdtPr>
        <w:rPr>
          <w:rFonts w:ascii="Times New Roman" w:hAnsi="Times New Roman" w:cs="Times New Roman"/>
          <w:color w:val="000000"/>
        </w:rPr>
        <w:tag w:val="MENDELEY_BIBLIOGRAPHY"/>
        <w:id w:val="1960525933"/>
        <w:placeholder>
          <w:docPart w:val="DefaultPlaceholder_-1854013440"/>
        </w:placeholder>
      </w:sdtPr>
      <w:sdtContent>
        <w:p w14:paraId="2128CCDD" w14:textId="77777777" w:rsidR="006843C0" w:rsidRPr="00FE0907" w:rsidRDefault="006843C0" w:rsidP="00FE0907">
          <w:pPr>
            <w:autoSpaceDE w:val="0"/>
            <w:autoSpaceDN w:val="0"/>
            <w:spacing w:after="0" w:line="240" w:lineRule="auto"/>
            <w:ind w:hanging="480"/>
            <w:jc w:val="both"/>
            <w:divId w:val="1391877834"/>
            <w:rPr>
              <w:rFonts w:ascii="Times New Roman" w:eastAsia="Times New Roman" w:hAnsi="Times New Roman" w:cs="Times New Roman"/>
              <w:color w:val="000000"/>
              <w:kern w:val="0"/>
              <w14:ligatures w14:val="none"/>
            </w:rPr>
          </w:pPr>
          <w:r w:rsidRPr="00FE0907">
            <w:rPr>
              <w:rFonts w:ascii="Times New Roman" w:eastAsia="Times New Roman" w:hAnsi="Times New Roman" w:cs="Times New Roman"/>
              <w:color w:val="000000"/>
            </w:rPr>
            <w:t xml:space="preserve">Adler, P. W. (2016). The Draft cdc Circumcision Recommendations: Medical, Ethical, Legal, and Procedural Concerns. </w:t>
          </w:r>
          <w:r w:rsidRPr="00FE0907">
            <w:rPr>
              <w:rFonts w:ascii="Times New Roman" w:eastAsia="Times New Roman" w:hAnsi="Times New Roman" w:cs="Times New Roman"/>
              <w:i/>
              <w:iCs/>
              <w:color w:val="000000"/>
            </w:rPr>
            <w:t>The International Journal of Children’s Rights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24</w:t>
          </w:r>
          <w:r w:rsidRPr="00FE0907">
            <w:rPr>
              <w:rFonts w:ascii="Times New Roman" w:eastAsia="Times New Roman" w:hAnsi="Times New Roman" w:cs="Times New Roman"/>
              <w:color w:val="000000"/>
            </w:rPr>
            <w:t>(2), 239–264. https://doi.org/https://doi.org/10.1163/15718182-02402001</w:t>
          </w:r>
        </w:p>
        <w:p w14:paraId="3548031E" w14:textId="77777777" w:rsidR="006843C0" w:rsidRPr="00FE0907" w:rsidRDefault="006843C0" w:rsidP="00FE0907">
          <w:pPr>
            <w:autoSpaceDE w:val="0"/>
            <w:autoSpaceDN w:val="0"/>
            <w:spacing w:after="0" w:line="240" w:lineRule="auto"/>
            <w:ind w:hanging="480"/>
            <w:jc w:val="both"/>
            <w:divId w:val="290089962"/>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Ahmed, F., Al-Wageeh, S., Al-Shami, E., Al-Naggar, K., Askarpour, M. R., &amp; Naji, M. (2020). Penile Injury During Ritual Circumcision. </w:t>
          </w:r>
          <w:r w:rsidRPr="00FE0907">
            <w:rPr>
              <w:rFonts w:ascii="Times New Roman" w:eastAsia="Times New Roman" w:hAnsi="Times New Roman" w:cs="Times New Roman"/>
              <w:i/>
              <w:iCs/>
              <w:color w:val="000000"/>
            </w:rPr>
            <w:t>Research and Reports in Neonatology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Volume 10</w:t>
          </w:r>
          <w:r w:rsidRPr="00FE0907">
            <w:rPr>
              <w:rFonts w:ascii="Times New Roman" w:eastAsia="Times New Roman" w:hAnsi="Times New Roman" w:cs="Times New Roman"/>
              <w:color w:val="000000"/>
            </w:rPr>
            <w:t>, 95–99. https://doi.org/10.2147/rrn.s281896</w:t>
          </w:r>
        </w:p>
        <w:p w14:paraId="26AC5EA8" w14:textId="77777777" w:rsidR="006843C0" w:rsidRPr="00FE0907" w:rsidRDefault="006843C0" w:rsidP="00FE0907">
          <w:pPr>
            <w:autoSpaceDE w:val="0"/>
            <w:autoSpaceDN w:val="0"/>
            <w:spacing w:after="0" w:line="240" w:lineRule="auto"/>
            <w:ind w:hanging="480"/>
            <w:jc w:val="both"/>
            <w:divId w:val="1323655364"/>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Akakpo-Numado, K. G., Kouevi-Koko, T. E., Amouzou, K. S., Dare, S., Edoh-Bedi, L., &amp; Tengue, K. (2021). Glans replantation after a penile traumatic amputation during circumcision. </w:t>
          </w:r>
          <w:r w:rsidRPr="00FE0907">
            <w:rPr>
              <w:rFonts w:ascii="Times New Roman" w:eastAsia="Times New Roman" w:hAnsi="Times New Roman" w:cs="Times New Roman"/>
              <w:i/>
              <w:iCs/>
              <w:color w:val="000000"/>
            </w:rPr>
            <w:t>Journal of Pediatric Surgery Case Reports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75</w:t>
          </w:r>
          <w:r w:rsidRPr="00FE0907">
            <w:rPr>
              <w:rFonts w:ascii="Times New Roman" w:eastAsia="Times New Roman" w:hAnsi="Times New Roman" w:cs="Times New Roman"/>
              <w:color w:val="000000"/>
            </w:rPr>
            <w:t>. https://doi.org/10.1016/j.epsc.2021.102100</w:t>
          </w:r>
        </w:p>
        <w:p w14:paraId="3DB814D2" w14:textId="77777777" w:rsidR="006843C0" w:rsidRPr="00FE0907" w:rsidRDefault="006843C0" w:rsidP="00FE0907">
          <w:pPr>
            <w:autoSpaceDE w:val="0"/>
            <w:autoSpaceDN w:val="0"/>
            <w:spacing w:after="0" w:line="240" w:lineRule="auto"/>
            <w:ind w:hanging="480"/>
            <w:jc w:val="both"/>
            <w:divId w:val="1951401296"/>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Aman, M., Zimmermann, K. S., Pennekamp, A., Thielen, M., Falkner, F., Eisa, A., Boecker, A. H., &amp; Harhaus, L. (2023). Mechanisms, interventions at risk and clinical presentation of iatrogenic nerve lesions in trauma patients. </w:t>
          </w:r>
          <w:r w:rsidRPr="00FE0907">
            <w:rPr>
              <w:rFonts w:ascii="Times New Roman" w:eastAsia="Times New Roman" w:hAnsi="Times New Roman" w:cs="Times New Roman"/>
              <w:i/>
              <w:iCs/>
              <w:color w:val="000000"/>
            </w:rPr>
            <w:t>Archives of Orthopaedic and Trauma Surgery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143</w:t>
          </w:r>
          <w:r w:rsidRPr="00FE0907">
            <w:rPr>
              <w:rFonts w:ascii="Times New Roman" w:eastAsia="Times New Roman" w:hAnsi="Times New Roman" w:cs="Times New Roman"/>
              <w:color w:val="000000"/>
            </w:rPr>
            <w:t>(12), 7245–7253. https://doi.org/10.1007/s00402-023-05009-3</w:t>
          </w:r>
        </w:p>
        <w:p w14:paraId="5A038232" w14:textId="77777777" w:rsidR="006843C0" w:rsidRPr="00FE0907" w:rsidRDefault="006843C0" w:rsidP="00FE0907">
          <w:pPr>
            <w:autoSpaceDE w:val="0"/>
            <w:autoSpaceDN w:val="0"/>
            <w:spacing w:after="0" w:line="240" w:lineRule="auto"/>
            <w:ind w:hanging="480"/>
            <w:jc w:val="both"/>
            <w:divId w:val="768935851"/>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Andaloussi, S., Alami Hassani, Z., Annattah, S., Dalero, O., &amp; Elmadi, A. (2025). Total penile amputation following ritual circumcision: A case report of a devastating complication. </w:t>
          </w:r>
          <w:r w:rsidRPr="00FE0907">
            <w:rPr>
              <w:rFonts w:ascii="Times New Roman" w:eastAsia="Times New Roman" w:hAnsi="Times New Roman" w:cs="Times New Roman"/>
              <w:i/>
              <w:iCs/>
              <w:color w:val="000000"/>
            </w:rPr>
            <w:t>Urology Case Reports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60</w:t>
          </w:r>
          <w:r w:rsidRPr="00FE0907">
            <w:rPr>
              <w:rFonts w:ascii="Times New Roman" w:eastAsia="Times New Roman" w:hAnsi="Times New Roman" w:cs="Times New Roman"/>
              <w:color w:val="000000"/>
            </w:rPr>
            <w:t>. https://doi.org/10.1016/j.eucr.2025.103000</w:t>
          </w:r>
        </w:p>
        <w:p w14:paraId="53A6A40F" w14:textId="77777777" w:rsidR="006843C0" w:rsidRPr="00FE0907" w:rsidRDefault="006843C0" w:rsidP="00FE0907">
          <w:pPr>
            <w:autoSpaceDE w:val="0"/>
            <w:autoSpaceDN w:val="0"/>
            <w:spacing w:after="0" w:line="240" w:lineRule="auto"/>
            <w:ind w:hanging="480"/>
            <w:jc w:val="both"/>
            <w:divId w:val="281306592"/>
            <w:rPr>
              <w:rFonts w:ascii="Times New Roman" w:eastAsia="Times New Roman" w:hAnsi="Times New Roman" w:cs="Times New Roman"/>
              <w:color w:val="000000"/>
            </w:rPr>
          </w:pPr>
          <w:proofErr w:type="gramStart"/>
          <w:r w:rsidRPr="00FE0907">
            <w:rPr>
              <w:rFonts w:ascii="Times New Roman" w:eastAsia="Times New Roman" w:hAnsi="Times New Roman" w:cs="Times New Roman"/>
              <w:color w:val="000000"/>
            </w:rPr>
            <w:t>Arbel,  Eylon</w:t>
          </w:r>
          <w:proofErr w:type="gramEnd"/>
          <w:r w:rsidRPr="00FE0907">
            <w:rPr>
              <w:rFonts w:ascii="Times New Roman" w:eastAsia="Times New Roman" w:hAnsi="Times New Roman" w:cs="Times New Roman"/>
              <w:color w:val="000000"/>
            </w:rPr>
            <w:t xml:space="preserve"> J, </w:t>
          </w:r>
          <w:proofErr w:type="gramStart"/>
          <w:r w:rsidRPr="00FE0907">
            <w:rPr>
              <w:rFonts w:ascii="Times New Roman" w:eastAsia="Times New Roman" w:hAnsi="Times New Roman" w:cs="Times New Roman"/>
              <w:color w:val="000000"/>
            </w:rPr>
            <w:t>Reese,  Alyssa</w:t>
          </w:r>
          <w:proofErr w:type="gramEnd"/>
          <w:r w:rsidRPr="00FE0907">
            <w:rPr>
              <w:rFonts w:ascii="Times New Roman" w:eastAsia="Times New Roman" w:hAnsi="Times New Roman" w:cs="Times New Roman"/>
              <w:color w:val="000000"/>
            </w:rPr>
            <w:t xml:space="preserve"> D, </w:t>
          </w:r>
          <w:proofErr w:type="gramStart"/>
          <w:r w:rsidRPr="00FE0907">
            <w:rPr>
              <w:rFonts w:ascii="Times New Roman" w:eastAsia="Times New Roman" w:hAnsi="Times New Roman" w:cs="Times New Roman"/>
              <w:color w:val="000000"/>
            </w:rPr>
            <w:t>Richards,  Raymond</w:t>
          </w:r>
          <w:proofErr w:type="gramEnd"/>
          <w:r w:rsidRPr="00FE0907">
            <w:rPr>
              <w:rFonts w:ascii="Times New Roman" w:eastAsia="Times New Roman" w:hAnsi="Times New Roman" w:cs="Times New Roman"/>
              <w:color w:val="000000"/>
            </w:rPr>
            <w:t xml:space="preserve">, </w:t>
          </w:r>
          <w:proofErr w:type="gramStart"/>
          <w:r w:rsidRPr="00FE0907">
            <w:rPr>
              <w:rFonts w:ascii="Times New Roman" w:eastAsia="Times New Roman" w:hAnsi="Times New Roman" w:cs="Times New Roman"/>
              <w:color w:val="000000"/>
            </w:rPr>
            <w:t>Singh,  Simran</w:t>
          </w:r>
          <w:proofErr w:type="gramEnd"/>
          <w:r w:rsidRPr="00FE0907">
            <w:rPr>
              <w:rFonts w:ascii="Times New Roman" w:eastAsia="Times New Roman" w:hAnsi="Times New Roman" w:cs="Times New Roman"/>
              <w:color w:val="000000"/>
            </w:rPr>
            <w:t xml:space="preserve">, </w:t>
          </w:r>
          <w:proofErr w:type="gramStart"/>
          <w:r w:rsidRPr="00FE0907">
            <w:rPr>
              <w:rFonts w:ascii="Times New Roman" w:eastAsia="Times New Roman" w:hAnsi="Times New Roman" w:cs="Times New Roman"/>
              <w:color w:val="000000"/>
            </w:rPr>
            <w:t>O’Shea,  Aidan</w:t>
          </w:r>
          <w:proofErr w:type="gramEnd"/>
          <w:r w:rsidRPr="00FE0907">
            <w:rPr>
              <w:rFonts w:ascii="Times New Roman" w:eastAsia="Times New Roman" w:hAnsi="Times New Roman" w:cs="Times New Roman"/>
              <w:color w:val="000000"/>
            </w:rPr>
            <w:t xml:space="preserve"> W, </w:t>
          </w:r>
          <w:proofErr w:type="gramStart"/>
          <w:r w:rsidRPr="00FE0907">
            <w:rPr>
              <w:rFonts w:ascii="Times New Roman" w:eastAsia="Times New Roman" w:hAnsi="Times New Roman" w:cs="Times New Roman"/>
              <w:color w:val="000000"/>
            </w:rPr>
            <w:t>Hennig,  Finn</w:t>
          </w:r>
          <w:proofErr w:type="gramEnd"/>
          <w:r w:rsidRPr="00FE0907">
            <w:rPr>
              <w:rFonts w:ascii="Times New Roman" w:eastAsia="Times New Roman" w:hAnsi="Times New Roman" w:cs="Times New Roman"/>
              <w:color w:val="000000"/>
            </w:rPr>
            <w:t xml:space="preserve">, &amp; </w:t>
          </w:r>
          <w:proofErr w:type="gramStart"/>
          <w:r w:rsidRPr="00FE0907">
            <w:rPr>
              <w:rFonts w:ascii="Times New Roman" w:eastAsia="Times New Roman" w:hAnsi="Times New Roman" w:cs="Times New Roman"/>
              <w:color w:val="000000"/>
            </w:rPr>
            <w:t>Abramowitz,  David</w:t>
          </w:r>
          <w:proofErr w:type="gramEnd"/>
          <w:r w:rsidRPr="00FE0907">
            <w:rPr>
              <w:rFonts w:ascii="Times New Roman" w:eastAsia="Times New Roman" w:hAnsi="Times New Roman" w:cs="Times New Roman"/>
              <w:color w:val="000000"/>
            </w:rPr>
            <w:t xml:space="preserve">. (2025). Penile Replantation: A Review of Microsurgical Techniques, Patient Outcomes, and Solutions to Complex Reconstructive Challenges. </w:t>
          </w:r>
          <w:r w:rsidRPr="00FE0907">
            <w:rPr>
              <w:rFonts w:ascii="Times New Roman" w:eastAsia="Times New Roman" w:hAnsi="Times New Roman" w:cs="Times New Roman"/>
              <w:i/>
              <w:iCs/>
              <w:color w:val="000000"/>
            </w:rPr>
            <w:t>Plastic Surgery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33</w:t>
          </w:r>
          <w:r w:rsidRPr="00FE0907">
            <w:rPr>
              <w:rFonts w:ascii="Times New Roman" w:eastAsia="Times New Roman" w:hAnsi="Times New Roman" w:cs="Times New Roman"/>
              <w:color w:val="000000"/>
            </w:rPr>
            <w:t>(4), 666–676. https://doi.org/10.1177/22925503241265299</w:t>
          </w:r>
        </w:p>
        <w:p w14:paraId="3AF0C2DE" w14:textId="77777777" w:rsidR="006843C0" w:rsidRPr="00FE0907" w:rsidRDefault="006843C0" w:rsidP="00FE0907">
          <w:pPr>
            <w:autoSpaceDE w:val="0"/>
            <w:autoSpaceDN w:val="0"/>
            <w:spacing w:after="0" w:line="240" w:lineRule="auto"/>
            <w:ind w:hanging="480"/>
            <w:jc w:val="both"/>
            <w:divId w:val="2069184823"/>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Atikeler, M. K., Geçit, I., Yüzgeç, V., &amp; Yalçın, O. (2005). Complications of Circumcision Performed within and Outside the Hospital. </w:t>
          </w:r>
          <w:r w:rsidRPr="00FE0907">
            <w:rPr>
              <w:rFonts w:ascii="Times New Roman" w:eastAsia="Times New Roman" w:hAnsi="Times New Roman" w:cs="Times New Roman"/>
              <w:i/>
              <w:iCs/>
              <w:color w:val="000000"/>
            </w:rPr>
            <w:t>International Urology and Nephrology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37</w:t>
          </w:r>
          <w:r w:rsidRPr="00FE0907">
            <w:rPr>
              <w:rFonts w:ascii="Times New Roman" w:eastAsia="Times New Roman" w:hAnsi="Times New Roman" w:cs="Times New Roman"/>
              <w:color w:val="000000"/>
            </w:rPr>
            <w:t>(1), 97–99. https://doi.org/10.1007/s11255-004-6077-2</w:t>
          </w:r>
        </w:p>
        <w:p w14:paraId="41709C4F" w14:textId="77777777" w:rsidR="006843C0" w:rsidRPr="00FE0907" w:rsidRDefault="006843C0" w:rsidP="00FE0907">
          <w:pPr>
            <w:autoSpaceDE w:val="0"/>
            <w:autoSpaceDN w:val="0"/>
            <w:spacing w:after="0" w:line="240" w:lineRule="auto"/>
            <w:ind w:hanging="480"/>
            <w:jc w:val="both"/>
            <w:divId w:val="674574035"/>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Ayalew, S., Negussie, M. A., Teklehaimanot, H. K., Mulatu, N. G., Abdulsemed, Y., &amp; Wassie, M. T. (2025). Management of total penile amputation following circumcision in a resource-limited setting: A case report. </w:t>
          </w:r>
          <w:r w:rsidRPr="00FE0907">
            <w:rPr>
              <w:rFonts w:ascii="Times New Roman" w:eastAsia="Times New Roman" w:hAnsi="Times New Roman" w:cs="Times New Roman"/>
              <w:i/>
              <w:iCs/>
              <w:color w:val="000000"/>
            </w:rPr>
            <w:t>Journal of Pediatric Surgery Case Reports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113</w:t>
          </w:r>
          <w:r w:rsidRPr="00FE0907">
            <w:rPr>
              <w:rFonts w:ascii="Times New Roman" w:eastAsia="Times New Roman" w:hAnsi="Times New Roman" w:cs="Times New Roman"/>
              <w:color w:val="000000"/>
            </w:rPr>
            <w:t>. https://doi.org/10.1016/j.epsc.2024.102939</w:t>
          </w:r>
        </w:p>
        <w:p w14:paraId="18295E7D" w14:textId="77777777" w:rsidR="006843C0" w:rsidRPr="00FE0907" w:rsidRDefault="006843C0" w:rsidP="00FE0907">
          <w:pPr>
            <w:autoSpaceDE w:val="0"/>
            <w:autoSpaceDN w:val="0"/>
            <w:spacing w:after="0" w:line="240" w:lineRule="auto"/>
            <w:ind w:hanging="480"/>
            <w:jc w:val="both"/>
            <w:divId w:val="691952239"/>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Banihani, O. I., Fox, J. A., Gander, B. H., Grunwaldt, L. J., &amp; Cannon, G. M. (2014). Complete penile amputation during ritual neonatal circumcision and successful replantation using postoperative leech therapy. </w:t>
          </w:r>
          <w:r w:rsidRPr="00FE0907">
            <w:rPr>
              <w:rFonts w:ascii="Times New Roman" w:eastAsia="Times New Roman" w:hAnsi="Times New Roman" w:cs="Times New Roman"/>
              <w:i/>
              <w:iCs/>
              <w:color w:val="000000"/>
            </w:rPr>
            <w:t>Urology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84</w:t>
          </w:r>
          <w:r w:rsidRPr="00FE0907">
            <w:rPr>
              <w:rFonts w:ascii="Times New Roman" w:eastAsia="Times New Roman" w:hAnsi="Times New Roman" w:cs="Times New Roman"/>
              <w:color w:val="000000"/>
            </w:rPr>
            <w:t>(2), 472–474. https://doi.org/10.1016/j.urology.2014.04.021</w:t>
          </w:r>
        </w:p>
        <w:p w14:paraId="061AA872" w14:textId="77777777" w:rsidR="006843C0" w:rsidRPr="00FE0907" w:rsidRDefault="006843C0" w:rsidP="00FE0907">
          <w:pPr>
            <w:autoSpaceDE w:val="0"/>
            <w:autoSpaceDN w:val="0"/>
            <w:spacing w:after="0" w:line="240" w:lineRule="auto"/>
            <w:ind w:hanging="480"/>
            <w:jc w:val="both"/>
            <w:divId w:val="212154105"/>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Birkeland, S. F. (2017). Informed Consent Obtainment, Malpractice Litigation, and the Potential Role of Shared Decision-making Approaches. </w:t>
          </w:r>
          <w:r w:rsidRPr="00FE0907">
            <w:rPr>
              <w:rFonts w:ascii="Times New Roman" w:eastAsia="Times New Roman" w:hAnsi="Times New Roman" w:cs="Times New Roman"/>
              <w:i/>
              <w:iCs/>
              <w:color w:val="000000"/>
            </w:rPr>
            <w:t>European Journal of Health Law</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24</w:t>
          </w:r>
          <w:r w:rsidRPr="00FE0907">
            <w:rPr>
              <w:rFonts w:ascii="Times New Roman" w:eastAsia="Times New Roman" w:hAnsi="Times New Roman" w:cs="Times New Roman"/>
              <w:color w:val="000000"/>
            </w:rPr>
            <w:t>(3), 264–284. https://doi.org/https://doi.org/10.1163/15718093-12341410</w:t>
          </w:r>
        </w:p>
        <w:p w14:paraId="47BCD862" w14:textId="77777777" w:rsidR="006843C0" w:rsidRPr="00FE0907" w:rsidRDefault="006843C0" w:rsidP="00FE0907">
          <w:pPr>
            <w:autoSpaceDE w:val="0"/>
            <w:autoSpaceDN w:val="0"/>
            <w:spacing w:after="0" w:line="240" w:lineRule="auto"/>
            <w:ind w:hanging="480"/>
            <w:jc w:val="both"/>
            <w:divId w:val="380061221"/>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Boakye, S. A., &amp; Obeng, F. (2025). Clinical outcomes of circumcisions and prevalence of complications of male circumcisions: A five-year retrospective analysis at a teaching hospital in Ghana. </w:t>
          </w:r>
          <w:r w:rsidRPr="00FE0907">
            <w:rPr>
              <w:rFonts w:ascii="Times New Roman" w:eastAsia="Times New Roman" w:hAnsi="Times New Roman" w:cs="Times New Roman"/>
              <w:i/>
              <w:iCs/>
              <w:color w:val="000000"/>
            </w:rPr>
            <w:t>PLOS Global Public Health</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5</w:t>
          </w:r>
          <w:r w:rsidRPr="00FE0907">
            <w:rPr>
              <w:rFonts w:ascii="Times New Roman" w:eastAsia="Times New Roman" w:hAnsi="Times New Roman" w:cs="Times New Roman"/>
              <w:color w:val="000000"/>
            </w:rPr>
            <w:t>(2 February). https://doi.org/10.1371/journal.pgph.0003788</w:t>
          </w:r>
        </w:p>
        <w:p w14:paraId="32C5FF92" w14:textId="77777777" w:rsidR="006843C0" w:rsidRPr="00FE0907" w:rsidRDefault="006843C0" w:rsidP="00FE0907">
          <w:pPr>
            <w:autoSpaceDE w:val="0"/>
            <w:autoSpaceDN w:val="0"/>
            <w:spacing w:after="0" w:line="240" w:lineRule="auto"/>
            <w:ind w:hanging="480"/>
            <w:jc w:val="both"/>
            <w:divId w:val="1033919014"/>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Brook, I. (2016). Infectious Complications of Circumcision and Their Prevention. </w:t>
          </w:r>
          <w:r w:rsidRPr="00FE0907">
            <w:rPr>
              <w:rFonts w:ascii="Times New Roman" w:eastAsia="Times New Roman" w:hAnsi="Times New Roman" w:cs="Times New Roman"/>
              <w:i/>
              <w:iCs/>
              <w:color w:val="000000"/>
            </w:rPr>
            <w:t>European Urology Focus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2</w:t>
          </w:r>
          <w:r w:rsidRPr="00FE0907">
            <w:rPr>
              <w:rFonts w:ascii="Times New Roman" w:eastAsia="Times New Roman" w:hAnsi="Times New Roman" w:cs="Times New Roman"/>
              <w:color w:val="000000"/>
            </w:rPr>
            <w:t>(4), 453–459. https://doi.org/https://doi.org/10.1016/j.euf.2016.01.013</w:t>
          </w:r>
        </w:p>
        <w:p w14:paraId="70EA40F4" w14:textId="77777777" w:rsidR="006843C0" w:rsidRPr="00FE0907" w:rsidRDefault="006843C0" w:rsidP="00FE0907">
          <w:pPr>
            <w:autoSpaceDE w:val="0"/>
            <w:autoSpaceDN w:val="0"/>
            <w:spacing w:after="0" w:line="240" w:lineRule="auto"/>
            <w:ind w:hanging="480"/>
            <w:jc w:val="both"/>
            <w:divId w:val="2059934540"/>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Cansaran, S., Balcı, Ö., &amp; Moralıoğlu, S. (2026). Penile Skin Bridges After Circumcision and Penile Surgery: Surgical Management and Preventive Considerations. </w:t>
          </w:r>
          <w:r w:rsidRPr="00FE0907">
            <w:rPr>
              <w:rFonts w:ascii="Times New Roman" w:eastAsia="Times New Roman" w:hAnsi="Times New Roman" w:cs="Times New Roman"/>
              <w:i/>
              <w:iCs/>
              <w:color w:val="000000"/>
            </w:rPr>
            <w:t>Annals of Plastic Surgery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96</w:t>
          </w:r>
          <w:r w:rsidRPr="00FE0907">
            <w:rPr>
              <w:rFonts w:ascii="Times New Roman" w:eastAsia="Times New Roman" w:hAnsi="Times New Roman" w:cs="Times New Roman"/>
              <w:color w:val="000000"/>
            </w:rPr>
            <w:t>(4). https://journals.lww.com/annalsplasticsurgery/fulltext/2026/04000/penile_skin_bridges_after_circumcision_and_penile.11.aspx</w:t>
          </w:r>
        </w:p>
        <w:p w14:paraId="65CAC454" w14:textId="77777777" w:rsidR="006843C0" w:rsidRPr="00FE0907" w:rsidRDefault="006843C0" w:rsidP="00FE0907">
          <w:pPr>
            <w:autoSpaceDE w:val="0"/>
            <w:autoSpaceDN w:val="0"/>
            <w:spacing w:after="0" w:line="240" w:lineRule="auto"/>
            <w:ind w:hanging="480"/>
            <w:jc w:val="both"/>
            <w:divId w:val="2146240699"/>
            <w:rPr>
              <w:rFonts w:ascii="Times New Roman" w:eastAsia="Times New Roman" w:hAnsi="Times New Roman" w:cs="Times New Roman"/>
              <w:color w:val="000000"/>
            </w:rPr>
          </w:pPr>
          <w:r w:rsidRPr="00FE0907">
            <w:rPr>
              <w:rFonts w:ascii="Times New Roman" w:eastAsia="Times New Roman" w:hAnsi="Times New Roman" w:cs="Times New Roman"/>
              <w:color w:val="000000"/>
            </w:rPr>
            <w:lastRenderedPageBreak/>
            <w:t xml:space="preserve">Ceylan, K., Burhan, K., Yilmaz, Y., Can, Ş., Kuş, A., &amp; Mustafa, G. (2007). Severe complications of circumcision: An analysis of 48 cases. </w:t>
          </w:r>
          <w:r w:rsidRPr="00FE0907">
            <w:rPr>
              <w:rFonts w:ascii="Times New Roman" w:eastAsia="Times New Roman" w:hAnsi="Times New Roman" w:cs="Times New Roman"/>
              <w:i/>
              <w:iCs/>
              <w:color w:val="000000"/>
            </w:rPr>
            <w:t>Journal of Pediatric Urology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3</w:t>
          </w:r>
          <w:r w:rsidRPr="00FE0907">
            <w:rPr>
              <w:rFonts w:ascii="Times New Roman" w:eastAsia="Times New Roman" w:hAnsi="Times New Roman" w:cs="Times New Roman"/>
              <w:color w:val="000000"/>
            </w:rPr>
            <w:t>(1), 32–35. https://doi.org/10.1016/j.jpurol.2006.02.009</w:t>
          </w:r>
        </w:p>
        <w:p w14:paraId="2EDAB5BD" w14:textId="77777777" w:rsidR="006843C0" w:rsidRPr="00FE0907" w:rsidRDefault="006843C0" w:rsidP="00FE0907">
          <w:pPr>
            <w:autoSpaceDE w:val="0"/>
            <w:autoSpaceDN w:val="0"/>
            <w:spacing w:after="0" w:line="240" w:lineRule="auto"/>
            <w:ind w:hanging="480"/>
            <w:jc w:val="both"/>
            <w:divId w:val="2049403861"/>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Chen, C. H., Cheng, W.-M., Fan, Y.-H., &amp; Chang, T.-P. (2023). Factors influencing satisfaction with male circumcision in Taiwan. </w:t>
          </w:r>
          <w:r w:rsidRPr="00FE0907">
            <w:rPr>
              <w:rFonts w:ascii="Times New Roman" w:eastAsia="Times New Roman" w:hAnsi="Times New Roman" w:cs="Times New Roman"/>
              <w:i/>
              <w:iCs/>
              <w:color w:val="000000"/>
            </w:rPr>
            <w:t>Scientific Reports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13</w:t>
          </w:r>
          <w:r w:rsidRPr="00FE0907">
            <w:rPr>
              <w:rFonts w:ascii="Times New Roman" w:eastAsia="Times New Roman" w:hAnsi="Times New Roman" w:cs="Times New Roman"/>
              <w:color w:val="000000"/>
            </w:rPr>
            <w:t>(1), 2313. https://doi.org/10.1038/s41598-022-20140-8</w:t>
          </w:r>
        </w:p>
        <w:p w14:paraId="177AEABB" w14:textId="77777777" w:rsidR="006843C0" w:rsidRPr="00FE0907" w:rsidRDefault="006843C0" w:rsidP="00FE0907">
          <w:pPr>
            <w:autoSpaceDE w:val="0"/>
            <w:autoSpaceDN w:val="0"/>
            <w:spacing w:after="0" w:line="240" w:lineRule="auto"/>
            <w:ind w:hanging="480"/>
            <w:jc w:val="both"/>
            <w:divId w:val="1225800111"/>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De, M., &amp; Dawar, R. (2022). The challenges and complications of re-implantation of the penis following amputation. </w:t>
          </w:r>
          <w:r w:rsidRPr="00FE0907">
            <w:rPr>
              <w:rFonts w:ascii="Times New Roman" w:eastAsia="Times New Roman" w:hAnsi="Times New Roman" w:cs="Times New Roman"/>
              <w:i/>
              <w:iCs/>
              <w:color w:val="000000"/>
            </w:rPr>
            <w:t>Ghana Medical Journal</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56</w:t>
          </w:r>
          <w:r w:rsidRPr="00FE0907">
            <w:rPr>
              <w:rFonts w:ascii="Times New Roman" w:eastAsia="Times New Roman" w:hAnsi="Times New Roman" w:cs="Times New Roman"/>
              <w:color w:val="000000"/>
            </w:rPr>
            <w:t>(1), 49–52. https://doi.org/10.4314/gmj.v56i1.9</w:t>
          </w:r>
        </w:p>
        <w:p w14:paraId="618BBDF5" w14:textId="77777777" w:rsidR="006843C0" w:rsidRPr="00FE0907" w:rsidRDefault="006843C0" w:rsidP="00FE0907">
          <w:pPr>
            <w:autoSpaceDE w:val="0"/>
            <w:autoSpaceDN w:val="0"/>
            <w:spacing w:after="0" w:line="240" w:lineRule="auto"/>
            <w:ind w:hanging="480"/>
            <w:jc w:val="both"/>
            <w:divId w:val="1836335150"/>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Derriks, J. H. G., Hilgersom, N. F. J., Middelkoop, E., Samuelsson, K., &amp; van den Bekerom, M. P. J. (2020). Electrocautery in arthroscopic surgery: intra-articular fluid temperatures above 43 °C cause potential tissue damage. </w:t>
          </w:r>
          <w:r w:rsidRPr="00FE0907">
            <w:rPr>
              <w:rFonts w:ascii="Times New Roman" w:eastAsia="Times New Roman" w:hAnsi="Times New Roman" w:cs="Times New Roman"/>
              <w:i/>
              <w:iCs/>
              <w:color w:val="000000"/>
            </w:rPr>
            <w:t>Knee Surgery, Sports Traumatology, Arthroscopy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28</w:t>
          </w:r>
          <w:r w:rsidRPr="00FE0907">
            <w:rPr>
              <w:rFonts w:ascii="Times New Roman" w:eastAsia="Times New Roman" w:hAnsi="Times New Roman" w:cs="Times New Roman"/>
              <w:color w:val="000000"/>
            </w:rPr>
            <w:t>(7), 2270–2278. https://doi.org/10.1007/s00167-019-05574-4</w:t>
          </w:r>
        </w:p>
        <w:p w14:paraId="4903386B" w14:textId="77777777" w:rsidR="006843C0" w:rsidRPr="00FE0907" w:rsidRDefault="006843C0" w:rsidP="00FE0907">
          <w:pPr>
            <w:autoSpaceDE w:val="0"/>
            <w:autoSpaceDN w:val="0"/>
            <w:spacing w:after="0" w:line="240" w:lineRule="auto"/>
            <w:ind w:hanging="480"/>
            <w:jc w:val="both"/>
            <w:divId w:val="1495561038"/>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Dhaliwal, K., Dor, K., George, M., &amp; Wei, X. (2025). Complications Associated </w:t>
          </w:r>
          <w:proofErr w:type="gramStart"/>
          <w:r w:rsidRPr="00FE0907">
            <w:rPr>
              <w:rFonts w:ascii="Times New Roman" w:eastAsia="Times New Roman" w:hAnsi="Times New Roman" w:cs="Times New Roman"/>
              <w:color w:val="000000"/>
            </w:rPr>
            <w:t>With</w:t>
          </w:r>
          <w:proofErr w:type="gramEnd"/>
          <w:r w:rsidRPr="00FE0907">
            <w:rPr>
              <w:rFonts w:ascii="Times New Roman" w:eastAsia="Times New Roman" w:hAnsi="Times New Roman" w:cs="Times New Roman"/>
              <w:color w:val="000000"/>
            </w:rPr>
            <w:t xml:space="preserve"> Circumcision in a Community-Based Hospital. </w:t>
          </w:r>
          <w:r w:rsidRPr="00FE0907">
            <w:rPr>
              <w:rFonts w:ascii="Times New Roman" w:eastAsia="Times New Roman" w:hAnsi="Times New Roman" w:cs="Times New Roman"/>
              <w:i/>
              <w:iCs/>
              <w:color w:val="000000"/>
            </w:rPr>
            <w:t>PRiMER</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9</w:t>
          </w:r>
          <w:r w:rsidRPr="00FE0907">
            <w:rPr>
              <w:rFonts w:ascii="Times New Roman" w:eastAsia="Times New Roman" w:hAnsi="Times New Roman" w:cs="Times New Roman"/>
              <w:color w:val="000000"/>
            </w:rPr>
            <w:t>. https://doi.org/10.22454/primer.2025.923856</w:t>
          </w:r>
        </w:p>
        <w:p w14:paraId="1B98479A" w14:textId="77777777" w:rsidR="006843C0" w:rsidRPr="00FE0907" w:rsidRDefault="006843C0" w:rsidP="00FE0907">
          <w:pPr>
            <w:autoSpaceDE w:val="0"/>
            <w:autoSpaceDN w:val="0"/>
            <w:spacing w:after="0" w:line="240" w:lineRule="auto"/>
            <w:ind w:hanging="480"/>
            <w:jc w:val="both"/>
            <w:divId w:val="191772034"/>
            <w:rPr>
              <w:rFonts w:ascii="Times New Roman" w:eastAsia="Times New Roman" w:hAnsi="Times New Roman" w:cs="Times New Roman"/>
              <w:color w:val="000000"/>
            </w:rPr>
          </w:pPr>
          <w:proofErr w:type="gramStart"/>
          <w:r w:rsidRPr="00FE0907">
            <w:rPr>
              <w:rFonts w:ascii="Times New Roman" w:eastAsia="Times New Roman" w:hAnsi="Times New Roman" w:cs="Times New Roman"/>
              <w:color w:val="000000"/>
            </w:rPr>
            <w:t>Earp,  Brian</w:t>
          </w:r>
          <w:proofErr w:type="gramEnd"/>
          <w:r w:rsidRPr="00FE0907">
            <w:rPr>
              <w:rFonts w:ascii="Times New Roman" w:eastAsia="Times New Roman" w:hAnsi="Times New Roman" w:cs="Times New Roman"/>
              <w:color w:val="000000"/>
            </w:rPr>
            <w:t xml:space="preserve"> D, </w:t>
          </w:r>
          <w:proofErr w:type="gramStart"/>
          <w:r w:rsidRPr="00FE0907">
            <w:rPr>
              <w:rFonts w:ascii="Times New Roman" w:eastAsia="Times New Roman" w:hAnsi="Times New Roman" w:cs="Times New Roman"/>
              <w:color w:val="000000"/>
            </w:rPr>
            <w:t>Allareddy,  Veerajalandhar</w:t>
          </w:r>
          <w:proofErr w:type="gramEnd"/>
          <w:r w:rsidRPr="00FE0907">
            <w:rPr>
              <w:rFonts w:ascii="Times New Roman" w:eastAsia="Times New Roman" w:hAnsi="Times New Roman" w:cs="Times New Roman"/>
              <w:color w:val="000000"/>
            </w:rPr>
            <w:t xml:space="preserve">, </w:t>
          </w:r>
          <w:proofErr w:type="gramStart"/>
          <w:r w:rsidRPr="00FE0907">
            <w:rPr>
              <w:rFonts w:ascii="Times New Roman" w:eastAsia="Times New Roman" w:hAnsi="Times New Roman" w:cs="Times New Roman"/>
              <w:color w:val="000000"/>
            </w:rPr>
            <w:t>Allareddy,  Veerasathpurush</w:t>
          </w:r>
          <w:proofErr w:type="gramEnd"/>
          <w:r w:rsidRPr="00FE0907">
            <w:rPr>
              <w:rFonts w:ascii="Times New Roman" w:eastAsia="Times New Roman" w:hAnsi="Times New Roman" w:cs="Times New Roman"/>
              <w:color w:val="000000"/>
            </w:rPr>
            <w:t xml:space="preserve">, &amp; </w:t>
          </w:r>
          <w:proofErr w:type="gramStart"/>
          <w:r w:rsidRPr="00FE0907">
            <w:rPr>
              <w:rFonts w:ascii="Times New Roman" w:eastAsia="Times New Roman" w:hAnsi="Times New Roman" w:cs="Times New Roman"/>
              <w:color w:val="000000"/>
            </w:rPr>
            <w:t>Rotta,  Alexandre</w:t>
          </w:r>
          <w:proofErr w:type="gramEnd"/>
          <w:r w:rsidRPr="00FE0907">
            <w:rPr>
              <w:rFonts w:ascii="Times New Roman" w:eastAsia="Times New Roman" w:hAnsi="Times New Roman" w:cs="Times New Roman"/>
              <w:color w:val="000000"/>
            </w:rPr>
            <w:t xml:space="preserve"> T. (2018). Factors Associated </w:t>
          </w:r>
          <w:proofErr w:type="gramStart"/>
          <w:r w:rsidRPr="00FE0907">
            <w:rPr>
              <w:rFonts w:ascii="Times New Roman" w:eastAsia="Times New Roman" w:hAnsi="Times New Roman" w:cs="Times New Roman"/>
              <w:color w:val="000000"/>
            </w:rPr>
            <w:t>With</w:t>
          </w:r>
          <w:proofErr w:type="gramEnd"/>
          <w:r w:rsidRPr="00FE0907">
            <w:rPr>
              <w:rFonts w:ascii="Times New Roman" w:eastAsia="Times New Roman" w:hAnsi="Times New Roman" w:cs="Times New Roman"/>
              <w:color w:val="000000"/>
            </w:rPr>
            <w:t xml:space="preserve"> Early Deaths Following Neonatal Male Circumcision in the United States, 2001 to 2010. </w:t>
          </w:r>
          <w:r w:rsidRPr="00FE0907">
            <w:rPr>
              <w:rFonts w:ascii="Times New Roman" w:eastAsia="Times New Roman" w:hAnsi="Times New Roman" w:cs="Times New Roman"/>
              <w:i/>
              <w:iCs/>
              <w:color w:val="000000"/>
            </w:rPr>
            <w:t>Clinical Pediatrics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57</w:t>
          </w:r>
          <w:r w:rsidRPr="00FE0907">
            <w:rPr>
              <w:rFonts w:ascii="Times New Roman" w:eastAsia="Times New Roman" w:hAnsi="Times New Roman" w:cs="Times New Roman"/>
              <w:color w:val="000000"/>
            </w:rPr>
            <w:t>(13), 1532–1540. https://doi.org/10.1177/0009922818790060</w:t>
          </w:r>
        </w:p>
        <w:p w14:paraId="3BFF938C" w14:textId="77777777" w:rsidR="006843C0" w:rsidRPr="00FE0907" w:rsidRDefault="006843C0" w:rsidP="00FE0907">
          <w:pPr>
            <w:autoSpaceDE w:val="0"/>
            <w:autoSpaceDN w:val="0"/>
            <w:spacing w:after="0" w:line="240" w:lineRule="auto"/>
            <w:ind w:hanging="480"/>
            <w:jc w:val="both"/>
            <w:divId w:val="577397348"/>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Elmi, A. H., Ibrahim, F. H., &amp; Abdi, A. O. (2026). Penile glans amputation following untrained male circumcision in rural Somalia: A case report of a rare but serious complication in a resource-limited setting Somalia. </w:t>
          </w:r>
          <w:r w:rsidRPr="00FE0907">
            <w:rPr>
              <w:rFonts w:ascii="Times New Roman" w:eastAsia="Times New Roman" w:hAnsi="Times New Roman" w:cs="Times New Roman"/>
              <w:i/>
              <w:iCs/>
              <w:color w:val="000000"/>
            </w:rPr>
            <w:t>Urology Case Reports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64</w:t>
          </w:r>
          <w:r w:rsidRPr="00FE0907">
            <w:rPr>
              <w:rFonts w:ascii="Times New Roman" w:eastAsia="Times New Roman" w:hAnsi="Times New Roman" w:cs="Times New Roman"/>
              <w:color w:val="000000"/>
            </w:rPr>
            <w:t>. https://doi.org/10.1016/j.eucr.2025.103297</w:t>
          </w:r>
        </w:p>
        <w:p w14:paraId="56CC28F7" w14:textId="77777777" w:rsidR="006843C0" w:rsidRPr="00FE0907" w:rsidRDefault="006843C0" w:rsidP="00FE0907">
          <w:pPr>
            <w:autoSpaceDE w:val="0"/>
            <w:autoSpaceDN w:val="0"/>
            <w:spacing w:after="0" w:line="240" w:lineRule="auto"/>
            <w:ind w:hanging="480"/>
            <w:jc w:val="both"/>
            <w:divId w:val="2144499539"/>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Emond, Y. E. J. J. M., Calsbeek, H., Peters, Y. A. S., Bloo, G. J. A., Teerenstra, S., Westert, G. P., Damen, J., Wollersheim, H. C., &amp; Wolff, A. P. (2022). Increased adherence to perioperative safety guidelines associated with improved patient safety outcomes: a stepped-wedge, cluster-randomised multicentre trial. </w:t>
          </w:r>
          <w:r w:rsidRPr="00FE0907">
            <w:rPr>
              <w:rFonts w:ascii="Times New Roman" w:eastAsia="Times New Roman" w:hAnsi="Times New Roman" w:cs="Times New Roman"/>
              <w:i/>
              <w:iCs/>
              <w:color w:val="000000"/>
            </w:rPr>
            <w:t>British Journal of Anaesthesia</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128</w:t>
          </w:r>
          <w:r w:rsidRPr="00FE0907">
            <w:rPr>
              <w:rFonts w:ascii="Times New Roman" w:eastAsia="Times New Roman" w:hAnsi="Times New Roman" w:cs="Times New Roman"/>
              <w:color w:val="000000"/>
            </w:rPr>
            <w:t>(3), 562–573. https://doi.org/https://doi.org/10.1016/j.bja.2021.12.019</w:t>
          </w:r>
        </w:p>
        <w:p w14:paraId="714C7407" w14:textId="77777777" w:rsidR="006843C0" w:rsidRPr="00FE0907" w:rsidRDefault="006843C0" w:rsidP="00FE0907">
          <w:pPr>
            <w:autoSpaceDE w:val="0"/>
            <w:autoSpaceDN w:val="0"/>
            <w:spacing w:after="0" w:line="240" w:lineRule="auto"/>
            <w:ind w:hanging="480"/>
            <w:jc w:val="both"/>
            <w:divId w:val="915895615"/>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Fahmy, M. A. B. (2019). Chapter 12 - Post-Male Circumcision Penile Injuries. In M. A. B. Fahmy (Ed.), </w:t>
          </w:r>
          <w:r w:rsidRPr="00FE0907">
            <w:rPr>
              <w:rFonts w:ascii="Times New Roman" w:eastAsia="Times New Roman" w:hAnsi="Times New Roman" w:cs="Times New Roman"/>
              <w:i/>
              <w:iCs/>
              <w:color w:val="000000"/>
            </w:rPr>
            <w:t>Complications in Male Circumcision</w:t>
          </w:r>
          <w:r w:rsidRPr="00FE0907">
            <w:rPr>
              <w:rFonts w:ascii="Times New Roman" w:eastAsia="Times New Roman" w:hAnsi="Times New Roman" w:cs="Times New Roman"/>
              <w:color w:val="000000"/>
            </w:rPr>
            <w:t xml:space="preserve"> (pp. 145–169). Elsevier. https://doi.org/https://doi.org/10.1016/B978-0-323-68127-8.00012-0</w:t>
          </w:r>
        </w:p>
        <w:p w14:paraId="1D0C2AC1" w14:textId="77777777" w:rsidR="006843C0" w:rsidRPr="00FE0907" w:rsidRDefault="006843C0" w:rsidP="00FE0907">
          <w:pPr>
            <w:autoSpaceDE w:val="0"/>
            <w:autoSpaceDN w:val="0"/>
            <w:spacing w:after="0" w:line="240" w:lineRule="auto"/>
            <w:ind w:hanging="480"/>
            <w:jc w:val="both"/>
            <w:divId w:val="730496428"/>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Fırıncı, B., Arslan, R., Çağlar, Ö., Ahıskalıoğlu, A., &amp; Aydın, M. D. (2023). Hazardous Effects of Electrocautery on Penile Arteries: An Experimental Study. </w:t>
          </w:r>
          <w:r w:rsidRPr="00FE0907">
            <w:rPr>
              <w:rFonts w:ascii="Times New Roman" w:eastAsia="Times New Roman" w:hAnsi="Times New Roman" w:cs="Times New Roman"/>
              <w:i/>
              <w:iCs/>
              <w:color w:val="000000"/>
            </w:rPr>
            <w:t xml:space="preserve">Journal of Dr Behcet Uz Children </w:t>
          </w:r>
          <w:proofErr w:type="gramStart"/>
          <w:r w:rsidRPr="00FE0907">
            <w:rPr>
              <w:rFonts w:ascii="Times New Roman" w:eastAsia="Times New Roman" w:hAnsi="Times New Roman" w:cs="Times New Roman"/>
              <w:i/>
              <w:iCs/>
              <w:color w:val="000000"/>
            </w:rPr>
            <w:t>s</w:t>
          </w:r>
          <w:proofErr w:type="gramEnd"/>
          <w:r w:rsidRPr="00FE0907">
            <w:rPr>
              <w:rFonts w:ascii="Times New Roman" w:eastAsia="Times New Roman" w:hAnsi="Times New Roman" w:cs="Times New Roman"/>
              <w:i/>
              <w:iCs/>
              <w:color w:val="000000"/>
            </w:rPr>
            <w:t xml:space="preserve"> Hospital</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13</w:t>
          </w:r>
          <w:r w:rsidRPr="00FE0907">
            <w:rPr>
              <w:rFonts w:ascii="Times New Roman" w:eastAsia="Times New Roman" w:hAnsi="Times New Roman" w:cs="Times New Roman"/>
              <w:color w:val="000000"/>
            </w:rPr>
            <w:t>(3), 192–197. https://doi.org/10.4274/jbuch.galenos.2023.56255</w:t>
          </w:r>
        </w:p>
        <w:p w14:paraId="76D0EB7A" w14:textId="77777777" w:rsidR="006843C0" w:rsidRPr="00FE0907" w:rsidRDefault="006843C0" w:rsidP="00FE0907">
          <w:pPr>
            <w:autoSpaceDE w:val="0"/>
            <w:autoSpaceDN w:val="0"/>
            <w:spacing w:after="0" w:line="240" w:lineRule="auto"/>
            <w:ind w:hanging="480"/>
            <w:jc w:val="both"/>
            <w:divId w:val="1518537689"/>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Garrido-Abad, P., &amp; Suarez-Fonseca, C. (2015). Glans ischemia after circumcision and dorsal penile nerve block: Case report and review of the literature. In </w:t>
          </w:r>
          <w:r w:rsidRPr="00FE0907">
            <w:rPr>
              <w:rFonts w:ascii="Times New Roman" w:eastAsia="Times New Roman" w:hAnsi="Times New Roman" w:cs="Times New Roman"/>
              <w:i/>
              <w:iCs/>
              <w:color w:val="000000"/>
            </w:rPr>
            <w:t>Urology Annals</w:t>
          </w:r>
          <w:r w:rsidRPr="00FE0907">
            <w:rPr>
              <w:rFonts w:ascii="Times New Roman" w:eastAsia="Times New Roman" w:hAnsi="Times New Roman" w:cs="Times New Roman"/>
              <w:color w:val="000000"/>
            </w:rPr>
            <w:t xml:space="preserve"> (Vol. 7, Number 4, pp. 541–543). Wolters Kluwer Medknow Publications. https://doi.org/10.4103/0974-7796.164862</w:t>
          </w:r>
        </w:p>
        <w:p w14:paraId="47E69E75" w14:textId="77777777" w:rsidR="006843C0" w:rsidRPr="00FE0907" w:rsidRDefault="006843C0" w:rsidP="00FE0907">
          <w:pPr>
            <w:autoSpaceDE w:val="0"/>
            <w:autoSpaceDN w:val="0"/>
            <w:spacing w:after="0" w:line="240" w:lineRule="auto"/>
            <w:ind w:hanging="480"/>
            <w:jc w:val="both"/>
            <w:divId w:val="447898443"/>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Giudici-Wach, K., Gillois, P., Remen, T., &amp; Claudot, F. (2022). Learning from informed consent litigation to improve practices: A systematic review. </w:t>
          </w:r>
          <w:r w:rsidRPr="00FE0907">
            <w:rPr>
              <w:rFonts w:ascii="Times New Roman" w:eastAsia="Times New Roman" w:hAnsi="Times New Roman" w:cs="Times New Roman"/>
              <w:i/>
              <w:iCs/>
              <w:color w:val="000000"/>
            </w:rPr>
            <w:t>Patient Education and Counseling</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105</w:t>
          </w:r>
          <w:r w:rsidRPr="00FE0907">
            <w:rPr>
              <w:rFonts w:ascii="Times New Roman" w:eastAsia="Times New Roman" w:hAnsi="Times New Roman" w:cs="Times New Roman"/>
              <w:color w:val="000000"/>
            </w:rPr>
            <w:t>(7), 1714–1721. https://doi.org/https://doi.org/10.1016/j.pec.2021.10.009</w:t>
          </w:r>
        </w:p>
        <w:p w14:paraId="7559C126" w14:textId="77777777" w:rsidR="006843C0" w:rsidRPr="00FE0907" w:rsidRDefault="006843C0" w:rsidP="00FE0907">
          <w:pPr>
            <w:autoSpaceDE w:val="0"/>
            <w:autoSpaceDN w:val="0"/>
            <w:spacing w:after="0" w:line="240" w:lineRule="auto"/>
            <w:ind w:hanging="480"/>
            <w:jc w:val="both"/>
            <w:divId w:val="95754908"/>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Gologram, M., Margolin, R., &amp; Lomiguen, C. M. (2022). Need for Increased Awareness of International Male Circumcision Variations and Associated Complications: A Contemporary Review. </w:t>
          </w:r>
          <w:r w:rsidRPr="00FE0907">
            <w:rPr>
              <w:rFonts w:ascii="Times New Roman" w:eastAsia="Times New Roman" w:hAnsi="Times New Roman" w:cs="Times New Roman"/>
              <w:i/>
              <w:iCs/>
              <w:color w:val="000000"/>
            </w:rPr>
            <w:t>Cureus</w:t>
          </w:r>
          <w:r w:rsidRPr="00FE0907">
            <w:rPr>
              <w:rFonts w:ascii="Times New Roman" w:eastAsia="Times New Roman" w:hAnsi="Times New Roman" w:cs="Times New Roman"/>
              <w:color w:val="000000"/>
            </w:rPr>
            <w:t>. https://doi.org/10.7759/cureus.24507</w:t>
          </w:r>
        </w:p>
        <w:p w14:paraId="0F53B60F" w14:textId="77777777" w:rsidR="006843C0" w:rsidRPr="00FE0907" w:rsidRDefault="006843C0" w:rsidP="00FE0907">
          <w:pPr>
            <w:autoSpaceDE w:val="0"/>
            <w:autoSpaceDN w:val="0"/>
            <w:spacing w:after="0" w:line="240" w:lineRule="auto"/>
            <w:ind w:hanging="480"/>
            <w:jc w:val="both"/>
            <w:divId w:val="703554368"/>
            <w:rPr>
              <w:rFonts w:ascii="Times New Roman" w:eastAsia="Times New Roman" w:hAnsi="Times New Roman" w:cs="Times New Roman"/>
              <w:color w:val="000000"/>
            </w:rPr>
          </w:pPr>
          <w:r w:rsidRPr="00FE0907">
            <w:rPr>
              <w:rFonts w:ascii="Times New Roman" w:eastAsia="Times New Roman" w:hAnsi="Times New Roman" w:cs="Times New Roman"/>
              <w:color w:val="000000"/>
            </w:rPr>
            <w:lastRenderedPageBreak/>
            <w:t xml:space="preserve">Hakim, L., Soekorini, N., &amp; Astutik, S. (2025). Pertanggungjawaban Tindak Pidana Malpraktik Sirkumsisi pada Praktik Mandiri. </w:t>
          </w:r>
          <w:r w:rsidRPr="00FE0907">
            <w:rPr>
              <w:rFonts w:ascii="Times New Roman" w:eastAsia="Times New Roman" w:hAnsi="Times New Roman" w:cs="Times New Roman"/>
              <w:i/>
              <w:iCs/>
              <w:color w:val="000000"/>
            </w:rPr>
            <w:t>COURT REVIEW: Jurnal Penelitian Hukum</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5</w:t>
          </w:r>
          <w:r w:rsidRPr="00FE0907">
            <w:rPr>
              <w:rFonts w:ascii="Times New Roman" w:eastAsia="Times New Roman" w:hAnsi="Times New Roman" w:cs="Times New Roman"/>
              <w:color w:val="000000"/>
            </w:rPr>
            <w:t>(4), 155–165.</w:t>
          </w:r>
        </w:p>
        <w:p w14:paraId="197C1C9E" w14:textId="77777777" w:rsidR="006843C0" w:rsidRPr="00FE0907" w:rsidRDefault="006843C0" w:rsidP="00FE0907">
          <w:pPr>
            <w:autoSpaceDE w:val="0"/>
            <w:autoSpaceDN w:val="0"/>
            <w:spacing w:after="0" w:line="240" w:lineRule="auto"/>
            <w:ind w:hanging="480"/>
            <w:jc w:val="both"/>
            <w:divId w:val="1702395014"/>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Hakim, M. B. I., Nur Budaya, T., &amp; Daryanto, B. (2023). Iatrogenic Penile Amputation Due to Circumcision Clamp in an Eight-Year-Old Boy. </w:t>
          </w:r>
          <w:r w:rsidRPr="00FE0907">
            <w:rPr>
              <w:rFonts w:ascii="Times New Roman" w:eastAsia="Times New Roman" w:hAnsi="Times New Roman" w:cs="Times New Roman"/>
              <w:i/>
              <w:iCs/>
              <w:color w:val="000000"/>
            </w:rPr>
            <w:t>Jurnal Kedokteran Brawijaya</w:t>
          </w:r>
          <w:r w:rsidRPr="00FE0907">
            <w:rPr>
              <w:rFonts w:ascii="Times New Roman" w:eastAsia="Times New Roman" w:hAnsi="Times New Roman" w:cs="Times New Roman"/>
              <w:color w:val="000000"/>
            </w:rPr>
            <w:t>, 265–268. https://doi.org/10.21776/ub.jkb.2023.032.04.12</w:t>
          </w:r>
        </w:p>
        <w:p w14:paraId="49629198" w14:textId="77777777" w:rsidR="006843C0" w:rsidRPr="00FE0907" w:rsidRDefault="006843C0" w:rsidP="00FE0907">
          <w:pPr>
            <w:autoSpaceDE w:val="0"/>
            <w:autoSpaceDN w:val="0"/>
            <w:spacing w:after="0" w:line="240" w:lineRule="auto"/>
            <w:ind w:hanging="480"/>
            <w:jc w:val="both"/>
            <w:divId w:val="1333022082"/>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Harrington, S. A., &amp; MacDonald, S. M. (2025). A Narrative Review of Penile Entrapment Injuries and Practical Approach to Removal. </w:t>
          </w:r>
          <w:r w:rsidRPr="00FE0907">
            <w:rPr>
              <w:rFonts w:ascii="Times New Roman" w:eastAsia="Times New Roman" w:hAnsi="Times New Roman" w:cs="Times New Roman"/>
              <w:i/>
              <w:iCs/>
              <w:color w:val="000000"/>
            </w:rPr>
            <w:t>JU Open Plus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3</w:t>
          </w:r>
          <w:r w:rsidRPr="00FE0907">
            <w:rPr>
              <w:rFonts w:ascii="Times New Roman" w:eastAsia="Times New Roman" w:hAnsi="Times New Roman" w:cs="Times New Roman"/>
              <w:color w:val="000000"/>
            </w:rPr>
            <w:t>(5). https://journals.lww.com/juop/fulltext/2025/05000/a_narrative_review_of_penile_entrapment_injuries.3.aspx</w:t>
          </w:r>
        </w:p>
        <w:p w14:paraId="657856E6" w14:textId="77777777" w:rsidR="006843C0" w:rsidRPr="00FE0907" w:rsidRDefault="006843C0" w:rsidP="00FE0907">
          <w:pPr>
            <w:autoSpaceDE w:val="0"/>
            <w:autoSpaceDN w:val="0"/>
            <w:spacing w:after="0" w:line="240" w:lineRule="auto"/>
            <w:ind w:hanging="480"/>
            <w:jc w:val="both"/>
            <w:divId w:val="106196657"/>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Harris, M., Taylor, S., McMillan, E., Zinabu, S. W., Wheaton, N., Monroe, D., Kim, S., Ocampo, E., Ogbutor, K., &amp; Michael, M. B. (2025). Comparative Analysis of Local Versus General Anesthesia and Its Impact on Erectile Dysfunction Risk Following Penile Surgery. </w:t>
          </w:r>
          <w:r w:rsidRPr="00FE0907">
            <w:rPr>
              <w:rFonts w:ascii="Times New Roman" w:eastAsia="Times New Roman" w:hAnsi="Times New Roman" w:cs="Times New Roman"/>
              <w:i/>
              <w:iCs/>
              <w:color w:val="000000"/>
            </w:rPr>
            <w:t>Cureus</w:t>
          </w:r>
          <w:r w:rsidRPr="00FE0907">
            <w:rPr>
              <w:rFonts w:ascii="Times New Roman" w:eastAsia="Times New Roman" w:hAnsi="Times New Roman" w:cs="Times New Roman"/>
              <w:color w:val="000000"/>
            </w:rPr>
            <w:t>. https://doi.org/10.7759/cureus.85931</w:t>
          </w:r>
        </w:p>
        <w:p w14:paraId="54AA97DC" w14:textId="77777777" w:rsidR="006843C0" w:rsidRPr="00FE0907" w:rsidRDefault="006843C0" w:rsidP="00FE0907">
          <w:pPr>
            <w:autoSpaceDE w:val="0"/>
            <w:autoSpaceDN w:val="0"/>
            <w:spacing w:after="0" w:line="240" w:lineRule="auto"/>
            <w:ind w:hanging="480"/>
            <w:jc w:val="both"/>
            <w:divId w:val="789207167"/>
            <w:rPr>
              <w:rFonts w:ascii="Times New Roman" w:eastAsia="Times New Roman" w:hAnsi="Times New Roman" w:cs="Times New Roman"/>
              <w:color w:val="000000"/>
            </w:rPr>
          </w:pPr>
          <w:proofErr w:type="gramStart"/>
          <w:r w:rsidRPr="00FE0907">
            <w:rPr>
              <w:rFonts w:ascii="Times New Roman" w:eastAsia="Times New Roman" w:hAnsi="Times New Roman" w:cs="Times New Roman"/>
              <w:color w:val="000000"/>
            </w:rPr>
            <w:t>Highton,  Mary</w:t>
          </w:r>
          <w:proofErr w:type="gramEnd"/>
          <w:r w:rsidRPr="00FE0907">
            <w:rPr>
              <w:rFonts w:ascii="Times New Roman" w:eastAsia="Times New Roman" w:hAnsi="Times New Roman" w:cs="Times New Roman"/>
              <w:color w:val="000000"/>
            </w:rPr>
            <w:t xml:space="preserve">, </w:t>
          </w:r>
          <w:proofErr w:type="gramStart"/>
          <w:r w:rsidRPr="00FE0907">
            <w:rPr>
              <w:rFonts w:ascii="Times New Roman" w:eastAsia="Times New Roman" w:hAnsi="Times New Roman" w:cs="Times New Roman"/>
              <w:color w:val="000000"/>
            </w:rPr>
            <w:t>Joseph,  Rachel</w:t>
          </w:r>
          <w:proofErr w:type="gramEnd"/>
          <w:r w:rsidRPr="00FE0907">
            <w:rPr>
              <w:rFonts w:ascii="Times New Roman" w:eastAsia="Times New Roman" w:hAnsi="Times New Roman" w:cs="Times New Roman"/>
              <w:color w:val="000000"/>
            </w:rPr>
            <w:t xml:space="preserve">, </w:t>
          </w:r>
          <w:proofErr w:type="gramStart"/>
          <w:r w:rsidRPr="00FE0907">
            <w:rPr>
              <w:rFonts w:ascii="Times New Roman" w:eastAsia="Times New Roman" w:hAnsi="Times New Roman" w:cs="Times New Roman"/>
              <w:color w:val="000000"/>
            </w:rPr>
            <w:t>Dyer,  Natasha</w:t>
          </w:r>
          <w:proofErr w:type="gramEnd"/>
          <w:r w:rsidRPr="00FE0907">
            <w:rPr>
              <w:rFonts w:ascii="Times New Roman" w:eastAsia="Times New Roman" w:hAnsi="Times New Roman" w:cs="Times New Roman"/>
              <w:color w:val="000000"/>
            </w:rPr>
            <w:t xml:space="preserve">, &amp; </w:t>
          </w:r>
          <w:proofErr w:type="gramStart"/>
          <w:r w:rsidRPr="00FE0907">
            <w:rPr>
              <w:rFonts w:ascii="Times New Roman" w:eastAsia="Times New Roman" w:hAnsi="Times New Roman" w:cs="Times New Roman"/>
              <w:color w:val="000000"/>
            </w:rPr>
            <w:t>Haydon,  Danielle</w:t>
          </w:r>
          <w:proofErr w:type="gramEnd"/>
          <w:r w:rsidRPr="00FE0907">
            <w:rPr>
              <w:rFonts w:ascii="Times New Roman" w:eastAsia="Times New Roman" w:hAnsi="Times New Roman" w:cs="Times New Roman"/>
              <w:color w:val="000000"/>
            </w:rPr>
            <w:t xml:space="preserve">. (2022). Snip the Tip: Infant Male Circumcision and Religious, Cultural, and Health Agendas. </w:t>
          </w:r>
          <w:r w:rsidRPr="00FE0907">
            <w:rPr>
              <w:rFonts w:ascii="Times New Roman" w:eastAsia="Times New Roman" w:hAnsi="Times New Roman" w:cs="Times New Roman"/>
              <w:i/>
              <w:iCs/>
              <w:color w:val="000000"/>
            </w:rPr>
            <w:t>Journal of Pediatric Surgical Nursing</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11</w:t>
          </w:r>
          <w:r w:rsidRPr="00FE0907">
            <w:rPr>
              <w:rFonts w:ascii="Times New Roman" w:eastAsia="Times New Roman" w:hAnsi="Times New Roman" w:cs="Times New Roman"/>
              <w:color w:val="000000"/>
            </w:rPr>
            <w:t>(4), 137–144. https://doi.org/10.1097/JPS.0000000000000355</w:t>
          </w:r>
        </w:p>
        <w:p w14:paraId="2F90B8C0" w14:textId="77777777" w:rsidR="006843C0" w:rsidRPr="00FE0907" w:rsidRDefault="006843C0" w:rsidP="00FE0907">
          <w:pPr>
            <w:autoSpaceDE w:val="0"/>
            <w:autoSpaceDN w:val="0"/>
            <w:spacing w:after="0" w:line="240" w:lineRule="auto"/>
            <w:ind w:hanging="480"/>
            <w:jc w:val="both"/>
            <w:divId w:val="338191601"/>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Hung, Y.-C., Chang, D. C., Westfal, M. L., Marks, I. H., Masiakos, P. T., &amp; Kelleher, C. M. (2019). A Longitudinal Population Analysis of Cumulative Risks of Circumcision. </w:t>
          </w:r>
          <w:r w:rsidRPr="00FE0907">
            <w:rPr>
              <w:rFonts w:ascii="Times New Roman" w:eastAsia="Times New Roman" w:hAnsi="Times New Roman" w:cs="Times New Roman"/>
              <w:i/>
              <w:iCs/>
              <w:color w:val="000000"/>
            </w:rPr>
            <w:t>Journal of Surgical Research</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233</w:t>
          </w:r>
          <w:r w:rsidRPr="00FE0907">
            <w:rPr>
              <w:rFonts w:ascii="Times New Roman" w:eastAsia="Times New Roman" w:hAnsi="Times New Roman" w:cs="Times New Roman"/>
              <w:color w:val="000000"/>
            </w:rPr>
            <w:t>, 111–117. https://doi.org/https://doi.org/10.1016/j.jss.2018.07.069</w:t>
          </w:r>
        </w:p>
        <w:p w14:paraId="5E0C71D1" w14:textId="77777777" w:rsidR="006843C0" w:rsidRPr="00FE0907" w:rsidRDefault="006843C0" w:rsidP="00FE0907">
          <w:pPr>
            <w:autoSpaceDE w:val="0"/>
            <w:autoSpaceDN w:val="0"/>
            <w:spacing w:after="0" w:line="240" w:lineRule="auto"/>
            <w:ind w:hanging="480"/>
            <w:jc w:val="both"/>
            <w:divId w:val="55782198"/>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Iacob, S. I., Feinn, R. S., &amp; Sardi, L. (2022). Systematic review of complications arising from male circumcision. </w:t>
          </w:r>
          <w:r w:rsidRPr="00FE0907">
            <w:rPr>
              <w:rFonts w:ascii="Times New Roman" w:eastAsia="Times New Roman" w:hAnsi="Times New Roman" w:cs="Times New Roman"/>
              <w:i/>
              <w:iCs/>
              <w:color w:val="000000"/>
            </w:rPr>
            <w:t>BJUI Compass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3</w:t>
          </w:r>
          <w:r w:rsidRPr="00FE0907">
            <w:rPr>
              <w:rFonts w:ascii="Times New Roman" w:eastAsia="Times New Roman" w:hAnsi="Times New Roman" w:cs="Times New Roman"/>
              <w:color w:val="000000"/>
            </w:rPr>
            <w:t>(2), 99–123. https://doi.org/https://doi.org/10.1002/bco2.123</w:t>
          </w:r>
        </w:p>
        <w:p w14:paraId="1E77577D" w14:textId="77777777" w:rsidR="006843C0" w:rsidRPr="00FE0907" w:rsidRDefault="006843C0" w:rsidP="00FE0907">
          <w:pPr>
            <w:autoSpaceDE w:val="0"/>
            <w:autoSpaceDN w:val="0"/>
            <w:spacing w:after="0" w:line="240" w:lineRule="auto"/>
            <w:ind w:hanging="480"/>
            <w:jc w:val="both"/>
            <w:divId w:val="1951087640"/>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Kalyenci, B., Benlioglu, C., Ölçücü, M. T., Teke, K., sever, S., Çift, A., &amp; Yücel, M. Ö. (2024). </w:t>
          </w:r>
          <w:r w:rsidRPr="00FE0907">
            <w:rPr>
              <w:rFonts w:ascii="Times New Roman" w:eastAsia="Times New Roman" w:hAnsi="Times New Roman" w:cs="Times New Roman"/>
              <w:i/>
              <w:iCs/>
              <w:color w:val="000000"/>
            </w:rPr>
            <w:t xml:space="preserve">Retrospective Analysis of Clinical Results and Early Period Complications of Conventional Circumcision </w:t>
          </w:r>
          <w:proofErr w:type="gramStart"/>
          <w:r w:rsidRPr="00FE0907">
            <w:rPr>
              <w:rFonts w:ascii="Times New Roman" w:eastAsia="Times New Roman" w:hAnsi="Times New Roman" w:cs="Times New Roman"/>
              <w:i/>
              <w:iCs/>
              <w:color w:val="000000"/>
            </w:rPr>
            <w:t>Techniques(</w:t>
          </w:r>
          <w:proofErr w:type="gramEnd"/>
          <w:r w:rsidRPr="00FE0907">
            <w:rPr>
              <w:rFonts w:ascii="Times New Roman" w:eastAsia="Times New Roman" w:hAnsi="Times New Roman" w:cs="Times New Roman"/>
              <w:i/>
              <w:iCs/>
              <w:color w:val="000000"/>
            </w:rPr>
            <w:t xml:space="preserve">CCT) and Thermocautery Assisted </w:t>
          </w:r>
          <w:proofErr w:type="gramStart"/>
          <w:r w:rsidRPr="00FE0907">
            <w:rPr>
              <w:rFonts w:ascii="Times New Roman" w:eastAsia="Times New Roman" w:hAnsi="Times New Roman" w:cs="Times New Roman"/>
              <w:i/>
              <w:iCs/>
              <w:color w:val="000000"/>
            </w:rPr>
            <w:t>Circumcision(</w:t>
          </w:r>
          <w:proofErr w:type="gramEnd"/>
          <w:r w:rsidRPr="00FE0907">
            <w:rPr>
              <w:rFonts w:ascii="Times New Roman" w:eastAsia="Times New Roman" w:hAnsi="Times New Roman" w:cs="Times New Roman"/>
              <w:i/>
              <w:iCs/>
              <w:color w:val="000000"/>
            </w:rPr>
            <w:t>TAC)</w:t>
          </w:r>
          <w:r w:rsidRPr="00FE0907">
            <w:rPr>
              <w:rFonts w:ascii="Times New Roman" w:eastAsia="Times New Roman" w:hAnsi="Times New Roman" w:cs="Times New Roman"/>
              <w:color w:val="000000"/>
            </w:rPr>
            <w:t>. https://doi.org/10.21203/rs.3.rs-3852778/v1</w:t>
          </w:r>
        </w:p>
        <w:p w14:paraId="636413D9" w14:textId="77777777" w:rsidR="006843C0" w:rsidRPr="00FE0907" w:rsidRDefault="006843C0" w:rsidP="00FE0907">
          <w:pPr>
            <w:autoSpaceDE w:val="0"/>
            <w:autoSpaceDN w:val="0"/>
            <w:spacing w:after="0" w:line="240" w:lineRule="auto"/>
            <w:ind w:hanging="480"/>
            <w:jc w:val="both"/>
            <w:divId w:val="1304194664"/>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Kalyenci, B., Benlioglu, C., Ölçücü, M. T., Teke, K., Sever, S., Çift, A., &amp; Yücel, M. Ö. (2025). Retrospective analysis of clinical outcomes and early complications of conventional circumcision techniques and thermocautery-assisted circumcision. </w:t>
          </w:r>
          <w:r w:rsidRPr="00FE0907">
            <w:rPr>
              <w:rFonts w:ascii="Times New Roman" w:eastAsia="Times New Roman" w:hAnsi="Times New Roman" w:cs="Times New Roman"/>
              <w:i/>
              <w:iCs/>
              <w:color w:val="000000"/>
            </w:rPr>
            <w:t>Scientific Reports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15</w:t>
          </w:r>
          <w:r w:rsidRPr="00FE0907">
            <w:rPr>
              <w:rFonts w:ascii="Times New Roman" w:eastAsia="Times New Roman" w:hAnsi="Times New Roman" w:cs="Times New Roman"/>
              <w:color w:val="000000"/>
            </w:rPr>
            <w:t>(1), 7139. https://doi.org/10.1038/s41598-025-91730-5</w:t>
          </w:r>
        </w:p>
        <w:p w14:paraId="115A69F1" w14:textId="77777777" w:rsidR="006843C0" w:rsidRPr="00FE0907" w:rsidRDefault="006843C0" w:rsidP="00FE0907">
          <w:pPr>
            <w:autoSpaceDE w:val="0"/>
            <w:autoSpaceDN w:val="0"/>
            <w:spacing w:after="0" w:line="240" w:lineRule="auto"/>
            <w:ind w:hanging="480"/>
            <w:jc w:val="both"/>
            <w:divId w:val="254024780"/>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Kim, J. K., Koyle, M. A., Chua, M. E., Ming, J. M., Lee, M. J., Kesavan, A., Saunders, M., &amp; Santos, J. Dos. (2019). Assessment of risk factors for surgical complications in neonatal circumcision clinic. </w:t>
          </w:r>
          <w:r w:rsidRPr="00FE0907">
            <w:rPr>
              <w:rFonts w:ascii="Times New Roman" w:eastAsia="Times New Roman" w:hAnsi="Times New Roman" w:cs="Times New Roman"/>
              <w:i/>
              <w:iCs/>
              <w:color w:val="000000"/>
            </w:rPr>
            <w:t>Canadian Urological Association Journal</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13</w:t>
          </w:r>
          <w:r w:rsidRPr="00FE0907">
            <w:rPr>
              <w:rFonts w:ascii="Times New Roman" w:eastAsia="Times New Roman" w:hAnsi="Times New Roman" w:cs="Times New Roman"/>
              <w:color w:val="000000"/>
            </w:rPr>
            <w:t>(4), E108–E112. https://doi.org/10.5489/cuaj.5460</w:t>
          </w:r>
        </w:p>
        <w:p w14:paraId="549EEA90" w14:textId="77777777" w:rsidR="006843C0" w:rsidRPr="00FE0907" w:rsidRDefault="006843C0" w:rsidP="00FE0907">
          <w:pPr>
            <w:autoSpaceDE w:val="0"/>
            <w:autoSpaceDN w:val="0"/>
            <w:spacing w:after="0" w:line="240" w:lineRule="auto"/>
            <w:ind w:hanging="480"/>
            <w:jc w:val="both"/>
            <w:divId w:val="1943103322"/>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Korets, J., &amp; Li, F. (2024). Complications in Anesthesia. In M. Argalious, E. Farag, &amp; D. Sharma (Eds.), </w:t>
          </w:r>
          <w:r w:rsidRPr="00FE0907">
            <w:rPr>
              <w:rFonts w:ascii="Times New Roman" w:eastAsia="Times New Roman" w:hAnsi="Times New Roman" w:cs="Times New Roman"/>
              <w:i/>
              <w:iCs/>
              <w:color w:val="000000"/>
            </w:rPr>
            <w:t>Basic Sciences in Anesthesia</w:t>
          </w:r>
          <w:r w:rsidRPr="00FE0907">
            <w:rPr>
              <w:rFonts w:ascii="Times New Roman" w:eastAsia="Times New Roman" w:hAnsi="Times New Roman" w:cs="Times New Roman"/>
              <w:color w:val="000000"/>
            </w:rPr>
            <w:t xml:space="preserve"> (pp. 519–542). Springer Nature Switzerland. https://doi.org/10.1007/978-3-031-60203-0_28</w:t>
          </w:r>
        </w:p>
        <w:p w14:paraId="6F997000" w14:textId="77777777" w:rsidR="006843C0" w:rsidRPr="00FE0907" w:rsidRDefault="006843C0" w:rsidP="00FE0907">
          <w:pPr>
            <w:autoSpaceDE w:val="0"/>
            <w:autoSpaceDN w:val="0"/>
            <w:spacing w:after="0" w:line="240" w:lineRule="auto"/>
            <w:ind w:hanging="480"/>
            <w:jc w:val="both"/>
            <w:divId w:val="1781101902"/>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Kowalczyk, K. A., &amp; Majewski, A. (2021). Analysis of surgical errors associated with anatomical variations clinically relevant in general surgery. Review of the literature. </w:t>
          </w:r>
          <w:r w:rsidRPr="00FE0907">
            <w:rPr>
              <w:rFonts w:ascii="Times New Roman" w:eastAsia="Times New Roman" w:hAnsi="Times New Roman" w:cs="Times New Roman"/>
              <w:i/>
              <w:iCs/>
              <w:color w:val="000000"/>
            </w:rPr>
            <w:t>Translational Research in Anatomy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23</w:t>
          </w:r>
          <w:r w:rsidRPr="00FE0907">
            <w:rPr>
              <w:rFonts w:ascii="Times New Roman" w:eastAsia="Times New Roman" w:hAnsi="Times New Roman" w:cs="Times New Roman"/>
              <w:color w:val="000000"/>
            </w:rPr>
            <w:t>, 100107. https://doi.org/https://doi.org/10.1016/j.tria.2020.100107</w:t>
          </w:r>
        </w:p>
        <w:p w14:paraId="6C6A9A19" w14:textId="77777777" w:rsidR="006843C0" w:rsidRPr="00FE0907" w:rsidRDefault="006843C0" w:rsidP="00FE0907">
          <w:pPr>
            <w:autoSpaceDE w:val="0"/>
            <w:autoSpaceDN w:val="0"/>
            <w:spacing w:after="0" w:line="240" w:lineRule="auto"/>
            <w:ind w:hanging="480"/>
            <w:jc w:val="both"/>
            <w:divId w:val="1890143978"/>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Krill, A. J., Palmer, L. S., &amp; Palmer, J. S. (2011). Complications of Circumcision. </w:t>
          </w:r>
          <w:r w:rsidRPr="00FE0907">
            <w:rPr>
              <w:rFonts w:ascii="Times New Roman" w:eastAsia="Times New Roman" w:hAnsi="Times New Roman" w:cs="Times New Roman"/>
              <w:i/>
              <w:iCs/>
              <w:color w:val="000000"/>
            </w:rPr>
            <w:t>The Scientific World Journal</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11</w:t>
          </w:r>
          <w:r w:rsidRPr="00FE0907">
            <w:rPr>
              <w:rFonts w:ascii="Times New Roman" w:eastAsia="Times New Roman" w:hAnsi="Times New Roman" w:cs="Times New Roman"/>
              <w:color w:val="000000"/>
            </w:rPr>
            <w:t>(1), 373829. https://doi.org/https://doi.org/10.1100/2011/373829</w:t>
          </w:r>
        </w:p>
        <w:p w14:paraId="50A692B7" w14:textId="77777777" w:rsidR="006843C0" w:rsidRPr="00FE0907" w:rsidRDefault="006843C0" w:rsidP="00FE0907">
          <w:pPr>
            <w:autoSpaceDE w:val="0"/>
            <w:autoSpaceDN w:val="0"/>
            <w:spacing w:after="0" w:line="240" w:lineRule="auto"/>
            <w:ind w:hanging="480"/>
            <w:jc w:val="both"/>
            <w:divId w:val="1595435028"/>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Kulkarni, R., Khare, A., Cherian, I., Chougule, U., Lal Soni, S., Kiran Wani, L., Professor, A., &amp; Vidyapeeth, B. (2025). Legal Implications of Surgical Malpractice: An Analytical Approach. In </w:t>
          </w:r>
          <w:r w:rsidRPr="00FE0907">
            <w:rPr>
              <w:rFonts w:ascii="Times New Roman" w:eastAsia="Times New Roman" w:hAnsi="Times New Roman" w:cs="Times New Roman"/>
              <w:i/>
              <w:iCs/>
              <w:color w:val="000000"/>
            </w:rPr>
            <w:t>Journal of Neonatal Surgery ISSN</w:t>
          </w:r>
          <w:r w:rsidRPr="00FE0907">
            <w:rPr>
              <w:rFonts w:ascii="Times New Roman" w:eastAsia="Times New Roman" w:hAnsi="Times New Roman" w:cs="Times New Roman"/>
              <w:color w:val="000000"/>
            </w:rPr>
            <w:t xml:space="preserve"> (Vol. 14, Number 2s). https://www.jneonatalsurg.compg.1</w:t>
          </w:r>
        </w:p>
        <w:p w14:paraId="21574409" w14:textId="77777777" w:rsidR="006843C0" w:rsidRPr="00FE0907" w:rsidRDefault="006843C0" w:rsidP="00FE0907">
          <w:pPr>
            <w:autoSpaceDE w:val="0"/>
            <w:autoSpaceDN w:val="0"/>
            <w:spacing w:after="0" w:line="240" w:lineRule="auto"/>
            <w:ind w:hanging="480"/>
            <w:jc w:val="both"/>
            <w:divId w:val="1114255296"/>
            <w:rPr>
              <w:rFonts w:ascii="Times New Roman" w:eastAsia="Times New Roman" w:hAnsi="Times New Roman" w:cs="Times New Roman"/>
              <w:color w:val="000000"/>
            </w:rPr>
          </w:pPr>
          <w:r w:rsidRPr="00FE0907">
            <w:rPr>
              <w:rFonts w:ascii="Times New Roman" w:eastAsia="Times New Roman" w:hAnsi="Times New Roman" w:cs="Times New Roman"/>
              <w:color w:val="000000"/>
            </w:rPr>
            <w:lastRenderedPageBreak/>
            <w:t xml:space="preserve">Labrague, L. J. (2024). Nurses’ adherence to patient safety protocols and its relationship with adverse patient events. </w:t>
          </w:r>
          <w:r w:rsidRPr="00FE0907">
            <w:rPr>
              <w:rFonts w:ascii="Times New Roman" w:eastAsia="Times New Roman" w:hAnsi="Times New Roman" w:cs="Times New Roman"/>
              <w:i/>
              <w:iCs/>
              <w:color w:val="000000"/>
            </w:rPr>
            <w:t>Journal of Nursing Scholarship</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56</w:t>
          </w:r>
          <w:r w:rsidRPr="00FE0907">
            <w:rPr>
              <w:rFonts w:ascii="Times New Roman" w:eastAsia="Times New Roman" w:hAnsi="Times New Roman" w:cs="Times New Roman"/>
              <w:color w:val="000000"/>
            </w:rPr>
            <w:t>(2), 282–290. https://doi.org/https://doi.org/10.1111/jnu.12942</w:t>
          </w:r>
        </w:p>
        <w:p w14:paraId="2BD9C0AC" w14:textId="77777777" w:rsidR="006843C0" w:rsidRPr="00FE0907" w:rsidRDefault="006843C0" w:rsidP="00FE0907">
          <w:pPr>
            <w:autoSpaceDE w:val="0"/>
            <w:autoSpaceDN w:val="0"/>
            <w:spacing w:after="0" w:line="240" w:lineRule="auto"/>
            <w:ind w:hanging="480"/>
            <w:jc w:val="both"/>
            <w:divId w:val="1879588442"/>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Li, K. D., Hakam, N., Low, P., Lui, J., Sadighian, M. J., Nabavizadeh, B., Shaw, N. M., &amp; Breyer, B. N. (2022). A Legal Database Review of Circumcision Related Litigation in the United States. </w:t>
          </w:r>
          <w:r w:rsidRPr="00FE0907">
            <w:rPr>
              <w:rFonts w:ascii="Times New Roman" w:eastAsia="Times New Roman" w:hAnsi="Times New Roman" w:cs="Times New Roman"/>
              <w:i/>
              <w:iCs/>
              <w:color w:val="000000"/>
            </w:rPr>
            <w:t>Urology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160</w:t>
          </w:r>
          <w:r w:rsidRPr="00FE0907">
            <w:rPr>
              <w:rFonts w:ascii="Times New Roman" w:eastAsia="Times New Roman" w:hAnsi="Times New Roman" w:cs="Times New Roman"/>
              <w:color w:val="000000"/>
            </w:rPr>
            <w:t>, 94–101. https://doi.org/10.1016/j.urology.2021.09.036</w:t>
          </w:r>
        </w:p>
        <w:p w14:paraId="5BC15130" w14:textId="77777777" w:rsidR="006843C0" w:rsidRPr="00FE0907" w:rsidRDefault="006843C0" w:rsidP="00FE0907">
          <w:pPr>
            <w:autoSpaceDE w:val="0"/>
            <w:autoSpaceDN w:val="0"/>
            <w:spacing w:after="0" w:line="240" w:lineRule="auto"/>
            <w:ind w:hanging="480"/>
            <w:jc w:val="both"/>
            <w:divId w:val="1230456937"/>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Liu, H., Dong, B., Wu, X., Hua, L., Zhang, M., Li, X., Liu, J., Zhan, J., Gao, X., Chen, R., Wang, X., Wang, Z., Sun, Z., Xie, C., &amp; Jiang, Z. (2025). Replantation following complete penile amputation: Summary of perioperative experience and treatment strategies. </w:t>
          </w:r>
          <w:r w:rsidRPr="00FE0907">
            <w:rPr>
              <w:rFonts w:ascii="Times New Roman" w:eastAsia="Times New Roman" w:hAnsi="Times New Roman" w:cs="Times New Roman"/>
              <w:i/>
              <w:iCs/>
              <w:color w:val="000000"/>
            </w:rPr>
            <w:t>Andrology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13</w:t>
          </w:r>
          <w:r w:rsidRPr="00FE0907">
            <w:rPr>
              <w:rFonts w:ascii="Times New Roman" w:eastAsia="Times New Roman" w:hAnsi="Times New Roman" w:cs="Times New Roman"/>
              <w:color w:val="000000"/>
            </w:rPr>
            <w:t>(6), 1469–1483. https://doi.org/https://doi.org/10.1111/andr.13783</w:t>
          </w:r>
        </w:p>
        <w:p w14:paraId="22547BF3" w14:textId="77777777" w:rsidR="006843C0" w:rsidRPr="00FE0907" w:rsidRDefault="006843C0" w:rsidP="00FE0907">
          <w:pPr>
            <w:autoSpaceDE w:val="0"/>
            <w:autoSpaceDN w:val="0"/>
            <w:spacing w:after="0" w:line="240" w:lineRule="auto"/>
            <w:ind w:hanging="480"/>
            <w:jc w:val="both"/>
            <w:divId w:val="666245318"/>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Lucas, T. J., Toledo, C., Davis, S. M., Watts, D. H., Cavanaugh, J. S., Kiggundu, V., Thomas, A. G., Odoyo-June, E., Bonnecwe, C., Maringa, T. H., Martin, E., Juma, A. W., Xaba, S., Balachandra, S., Come, J., Canda, M., Nyirenda, R., Msungama, W., Odek, J., … Hines, J. Z. (2020). Case series of glans injuries during voluntary medical male circumcision for HIV prevention - Eastern and southern Africa, 2015-2018. </w:t>
          </w:r>
          <w:r w:rsidRPr="00FE0907">
            <w:rPr>
              <w:rFonts w:ascii="Times New Roman" w:eastAsia="Times New Roman" w:hAnsi="Times New Roman" w:cs="Times New Roman"/>
              <w:i/>
              <w:iCs/>
              <w:color w:val="000000"/>
            </w:rPr>
            <w:t>BMC Urology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20</w:t>
          </w:r>
          <w:r w:rsidRPr="00FE0907">
            <w:rPr>
              <w:rFonts w:ascii="Times New Roman" w:eastAsia="Times New Roman" w:hAnsi="Times New Roman" w:cs="Times New Roman"/>
              <w:color w:val="000000"/>
            </w:rPr>
            <w:t>(1). https://doi.org/10.1186/s12894-020-00613-6</w:t>
          </w:r>
        </w:p>
        <w:p w14:paraId="1E23E721" w14:textId="77777777" w:rsidR="006843C0" w:rsidRPr="00FE0907" w:rsidRDefault="006843C0" w:rsidP="00FE0907">
          <w:pPr>
            <w:autoSpaceDE w:val="0"/>
            <w:autoSpaceDN w:val="0"/>
            <w:spacing w:after="0" w:line="240" w:lineRule="auto"/>
            <w:ind w:hanging="480"/>
            <w:jc w:val="both"/>
            <w:divId w:val="765534937"/>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Militello, C., &amp; Pais, V. (2023). Male Circumcision: History of Current Surgical Practice. In A. Zaghal &amp; A. El Safadi (Eds.), </w:t>
          </w:r>
          <w:r w:rsidRPr="00FE0907">
            <w:rPr>
              <w:rFonts w:ascii="Times New Roman" w:eastAsia="Times New Roman" w:hAnsi="Times New Roman" w:cs="Times New Roman"/>
              <w:i/>
              <w:iCs/>
              <w:color w:val="000000"/>
            </w:rPr>
            <w:t>Circumcision - Advances and New Perspectives</w:t>
          </w:r>
          <w:r w:rsidRPr="00FE0907">
            <w:rPr>
              <w:rFonts w:ascii="Times New Roman" w:eastAsia="Times New Roman" w:hAnsi="Times New Roman" w:cs="Times New Roman"/>
              <w:color w:val="000000"/>
            </w:rPr>
            <w:t>. IntechOpen. https://doi.org/10.5772/intechopen.106533</w:t>
          </w:r>
        </w:p>
        <w:p w14:paraId="6266AC43" w14:textId="77777777" w:rsidR="006843C0" w:rsidRPr="00FE0907" w:rsidRDefault="006843C0" w:rsidP="00FE0907">
          <w:pPr>
            <w:autoSpaceDE w:val="0"/>
            <w:autoSpaceDN w:val="0"/>
            <w:spacing w:after="0" w:line="240" w:lineRule="auto"/>
            <w:ind w:hanging="480"/>
            <w:jc w:val="both"/>
            <w:divId w:val="592857140"/>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Morris, B. J., Wamai, R. G., Henebeng, E. B., Tobian, A. A. R., Klausner, J. D., Banerjee, J., &amp; Hankins, C. A. (2016). Estimation of country-specific and global prevalence of male circumcision. </w:t>
          </w:r>
          <w:r w:rsidRPr="00FE0907">
            <w:rPr>
              <w:rFonts w:ascii="Times New Roman" w:eastAsia="Times New Roman" w:hAnsi="Times New Roman" w:cs="Times New Roman"/>
              <w:i/>
              <w:iCs/>
              <w:color w:val="000000"/>
            </w:rPr>
            <w:t>Population Health Metrics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14</w:t>
          </w:r>
          <w:r w:rsidRPr="00FE0907">
            <w:rPr>
              <w:rFonts w:ascii="Times New Roman" w:eastAsia="Times New Roman" w:hAnsi="Times New Roman" w:cs="Times New Roman"/>
              <w:color w:val="000000"/>
            </w:rPr>
            <w:t>(1), 4. https://doi.org/10.1186/s12963-016-0073-5</w:t>
          </w:r>
        </w:p>
        <w:p w14:paraId="17EB66ED" w14:textId="77777777" w:rsidR="006843C0" w:rsidRPr="00FE0907" w:rsidRDefault="006843C0" w:rsidP="00FE0907">
          <w:pPr>
            <w:autoSpaceDE w:val="0"/>
            <w:autoSpaceDN w:val="0"/>
            <w:spacing w:after="0" w:line="240" w:lineRule="auto"/>
            <w:ind w:hanging="480"/>
            <w:jc w:val="both"/>
            <w:divId w:val="906841732"/>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Morris, B., Rivin, B. E., Sheldon, M., &amp; Krieger, J. N. (2024). Neonatal Male Circumcision: Clearly Beneficial for Public Health or an Ethical Dilemma? A Systematic Review. </w:t>
          </w:r>
          <w:r w:rsidRPr="00FE0907">
            <w:rPr>
              <w:rFonts w:ascii="Times New Roman" w:eastAsia="Times New Roman" w:hAnsi="Times New Roman" w:cs="Times New Roman"/>
              <w:i/>
              <w:iCs/>
              <w:color w:val="000000"/>
            </w:rPr>
            <w:t>Cureus</w:t>
          </w:r>
          <w:r w:rsidRPr="00FE0907">
            <w:rPr>
              <w:rFonts w:ascii="Times New Roman" w:eastAsia="Times New Roman" w:hAnsi="Times New Roman" w:cs="Times New Roman"/>
              <w:color w:val="000000"/>
            </w:rPr>
            <w:t>. https://doi.org/10.7759/cureus.54772</w:t>
          </w:r>
        </w:p>
        <w:p w14:paraId="3CD84ABE" w14:textId="77777777" w:rsidR="006843C0" w:rsidRPr="00FE0907" w:rsidRDefault="006843C0" w:rsidP="00FE0907">
          <w:pPr>
            <w:autoSpaceDE w:val="0"/>
            <w:autoSpaceDN w:val="0"/>
            <w:spacing w:after="0" w:line="240" w:lineRule="auto"/>
            <w:ind w:hanging="480"/>
            <w:jc w:val="both"/>
            <w:divId w:val="1070808949"/>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Mwesigwa, H. (n.d.). TO CUT OR NOT TO CUT: INFANT MALE CIRCUMCISION AND HUMAN RIGHTS IN UGANDA. In </w:t>
          </w:r>
          <w:r w:rsidRPr="00FE0907">
            <w:rPr>
              <w:rFonts w:ascii="Times New Roman" w:eastAsia="Times New Roman" w:hAnsi="Times New Roman" w:cs="Times New Roman"/>
              <w:i/>
              <w:iCs/>
              <w:color w:val="000000"/>
            </w:rPr>
            <w:t>208 East East African Journal of Peace &amp; Human Rights</w:t>
          </w:r>
          <w:r w:rsidRPr="00FE0907">
            <w:rPr>
              <w:rFonts w:ascii="Times New Roman" w:eastAsia="Times New Roman" w:hAnsi="Times New Roman" w:cs="Times New Roman"/>
              <w:color w:val="000000"/>
            </w:rPr>
            <w:t xml:space="preserve"> (Vol. 30, Number 2).</w:t>
          </w:r>
        </w:p>
        <w:p w14:paraId="50B84126" w14:textId="77777777" w:rsidR="006843C0" w:rsidRPr="00FE0907" w:rsidRDefault="006843C0" w:rsidP="00FE0907">
          <w:pPr>
            <w:autoSpaceDE w:val="0"/>
            <w:autoSpaceDN w:val="0"/>
            <w:spacing w:after="0" w:line="240" w:lineRule="auto"/>
            <w:ind w:hanging="480"/>
            <w:jc w:val="both"/>
            <w:divId w:val="1737359627"/>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Nafatalewa, D. K., Mukakala, A. K., Mujinga, I. M. W., Lubosha, N. A., Yumba, S. N., Banza, M. I., Kaoma, V. de P., Katambwa, P. M., Musapudi, E. M., Misenga, J. B., &amp; Mukaz, P. M. (2022). Amputation totale du gland lors de la circoncision en milieu non hospitalier: rapport de cas. </w:t>
          </w:r>
          <w:r w:rsidRPr="00FE0907">
            <w:rPr>
              <w:rFonts w:ascii="Times New Roman" w:eastAsia="Times New Roman" w:hAnsi="Times New Roman" w:cs="Times New Roman"/>
              <w:i/>
              <w:iCs/>
              <w:color w:val="000000"/>
            </w:rPr>
            <w:t>The Pan African Medical Journal</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42</w:t>
          </w:r>
          <w:r w:rsidRPr="00FE0907">
            <w:rPr>
              <w:rFonts w:ascii="Times New Roman" w:eastAsia="Times New Roman" w:hAnsi="Times New Roman" w:cs="Times New Roman"/>
              <w:color w:val="000000"/>
            </w:rPr>
            <w:t>, 214. https://doi.org/10.11604/pamj.2022.42.214.28325</w:t>
          </w:r>
        </w:p>
        <w:p w14:paraId="47A83EBF" w14:textId="77777777" w:rsidR="006843C0" w:rsidRPr="00FE0907" w:rsidRDefault="006843C0" w:rsidP="00FE0907">
          <w:pPr>
            <w:autoSpaceDE w:val="0"/>
            <w:autoSpaceDN w:val="0"/>
            <w:spacing w:after="0" w:line="240" w:lineRule="auto"/>
            <w:ind w:hanging="480"/>
            <w:jc w:val="both"/>
            <w:divId w:val="487021204"/>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Nergül, Ç., Abdülkadir, İ., Kurtulus, D. A., &amp; Kemalettin, A. (2026). Medical malpractice in pediatric surgery: an analysis of Supreme Court decisions involving physicians. </w:t>
          </w:r>
          <w:r w:rsidRPr="00FE0907">
            <w:rPr>
              <w:rFonts w:ascii="Times New Roman" w:eastAsia="Times New Roman" w:hAnsi="Times New Roman" w:cs="Times New Roman"/>
              <w:i/>
              <w:iCs/>
              <w:color w:val="000000"/>
            </w:rPr>
            <w:t>Annals of Saudi Medicine</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46</w:t>
          </w:r>
          <w:r w:rsidRPr="00FE0907">
            <w:rPr>
              <w:rFonts w:ascii="Times New Roman" w:eastAsia="Times New Roman" w:hAnsi="Times New Roman" w:cs="Times New Roman"/>
              <w:color w:val="000000"/>
            </w:rPr>
            <w:t>(1), 1–8. https://doi.org/10.5144/0256-4947.2026.1</w:t>
          </w:r>
        </w:p>
        <w:p w14:paraId="1C7C0D77" w14:textId="77777777" w:rsidR="006843C0" w:rsidRPr="00FE0907" w:rsidRDefault="006843C0" w:rsidP="00FE0907">
          <w:pPr>
            <w:autoSpaceDE w:val="0"/>
            <w:autoSpaceDN w:val="0"/>
            <w:spacing w:after="0" w:line="240" w:lineRule="auto"/>
            <w:ind w:hanging="480"/>
            <w:jc w:val="both"/>
            <w:divId w:val="84496483"/>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Nurhayani, N., Sari Oktafiani, N., Dani Yamsun, R., Khairunnisa, R., Hanurita Subekti, T., Harfian Rajendra, H., &amp; Auliany, F. (2021). Pidana Tenaga Kesehatan terhadap Malpraktik dan Negligence dalam Tindakan Khitan (Sirkumsisi). </w:t>
          </w:r>
          <w:r w:rsidRPr="00FE0907">
            <w:rPr>
              <w:rFonts w:ascii="Times New Roman" w:eastAsia="Times New Roman" w:hAnsi="Times New Roman" w:cs="Times New Roman"/>
              <w:i/>
              <w:iCs/>
              <w:color w:val="000000"/>
            </w:rPr>
            <w:t xml:space="preserve">Prociding Call </w:t>
          </w:r>
          <w:proofErr w:type="gramStart"/>
          <w:r w:rsidRPr="00FE0907">
            <w:rPr>
              <w:rFonts w:ascii="Times New Roman" w:eastAsia="Times New Roman" w:hAnsi="Times New Roman" w:cs="Times New Roman"/>
              <w:i/>
              <w:iCs/>
              <w:color w:val="000000"/>
            </w:rPr>
            <w:t>For</w:t>
          </w:r>
          <w:proofErr w:type="gramEnd"/>
          <w:r w:rsidRPr="00FE0907">
            <w:rPr>
              <w:rFonts w:ascii="Times New Roman" w:eastAsia="Times New Roman" w:hAnsi="Times New Roman" w:cs="Times New Roman"/>
              <w:i/>
              <w:iCs/>
              <w:color w:val="000000"/>
            </w:rPr>
            <w:t xml:space="preserve"> Paper Thalamus Fakultas Kedokteran</w:t>
          </w:r>
          <w:r w:rsidRPr="00FE0907">
            <w:rPr>
              <w:rFonts w:ascii="Times New Roman" w:eastAsia="Times New Roman" w:hAnsi="Times New Roman" w:cs="Times New Roman"/>
              <w:color w:val="000000"/>
            </w:rPr>
            <w:t>.</w:t>
          </w:r>
        </w:p>
        <w:p w14:paraId="5E1D4D2B" w14:textId="77777777" w:rsidR="006843C0" w:rsidRPr="00FE0907" w:rsidRDefault="006843C0" w:rsidP="00FE0907">
          <w:pPr>
            <w:autoSpaceDE w:val="0"/>
            <w:autoSpaceDN w:val="0"/>
            <w:spacing w:after="0" w:line="240" w:lineRule="auto"/>
            <w:ind w:hanging="480"/>
            <w:jc w:val="both"/>
            <w:divId w:val="239602939"/>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Oranusi, C. K., &amp; Nwofor, A. M. E. (2015). Traumatic penile injuries: Mechanisms and problems of treatment in a tertiary institution in Nigeria. </w:t>
          </w:r>
          <w:r w:rsidRPr="00FE0907">
            <w:rPr>
              <w:rFonts w:ascii="Times New Roman" w:eastAsia="Times New Roman" w:hAnsi="Times New Roman" w:cs="Times New Roman"/>
              <w:i/>
              <w:iCs/>
              <w:color w:val="000000"/>
            </w:rPr>
            <w:t>Nigerian Journal of Clinical Practice</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17</w:t>
          </w:r>
          <w:r w:rsidRPr="00FE0907">
            <w:rPr>
              <w:rFonts w:ascii="Times New Roman" w:eastAsia="Times New Roman" w:hAnsi="Times New Roman" w:cs="Times New Roman"/>
              <w:color w:val="000000"/>
            </w:rPr>
            <w:t>(6), 763–766. https://doi.org/10.4314/njcp.v17i6.</w:t>
          </w:r>
        </w:p>
        <w:p w14:paraId="25265AA4" w14:textId="77777777" w:rsidR="006843C0" w:rsidRPr="00FE0907" w:rsidRDefault="006843C0" w:rsidP="00FE0907">
          <w:pPr>
            <w:autoSpaceDE w:val="0"/>
            <w:autoSpaceDN w:val="0"/>
            <w:spacing w:after="0" w:line="240" w:lineRule="auto"/>
            <w:ind w:hanging="480"/>
            <w:jc w:val="both"/>
            <w:divId w:val="1357924474"/>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Page, M. J., McKenzie, J. E., Bossuyt, P. M., Boutron, I., Hoffmann, T. C., Mulrow, C. D., Shamseer, L., Tetzlaff, J. M., Akl, E. A., Brennan, S. E., Chou, R., Glanville, J., Grimshaw, J. </w:t>
          </w:r>
          <w:r w:rsidRPr="00FE0907">
            <w:rPr>
              <w:rFonts w:ascii="Times New Roman" w:eastAsia="Times New Roman" w:hAnsi="Times New Roman" w:cs="Times New Roman"/>
              <w:color w:val="000000"/>
            </w:rPr>
            <w:lastRenderedPageBreak/>
            <w:t xml:space="preserve">M., Hróbjartsson, A., Lalu, M. M., Li, T., Loder, E. W., Mayo-Wilson, E., McDonald, S., … Moher, D. (2021). The PRISMA 2020 statement: An updated guideline for reporting systematic reviews. </w:t>
          </w:r>
          <w:r w:rsidRPr="00FE0907">
            <w:rPr>
              <w:rFonts w:ascii="Times New Roman" w:eastAsia="Times New Roman" w:hAnsi="Times New Roman" w:cs="Times New Roman"/>
              <w:i/>
              <w:iCs/>
              <w:color w:val="000000"/>
            </w:rPr>
            <w:t>The BMJ</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372</w:t>
          </w:r>
          <w:r w:rsidRPr="00FE0907">
            <w:rPr>
              <w:rFonts w:ascii="Times New Roman" w:eastAsia="Times New Roman" w:hAnsi="Times New Roman" w:cs="Times New Roman"/>
              <w:color w:val="000000"/>
            </w:rPr>
            <w:t>. https://doi.org/10.1136/bmj.n71</w:t>
          </w:r>
        </w:p>
        <w:p w14:paraId="4B700E42" w14:textId="77777777" w:rsidR="006843C0" w:rsidRPr="00FE0907" w:rsidRDefault="006843C0" w:rsidP="00FE0907">
          <w:pPr>
            <w:autoSpaceDE w:val="0"/>
            <w:autoSpaceDN w:val="0"/>
            <w:spacing w:after="0" w:line="240" w:lineRule="auto"/>
            <w:ind w:hanging="480"/>
            <w:jc w:val="both"/>
            <w:divId w:val="1206066422"/>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Pallocci, M., Treglia, M., Passalacqua, P., Tittarelli, R., Zanovello, C., De Luca, L., Caparrelli, V., De Luna, V., Cisterna, A. M., Quintavalle, G., &amp; Marsella, L. T. (2023). Informed Consent: Legal Obligation or Cornerstone of the Care Relationship? </w:t>
          </w:r>
          <w:r w:rsidRPr="00FE0907">
            <w:rPr>
              <w:rFonts w:ascii="Times New Roman" w:eastAsia="Times New Roman" w:hAnsi="Times New Roman" w:cs="Times New Roman"/>
              <w:i/>
              <w:iCs/>
              <w:color w:val="000000"/>
            </w:rPr>
            <w:t>International Journal of Environmental Research and Public Health</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20</w:t>
          </w:r>
          <w:r w:rsidRPr="00FE0907">
            <w:rPr>
              <w:rFonts w:ascii="Times New Roman" w:eastAsia="Times New Roman" w:hAnsi="Times New Roman" w:cs="Times New Roman"/>
              <w:color w:val="000000"/>
            </w:rPr>
            <w:t>(3). https://doi.org/10.3390/ijerph20032118</w:t>
          </w:r>
        </w:p>
        <w:p w14:paraId="24DFDB29" w14:textId="77777777" w:rsidR="006843C0" w:rsidRPr="00FE0907" w:rsidRDefault="006843C0" w:rsidP="00FE0907">
          <w:pPr>
            <w:autoSpaceDE w:val="0"/>
            <w:autoSpaceDN w:val="0"/>
            <w:spacing w:after="0" w:line="240" w:lineRule="auto"/>
            <w:ind w:hanging="480"/>
            <w:jc w:val="both"/>
            <w:divId w:val="1473715839"/>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Pane, A. M. N., &amp; Suminar, S. R. (2023). Pertanggungjawaban Hukum Perawat dalam Praktik Khitan (Sirkumsisi) yang Merugikan Pasien Ditinjau dengan Undang-Undang Nomor 38 Tahun 2014 Tentang Keperawatan. </w:t>
          </w:r>
          <w:r w:rsidRPr="00FE0907">
            <w:rPr>
              <w:rFonts w:ascii="Times New Roman" w:eastAsia="Times New Roman" w:hAnsi="Times New Roman" w:cs="Times New Roman"/>
              <w:i/>
              <w:iCs/>
              <w:color w:val="000000"/>
            </w:rPr>
            <w:t>Bandung Conference Series: Law Studies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3</w:t>
          </w:r>
          <w:r w:rsidRPr="00FE0907">
            <w:rPr>
              <w:rFonts w:ascii="Times New Roman" w:eastAsia="Times New Roman" w:hAnsi="Times New Roman" w:cs="Times New Roman"/>
              <w:color w:val="000000"/>
            </w:rPr>
            <w:t>(1). https://doi.org/10.29313/bcsls.v3i1.4990</w:t>
          </w:r>
        </w:p>
        <w:p w14:paraId="3AE77DED" w14:textId="77777777" w:rsidR="006843C0" w:rsidRPr="00FE0907" w:rsidRDefault="006843C0" w:rsidP="00FE0907">
          <w:pPr>
            <w:autoSpaceDE w:val="0"/>
            <w:autoSpaceDN w:val="0"/>
            <w:spacing w:after="0" w:line="240" w:lineRule="auto"/>
            <w:ind w:hanging="480"/>
            <w:jc w:val="both"/>
            <w:divId w:val="1167600237"/>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Pepe, P., Pietropaolo, F., Candiano, G., &amp; Pennisi, M. (2015). Ischemia of the glans penis following circumcision: case report and revision of the literature. </w:t>
          </w:r>
          <w:r w:rsidRPr="00FE0907">
            <w:rPr>
              <w:rFonts w:ascii="Times New Roman" w:eastAsia="Times New Roman" w:hAnsi="Times New Roman" w:cs="Times New Roman"/>
              <w:i/>
              <w:iCs/>
              <w:color w:val="000000"/>
            </w:rPr>
            <w:t xml:space="preserve">Archivio Italiano Di Urologia, </w:t>
          </w:r>
          <w:proofErr w:type="gramStart"/>
          <w:r w:rsidRPr="00FE0907">
            <w:rPr>
              <w:rFonts w:ascii="Times New Roman" w:eastAsia="Times New Roman" w:hAnsi="Times New Roman" w:cs="Times New Roman"/>
              <w:i/>
              <w:iCs/>
              <w:color w:val="000000"/>
            </w:rPr>
            <w:t>Andrologia :</w:t>
          </w:r>
          <w:proofErr w:type="gramEnd"/>
          <w:r w:rsidRPr="00FE0907">
            <w:rPr>
              <w:rFonts w:ascii="Times New Roman" w:eastAsia="Times New Roman" w:hAnsi="Times New Roman" w:cs="Times New Roman"/>
              <w:i/>
              <w:iCs/>
              <w:color w:val="000000"/>
            </w:rPr>
            <w:t xml:space="preserve"> Organo Ufficiale [Di] Società Italiana Di Ecografia Urologica e Nefrologica / Associazione Ricerche in Urologia</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87</w:t>
          </w:r>
          <w:r w:rsidRPr="00FE0907">
            <w:rPr>
              <w:rFonts w:ascii="Times New Roman" w:eastAsia="Times New Roman" w:hAnsi="Times New Roman" w:cs="Times New Roman"/>
              <w:color w:val="000000"/>
            </w:rPr>
            <w:t>(1), 93–94. https://doi.org/10.4081/aiua.2015.1.93</w:t>
          </w:r>
        </w:p>
        <w:p w14:paraId="5DD6B241" w14:textId="77777777" w:rsidR="006843C0" w:rsidRPr="00FE0907" w:rsidRDefault="006843C0" w:rsidP="00FE0907">
          <w:pPr>
            <w:autoSpaceDE w:val="0"/>
            <w:autoSpaceDN w:val="0"/>
            <w:spacing w:after="0" w:line="240" w:lineRule="auto"/>
            <w:ind w:hanging="480"/>
            <w:jc w:val="both"/>
            <w:divId w:val="1052970752"/>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Porzionato, A., Macchi, V., Stecco, C., Boscolo-Berto, R., Loukas, M., Tubbs, R. S., &amp; De Caro, R. (2022). Clinical Anatomy and Medical Malpractice—A Narrative Review with Methodological Implications. In </w:t>
          </w:r>
          <w:r w:rsidRPr="00FE0907">
            <w:rPr>
              <w:rFonts w:ascii="Times New Roman" w:eastAsia="Times New Roman" w:hAnsi="Times New Roman" w:cs="Times New Roman"/>
              <w:i/>
              <w:iCs/>
              <w:color w:val="000000"/>
            </w:rPr>
            <w:t>Healthcare (Switzerland)</w:t>
          </w:r>
          <w:r w:rsidRPr="00FE0907">
            <w:rPr>
              <w:rFonts w:ascii="Times New Roman" w:eastAsia="Times New Roman" w:hAnsi="Times New Roman" w:cs="Times New Roman"/>
              <w:color w:val="000000"/>
            </w:rPr>
            <w:t xml:space="preserve"> (Vol. 10, Number 10). MDPI. https://doi.org/10.3390/healthcare10101915</w:t>
          </w:r>
        </w:p>
        <w:p w14:paraId="10815A8E" w14:textId="77777777" w:rsidR="006843C0" w:rsidRPr="00FE0907" w:rsidRDefault="006843C0" w:rsidP="00FE0907">
          <w:pPr>
            <w:autoSpaceDE w:val="0"/>
            <w:autoSpaceDN w:val="0"/>
            <w:spacing w:after="0" w:line="240" w:lineRule="auto"/>
            <w:ind w:hanging="480"/>
            <w:jc w:val="both"/>
            <w:divId w:val="276302483"/>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Razzaque, A., Islam, T., Rahman, A. K. M. M., Poly, N. N., &amp; Saha, D. K. (2024). Comparative Study of Circumcision. </w:t>
          </w:r>
          <w:r w:rsidRPr="00FE0907">
            <w:rPr>
              <w:rFonts w:ascii="Times New Roman" w:eastAsia="Times New Roman" w:hAnsi="Times New Roman" w:cs="Times New Roman"/>
              <w:i/>
              <w:iCs/>
              <w:color w:val="000000"/>
            </w:rPr>
            <w:t>SAS Journal of Surgery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10</w:t>
          </w:r>
          <w:r w:rsidRPr="00FE0907">
            <w:rPr>
              <w:rFonts w:ascii="Times New Roman" w:eastAsia="Times New Roman" w:hAnsi="Times New Roman" w:cs="Times New Roman"/>
              <w:color w:val="000000"/>
            </w:rPr>
            <w:t>(09), 1065–1071. https://doi.org/10.36347/sasjs.2024.v10i09.011</w:t>
          </w:r>
        </w:p>
        <w:p w14:paraId="4D7BC57D" w14:textId="77777777" w:rsidR="006843C0" w:rsidRPr="00FE0907" w:rsidRDefault="006843C0" w:rsidP="00FE0907">
          <w:pPr>
            <w:autoSpaceDE w:val="0"/>
            <w:autoSpaceDN w:val="0"/>
            <w:spacing w:after="0" w:line="240" w:lineRule="auto"/>
            <w:ind w:hanging="480"/>
            <w:jc w:val="both"/>
            <w:divId w:val="466093521"/>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Reddy, S. V. K., Shaik, A. B., &amp; Sreenivas, K. (2014). Penile injuries: A 10-year experience. </w:t>
          </w:r>
          <w:r w:rsidRPr="00FE0907">
            <w:rPr>
              <w:rFonts w:ascii="Times New Roman" w:eastAsia="Times New Roman" w:hAnsi="Times New Roman" w:cs="Times New Roman"/>
              <w:i/>
              <w:iCs/>
              <w:color w:val="000000"/>
            </w:rPr>
            <w:t>Canadian Urological Association Journal</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8</w:t>
          </w:r>
          <w:r w:rsidRPr="00FE0907">
            <w:rPr>
              <w:rFonts w:ascii="Times New Roman" w:eastAsia="Times New Roman" w:hAnsi="Times New Roman" w:cs="Times New Roman"/>
              <w:color w:val="000000"/>
            </w:rPr>
            <w:t>(9–10), e626–e631. https://doi.org/10.5489/cuaj.1821</w:t>
          </w:r>
        </w:p>
        <w:p w14:paraId="20542654" w14:textId="77777777" w:rsidR="006843C0" w:rsidRPr="00FE0907" w:rsidRDefault="006843C0" w:rsidP="00FE0907">
          <w:pPr>
            <w:autoSpaceDE w:val="0"/>
            <w:autoSpaceDN w:val="0"/>
            <w:spacing w:after="0" w:line="240" w:lineRule="auto"/>
            <w:ind w:hanging="480"/>
            <w:jc w:val="both"/>
            <w:divId w:val="1355770326"/>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Sahari, A. (2022). Competence for Male Circumcision by Health Workers According to Health Law. </w:t>
          </w:r>
          <w:r w:rsidRPr="00FE0907">
            <w:rPr>
              <w:rFonts w:ascii="Times New Roman" w:eastAsia="Times New Roman" w:hAnsi="Times New Roman" w:cs="Times New Roman"/>
              <w:i/>
              <w:iCs/>
              <w:color w:val="000000"/>
            </w:rPr>
            <w:t>SOEPRA</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8</w:t>
          </w:r>
          <w:r w:rsidRPr="00FE0907">
            <w:rPr>
              <w:rFonts w:ascii="Times New Roman" w:eastAsia="Times New Roman" w:hAnsi="Times New Roman" w:cs="Times New Roman"/>
              <w:color w:val="000000"/>
            </w:rPr>
            <w:t>(2), 210–220. https://doi.org/10.24167/shk.v8i2.4976</w:t>
          </w:r>
        </w:p>
        <w:p w14:paraId="574F16CB" w14:textId="77777777" w:rsidR="006843C0" w:rsidRPr="00FE0907" w:rsidRDefault="006843C0" w:rsidP="00FE0907">
          <w:pPr>
            <w:autoSpaceDE w:val="0"/>
            <w:autoSpaceDN w:val="0"/>
            <w:spacing w:after="0" w:line="240" w:lineRule="auto"/>
            <w:ind w:hanging="480"/>
            <w:jc w:val="both"/>
            <w:divId w:val="2111074348"/>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Satyagraha, P., Mumpuni, F., &amp; Seputra, K. P. (2020). Case Series: Iatrogenic Penile Amputation Due to Circumcision. In </w:t>
          </w:r>
          <w:r w:rsidRPr="00FE0907">
            <w:rPr>
              <w:rFonts w:ascii="Times New Roman" w:eastAsia="Times New Roman" w:hAnsi="Times New Roman" w:cs="Times New Roman"/>
              <w:i/>
              <w:iCs/>
              <w:color w:val="000000"/>
            </w:rPr>
            <w:t>Journal Brawijaya of Urology</w:t>
          </w:r>
          <w:r w:rsidRPr="00FE0907">
            <w:rPr>
              <w:rFonts w:ascii="Times New Roman" w:eastAsia="Times New Roman" w:hAnsi="Times New Roman" w:cs="Times New Roman"/>
              <w:color w:val="000000"/>
            </w:rPr>
            <w:t xml:space="preserve"> (Vol. 1, Number 1).</w:t>
          </w:r>
        </w:p>
        <w:p w14:paraId="102A3F05" w14:textId="77777777" w:rsidR="006843C0" w:rsidRPr="00FE0907" w:rsidRDefault="006843C0" w:rsidP="00FE0907">
          <w:pPr>
            <w:autoSpaceDE w:val="0"/>
            <w:autoSpaceDN w:val="0"/>
            <w:spacing w:after="0" w:line="240" w:lineRule="auto"/>
            <w:ind w:hanging="480"/>
            <w:jc w:val="both"/>
            <w:divId w:val="1038314397"/>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Schröder, A., Farhat, W. A., Chiasson, D., Wilson, G. J., &amp; Koyle, M. A. (2022). Serious and Fatal Complications after Neonatal Circumcision. </w:t>
          </w:r>
          <w:r w:rsidRPr="00FE0907">
            <w:rPr>
              <w:rFonts w:ascii="Times New Roman" w:eastAsia="Times New Roman" w:hAnsi="Times New Roman" w:cs="Times New Roman"/>
              <w:i/>
              <w:iCs/>
              <w:color w:val="000000"/>
            </w:rPr>
            <w:t>European Urology Focus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8</w:t>
          </w:r>
          <w:r w:rsidRPr="00FE0907">
            <w:rPr>
              <w:rFonts w:ascii="Times New Roman" w:eastAsia="Times New Roman" w:hAnsi="Times New Roman" w:cs="Times New Roman"/>
              <w:color w:val="000000"/>
            </w:rPr>
            <w:t>(5), 1560–1563. https://doi.org/https://doi.org/10.1016/j.euf.2021.12.005</w:t>
          </w:r>
        </w:p>
        <w:p w14:paraId="3FC04B0E" w14:textId="77777777" w:rsidR="006843C0" w:rsidRPr="00FE0907" w:rsidRDefault="006843C0" w:rsidP="00FE0907">
          <w:pPr>
            <w:autoSpaceDE w:val="0"/>
            <w:autoSpaceDN w:val="0"/>
            <w:spacing w:after="0" w:line="240" w:lineRule="auto"/>
            <w:ind w:hanging="480"/>
            <w:jc w:val="both"/>
            <w:divId w:val="96756530"/>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Seleim, H. M., &amp; Elbarbary, M. M. (2016). Major penile injuries as a result of cautery during newborn circumcision. </w:t>
          </w:r>
          <w:r w:rsidRPr="00FE0907">
            <w:rPr>
              <w:rFonts w:ascii="Times New Roman" w:eastAsia="Times New Roman" w:hAnsi="Times New Roman" w:cs="Times New Roman"/>
              <w:i/>
              <w:iCs/>
              <w:color w:val="000000"/>
            </w:rPr>
            <w:t>Journal of Pediatric Surgery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51</w:t>
          </w:r>
          <w:r w:rsidRPr="00FE0907">
            <w:rPr>
              <w:rFonts w:ascii="Times New Roman" w:eastAsia="Times New Roman" w:hAnsi="Times New Roman" w:cs="Times New Roman"/>
              <w:color w:val="000000"/>
            </w:rPr>
            <w:t>(9), 1532–1537. https://doi.org/https://doi.org/10.1016/j.jpedsurg.2016.04.014</w:t>
          </w:r>
        </w:p>
        <w:p w14:paraId="4F0C2051" w14:textId="77777777" w:rsidR="006843C0" w:rsidRPr="00FE0907" w:rsidRDefault="006843C0" w:rsidP="00FE0907">
          <w:pPr>
            <w:autoSpaceDE w:val="0"/>
            <w:autoSpaceDN w:val="0"/>
            <w:spacing w:after="0" w:line="240" w:lineRule="auto"/>
            <w:ind w:hanging="480"/>
            <w:jc w:val="both"/>
            <w:divId w:val="13462705"/>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Shah, A., &amp; Shah, A. (2023). Total Glans Amputation in a Child following Ritual Circumcision – Report of a Case and Review of Literature. </w:t>
          </w:r>
          <w:r w:rsidRPr="00FE0907">
            <w:rPr>
              <w:rFonts w:ascii="Times New Roman" w:eastAsia="Times New Roman" w:hAnsi="Times New Roman" w:cs="Times New Roman"/>
              <w:i/>
              <w:iCs/>
              <w:color w:val="000000"/>
            </w:rPr>
            <w:t>Journal of Indian Association of Pediatric Surgeons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28</w:t>
          </w:r>
          <w:r w:rsidRPr="00FE0907">
            <w:rPr>
              <w:rFonts w:ascii="Times New Roman" w:eastAsia="Times New Roman" w:hAnsi="Times New Roman" w:cs="Times New Roman"/>
              <w:color w:val="000000"/>
            </w:rPr>
            <w:t>(3), 256–259. https://doi.org/10.4103/jiaps.jiaps_176_22</w:t>
          </w:r>
        </w:p>
        <w:p w14:paraId="1F40A12A" w14:textId="77777777" w:rsidR="006843C0" w:rsidRPr="00FE0907" w:rsidRDefault="006843C0" w:rsidP="00FE0907">
          <w:pPr>
            <w:autoSpaceDE w:val="0"/>
            <w:autoSpaceDN w:val="0"/>
            <w:spacing w:after="0" w:line="240" w:lineRule="auto"/>
            <w:ind w:hanging="480"/>
            <w:jc w:val="both"/>
            <w:divId w:val="1064374517"/>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Sharma, A., Yashaswi, T., John, J., &amp; Singh, S. (2022). Iatrogenic partial glanular amputation: A rare complication of circumcision. </w:t>
          </w:r>
          <w:r w:rsidRPr="00FE0907">
            <w:rPr>
              <w:rFonts w:ascii="Times New Roman" w:eastAsia="Times New Roman" w:hAnsi="Times New Roman" w:cs="Times New Roman"/>
              <w:i/>
              <w:iCs/>
              <w:color w:val="000000"/>
            </w:rPr>
            <w:t>Indian Journal of Urology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38</w:t>
          </w:r>
          <w:r w:rsidRPr="00FE0907">
            <w:rPr>
              <w:rFonts w:ascii="Times New Roman" w:eastAsia="Times New Roman" w:hAnsi="Times New Roman" w:cs="Times New Roman"/>
              <w:color w:val="000000"/>
            </w:rPr>
            <w:t>(4), 312–314. https://doi.org/10.4103/iju.iju_166_22</w:t>
          </w:r>
        </w:p>
        <w:p w14:paraId="0D7384A7" w14:textId="77777777" w:rsidR="006843C0" w:rsidRPr="00FE0907" w:rsidRDefault="006843C0" w:rsidP="00FE0907">
          <w:pPr>
            <w:autoSpaceDE w:val="0"/>
            <w:autoSpaceDN w:val="0"/>
            <w:spacing w:after="0" w:line="240" w:lineRule="auto"/>
            <w:ind w:hanging="480"/>
            <w:jc w:val="both"/>
            <w:divId w:val="271791010"/>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Singh, R., Yadav, N., Pandey, M., &amp; Jones, D. G. (2022). Is inadequate anatomical knowledge on the part of physicians hazardous for successful clinical practice? </w:t>
          </w:r>
          <w:r w:rsidRPr="00FE0907">
            <w:rPr>
              <w:rFonts w:ascii="Times New Roman" w:eastAsia="Times New Roman" w:hAnsi="Times New Roman" w:cs="Times New Roman"/>
              <w:i/>
              <w:iCs/>
              <w:color w:val="000000"/>
            </w:rPr>
            <w:t>Surgical and Radiologic Anatomy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44</w:t>
          </w:r>
          <w:r w:rsidRPr="00FE0907">
            <w:rPr>
              <w:rFonts w:ascii="Times New Roman" w:eastAsia="Times New Roman" w:hAnsi="Times New Roman" w:cs="Times New Roman"/>
              <w:color w:val="000000"/>
            </w:rPr>
            <w:t>(1), 83–92. https://doi.org/10.1007/s00276-021-02875-7</w:t>
          </w:r>
        </w:p>
        <w:p w14:paraId="23B4BD95" w14:textId="77777777" w:rsidR="006843C0" w:rsidRPr="00FE0907" w:rsidRDefault="006843C0" w:rsidP="00FE0907">
          <w:pPr>
            <w:autoSpaceDE w:val="0"/>
            <w:autoSpaceDN w:val="0"/>
            <w:spacing w:after="0" w:line="240" w:lineRule="auto"/>
            <w:ind w:hanging="480"/>
            <w:jc w:val="both"/>
            <w:divId w:val="1223054934"/>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Smith, A., Weigand, J., Greenwood, J., &amp; Tierney, K. (2022). Safety and effectiveness of regional anesthesia compared with anesthetic techniques not using regional anesthesia on outcomes </w:t>
          </w:r>
          <w:r w:rsidRPr="00FE0907">
            <w:rPr>
              <w:rFonts w:ascii="Times New Roman" w:eastAsia="Times New Roman" w:hAnsi="Times New Roman" w:cs="Times New Roman"/>
              <w:color w:val="000000"/>
            </w:rPr>
            <w:lastRenderedPageBreak/>
            <w:t xml:space="preserve">after free tissue flap surgery: a systematic review protocol. </w:t>
          </w:r>
          <w:r w:rsidRPr="00FE0907">
            <w:rPr>
              <w:rFonts w:ascii="Times New Roman" w:eastAsia="Times New Roman" w:hAnsi="Times New Roman" w:cs="Times New Roman"/>
              <w:i/>
              <w:iCs/>
              <w:color w:val="000000"/>
            </w:rPr>
            <w:t>JBI Evidence Synthesis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20</w:t>
          </w:r>
          <w:r w:rsidRPr="00FE0907">
            <w:rPr>
              <w:rFonts w:ascii="Times New Roman" w:eastAsia="Times New Roman" w:hAnsi="Times New Roman" w:cs="Times New Roman"/>
              <w:color w:val="000000"/>
            </w:rPr>
            <w:t>(10). https://journals.lww.com/jbisrir/fulltext/2022/10000/safety_and_effectiveness_of_regional_anesthesia.15.aspx</w:t>
          </w:r>
        </w:p>
        <w:p w14:paraId="67D9B878" w14:textId="77777777" w:rsidR="006843C0" w:rsidRPr="00FE0907" w:rsidRDefault="006843C0" w:rsidP="00FE0907">
          <w:pPr>
            <w:autoSpaceDE w:val="0"/>
            <w:autoSpaceDN w:val="0"/>
            <w:spacing w:after="0" w:line="240" w:lineRule="auto"/>
            <w:ind w:hanging="480"/>
            <w:jc w:val="both"/>
            <w:divId w:val="354692003"/>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Soltani, S., Mottaghi, M., Jafarpisheh, A., &amp; Tavakkoli, M. (2020). Penile Glans Amputation following Circumcision: A Case Report of a Rare Complication. </w:t>
          </w:r>
          <w:r w:rsidRPr="00FE0907">
            <w:rPr>
              <w:rFonts w:ascii="Times New Roman" w:eastAsia="Times New Roman" w:hAnsi="Times New Roman" w:cs="Times New Roman"/>
              <w:i/>
              <w:iCs/>
              <w:color w:val="000000"/>
            </w:rPr>
            <w:t>Case Reports in Urology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2020</w:t>
          </w:r>
          <w:r w:rsidRPr="00FE0907">
            <w:rPr>
              <w:rFonts w:ascii="Times New Roman" w:eastAsia="Times New Roman" w:hAnsi="Times New Roman" w:cs="Times New Roman"/>
              <w:color w:val="000000"/>
            </w:rPr>
            <w:t>, 1–3. https://doi.org/10.1155/2020/5806987</w:t>
          </w:r>
        </w:p>
        <w:p w14:paraId="2686CE67" w14:textId="77777777" w:rsidR="006843C0" w:rsidRPr="00FE0907" w:rsidRDefault="006843C0" w:rsidP="00FE0907">
          <w:pPr>
            <w:autoSpaceDE w:val="0"/>
            <w:autoSpaceDN w:val="0"/>
            <w:spacing w:after="0" w:line="240" w:lineRule="auto"/>
            <w:ind w:hanging="480"/>
            <w:jc w:val="both"/>
            <w:divId w:val="1715274264"/>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Sow, O., Ondo, C. Z., Sarr, A., Sine, B., Gassama, C. B., &amp; Ndoye, A. K. (2022). Total penile glans amputation following circumcision: A case report of a dramatic complication. </w:t>
          </w:r>
          <w:r w:rsidRPr="00FE0907">
            <w:rPr>
              <w:rFonts w:ascii="Times New Roman" w:eastAsia="Times New Roman" w:hAnsi="Times New Roman" w:cs="Times New Roman"/>
              <w:i/>
              <w:iCs/>
              <w:color w:val="000000"/>
            </w:rPr>
            <w:t>Urology Case Reports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40</w:t>
          </w:r>
          <w:r w:rsidRPr="00FE0907">
            <w:rPr>
              <w:rFonts w:ascii="Times New Roman" w:eastAsia="Times New Roman" w:hAnsi="Times New Roman" w:cs="Times New Roman"/>
              <w:color w:val="000000"/>
            </w:rPr>
            <w:t>. https://doi.org/10.1016/j.eucr.2021.101905</w:t>
          </w:r>
        </w:p>
        <w:p w14:paraId="1CA91418" w14:textId="77777777" w:rsidR="006843C0" w:rsidRPr="00FE0907" w:rsidRDefault="006843C0" w:rsidP="00FE0907">
          <w:pPr>
            <w:autoSpaceDE w:val="0"/>
            <w:autoSpaceDN w:val="0"/>
            <w:spacing w:after="0" w:line="240" w:lineRule="auto"/>
            <w:ind w:hanging="480"/>
            <w:jc w:val="both"/>
            <w:divId w:val="524682363"/>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Stępniak, P. (2021). Medical error and negligence as a premise of liability for damage caused to patients. </w:t>
          </w:r>
          <w:r w:rsidRPr="00FE0907">
            <w:rPr>
              <w:rFonts w:ascii="Times New Roman" w:eastAsia="Times New Roman" w:hAnsi="Times New Roman" w:cs="Times New Roman"/>
              <w:i/>
              <w:iCs/>
              <w:color w:val="000000"/>
            </w:rPr>
            <w:t>Journal of Health Inequalities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7</w:t>
          </w:r>
          <w:r w:rsidRPr="00FE0907">
            <w:rPr>
              <w:rFonts w:ascii="Times New Roman" w:eastAsia="Times New Roman" w:hAnsi="Times New Roman" w:cs="Times New Roman"/>
              <w:color w:val="000000"/>
            </w:rPr>
            <w:t>(2), 132–137. https://doi.org/10.5114/jhi.2021.113165</w:t>
          </w:r>
        </w:p>
        <w:p w14:paraId="1D74ABEC" w14:textId="77777777" w:rsidR="006843C0" w:rsidRPr="00FE0907" w:rsidRDefault="006843C0" w:rsidP="00FE0907">
          <w:pPr>
            <w:autoSpaceDE w:val="0"/>
            <w:autoSpaceDN w:val="0"/>
            <w:spacing w:after="0" w:line="240" w:lineRule="auto"/>
            <w:ind w:hanging="480"/>
            <w:jc w:val="both"/>
            <w:divId w:val="653727845"/>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Svoboda, J. S., Adler, P. W., &amp; Van Howe, R. S. (2016). Circumcision Is Unethical and Unlawful. </w:t>
          </w:r>
          <w:r w:rsidRPr="00FE0907">
            <w:rPr>
              <w:rFonts w:ascii="Times New Roman" w:eastAsia="Times New Roman" w:hAnsi="Times New Roman" w:cs="Times New Roman"/>
              <w:i/>
              <w:iCs/>
              <w:color w:val="000000"/>
            </w:rPr>
            <w:t>Journal of Law, Medicine &amp; Ethics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44</w:t>
          </w:r>
          <w:r w:rsidRPr="00FE0907">
            <w:rPr>
              <w:rFonts w:ascii="Times New Roman" w:eastAsia="Times New Roman" w:hAnsi="Times New Roman" w:cs="Times New Roman"/>
              <w:color w:val="000000"/>
            </w:rPr>
            <w:t>(2), 263–282. https://doi.org/DOI: 10.1177/1073110516654120</w:t>
          </w:r>
        </w:p>
        <w:p w14:paraId="1FF42FFD" w14:textId="77777777" w:rsidR="006843C0" w:rsidRPr="00FE0907" w:rsidRDefault="006843C0" w:rsidP="00FE0907">
          <w:pPr>
            <w:autoSpaceDE w:val="0"/>
            <w:autoSpaceDN w:val="0"/>
            <w:spacing w:after="0" w:line="240" w:lineRule="auto"/>
            <w:ind w:hanging="480"/>
            <w:jc w:val="both"/>
            <w:divId w:val="25298307"/>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Tanyi, O. A., Aurele, M. A., Junior, M. M., Cedrick, F. J., Abessolo, O., Jacques, N. J., Christain, A., &amp; Fouda, P. J. (2023). Traumatic Penile Amputation Post Circumcision: A Series of 3 Cases. </w:t>
          </w:r>
          <w:r w:rsidRPr="00FE0907">
            <w:rPr>
              <w:rFonts w:ascii="Times New Roman" w:eastAsia="Times New Roman" w:hAnsi="Times New Roman" w:cs="Times New Roman"/>
              <w:i/>
              <w:iCs/>
              <w:color w:val="000000"/>
            </w:rPr>
            <w:t>Open Journal of Urology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13</w:t>
          </w:r>
          <w:r w:rsidRPr="00FE0907">
            <w:rPr>
              <w:rFonts w:ascii="Times New Roman" w:eastAsia="Times New Roman" w:hAnsi="Times New Roman" w:cs="Times New Roman"/>
              <w:color w:val="000000"/>
            </w:rPr>
            <w:t>(11), 517–524. https://doi.org/10.4236/oju.2023.1311057</w:t>
          </w:r>
        </w:p>
        <w:p w14:paraId="75E1B9AD" w14:textId="77777777" w:rsidR="006843C0" w:rsidRPr="00FE0907" w:rsidRDefault="006843C0" w:rsidP="00FE0907">
          <w:pPr>
            <w:autoSpaceDE w:val="0"/>
            <w:autoSpaceDN w:val="0"/>
            <w:spacing w:after="0" w:line="240" w:lineRule="auto"/>
            <w:ind w:hanging="480"/>
            <w:jc w:val="both"/>
            <w:divId w:val="349575255"/>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Tasci, A. I., Danacioglu, Y. O., Arikan, Y., Colakoglu, Y., Yapar, B., &amp; Buyuk, Y. (2020). Management of post-circumcision necrosis of the penis: the medicolegal aspect. </w:t>
          </w:r>
          <w:r w:rsidRPr="00FE0907">
            <w:rPr>
              <w:rFonts w:ascii="Times New Roman" w:eastAsia="Times New Roman" w:hAnsi="Times New Roman" w:cs="Times New Roman"/>
              <w:i/>
              <w:iCs/>
              <w:color w:val="000000"/>
            </w:rPr>
            <w:t>Pediatric Surgery International</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36</w:t>
          </w:r>
          <w:r w:rsidRPr="00FE0907">
            <w:rPr>
              <w:rFonts w:ascii="Times New Roman" w:eastAsia="Times New Roman" w:hAnsi="Times New Roman" w:cs="Times New Roman"/>
              <w:color w:val="000000"/>
            </w:rPr>
            <w:t>(4), 523–528. https://doi.org/10.1007/s00383-020-04630-2</w:t>
          </w:r>
        </w:p>
        <w:p w14:paraId="6F9D0799" w14:textId="77777777" w:rsidR="006843C0" w:rsidRPr="00FE0907" w:rsidRDefault="006843C0" w:rsidP="00FE0907">
          <w:pPr>
            <w:autoSpaceDE w:val="0"/>
            <w:autoSpaceDN w:val="0"/>
            <w:spacing w:after="0" w:line="240" w:lineRule="auto"/>
            <w:ind w:hanging="480"/>
            <w:jc w:val="both"/>
            <w:divId w:val="768625133"/>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Tri Wulandari, R., Perlindungan Hukum Perawat, A., &amp; Tri Wulandari Stikes Maharani Malang, R. (2024). Analisis Perlindungan Hukum Perawat dalam Melakukan Tindakan Medis. </w:t>
          </w:r>
          <w:r w:rsidRPr="00FE0907">
            <w:rPr>
              <w:rFonts w:ascii="Times New Roman" w:eastAsia="Times New Roman" w:hAnsi="Times New Roman" w:cs="Times New Roman"/>
              <w:i/>
              <w:iCs/>
              <w:color w:val="000000"/>
            </w:rPr>
            <w:t>Jurnal Ilmiah SINTEKS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13</w:t>
          </w:r>
          <w:r w:rsidRPr="00FE0907">
            <w:rPr>
              <w:rFonts w:ascii="Times New Roman" w:eastAsia="Times New Roman" w:hAnsi="Times New Roman" w:cs="Times New Roman"/>
              <w:color w:val="000000"/>
            </w:rPr>
            <w:t>(2), 59–67.</w:t>
          </w:r>
        </w:p>
        <w:p w14:paraId="76396C32" w14:textId="77777777" w:rsidR="006843C0" w:rsidRPr="00FE0907" w:rsidRDefault="006843C0" w:rsidP="00FE0907">
          <w:pPr>
            <w:autoSpaceDE w:val="0"/>
            <w:autoSpaceDN w:val="0"/>
            <w:spacing w:after="0" w:line="240" w:lineRule="auto"/>
            <w:ind w:hanging="480"/>
            <w:jc w:val="both"/>
            <w:divId w:val="780689148"/>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Tye, M. C., &amp; Sardi, L. M. (2023). Psychological, psychosocial, and psychosexual aspects of penilecircumcision. </w:t>
          </w:r>
          <w:r w:rsidRPr="00FE0907">
            <w:rPr>
              <w:rFonts w:ascii="Times New Roman" w:eastAsia="Times New Roman" w:hAnsi="Times New Roman" w:cs="Times New Roman"/>
              <w:i/>
              <w:iCs/>
              <w:color w:val="000000"/>
            </w:rPr>
            <w:t>International Journal of Impotence Research</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35</w:t>
          </w:r>
          <w:r w:rsidRPr="00FE0907">
            <w:rPr>
              <w:rFonts w:ascii="Times New Roman" w:eastAsia="Times New Roman" w:hAnsi="Times New Roman" w:cs="Times New Roman"/>
              <w:color w:val="000000"/>
            </w:rPr>
            <w:t>(3), 242–248. https://doi.org/10.1038/s41443-022-00553-9</w:t>
          </w:r>
        </w:p>
        <w:p w14:paraId="13F89E7F" w14:textId="77777777" w:rsidR="006843C0" w:rsidRPr="00FE0907" w:rsidRDefault="006843C0" w:rsidP="00FE0907">
          <w:pPr>
            <w:autoSpaceDE w:val="0"/>
            <w:autoSpaceDN w:val="0"/>
            <w:spacing w:after="0" w:line="240" w:lineRule="auto"/>
            <w:ind w:hanging="480"/>
            <w:jc w:val="both"/>
            <w:divId w:val="1681929229"/>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Uzun, G., Ozdemir, Y., Eroglu, M., &amp; Mutluoglu, M. (2012). Electrocautery-induced gangrene of the glans penis in a child following circumcision. </w:t>
          </w:r>
          <w:r w:rsidRPr="00FE0907">
            <w:rPr>
              <w:rFonts w:ascii="Times New Roman" w:eastAsia="Times New Roman" w:hAnsi="Times New Roman" w:cs="Times New Roman"/>
              <w:i/>
              <w:iCs/>
              <w:color w:val="000000"/>
            </w:rPr>
            <w:t xml:space="preserve">BMJ Case </w:t>
          </w:r>
          <w:proofErr w:type="gramStart"/>
          <w:r w:rsidRPr="00FE0907">
            <w:rPr>
              <w:rFonts w:ascii="Times New Roman" w:eastAsia="Times New Roman" w:hAnsi="Times New Roman" w:cs="Times New Roman"/>
              <w:i/>
              <w:iCs/>
              <w:color w:val="000000"/>
            </w:rPr>
            <w:t xml:space="preserve">Reports </w:t>
          </w:r>
          <w:r w:rsidRPr="00FE0907">
            <w:rPr>
              <w:rFonts w:ascii="Times New Roman" w:eastAsia="Times New Roman" w:hAnsi="Times New Roman" w:cs="Times New Roman"/>
              <w:color w:val="000000"/>
            </w:rPr>
            <w:t>,</w:t>
          </w:r>
          <w:proofErr w:type="gramEnd"/>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2012</w:t>
          </w:r>
          <w:r w:rsidRPr="00FE0907">
            <w:rPr>
              <w:rFonts w:ascii="Times New Roman" w:eastAsia="Times New Roman" w:hAnsi="Times New Roman" w:cs="Times New Roman"/>
              <w:color w:val="000000"/>
            </w:rPr>
            <w:t>. https://doi.org/10.1136/bcr-2012-007096</w:t>
          </w:r>
        </w:p>
        <w:p w14:paraId="43E52A01" w14:textId="77777777" w:rsidR="006843C0" w:rsidRPr="00FE0907" w:rsidRDefault="006843C0" w:rsidP="00FE0907">
          <w:pPr>
            <w:autoSpaceDE w:val="0"/>
            <w:autoSpaceDN w:val="0"/>
            <w:spacing w:after="0" w:line="240" w:lineRule="auto"/>
            <w:ind w:hanging="480"/>
            <w:jc w:val="both"/>
            <w:divId w:val="423456727"/>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Villanueva, C. A., &amp; Salevitz, D. (2023). Gomco circumcision in the office in patients heavier than 5.5 Kg and/or older than 3 months. </w:t>
          </w:r>
          <w:r w:rsidRPr="00FE0907">
            <w:rPr>
              <w:rFonts w:ascii="Times New Roman" w:eastAsia="Times New Roman" w:hAnsi="Times New Roman" w:cs="Times New Roman"/>
              <w:i/>
              <w:iCs/>
              <w:color w:val="000000"/>
            </w:rPr>
            <w:t>Journal of Pediatric Urology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19</w:t>
          </w:r>
          <w:r w:rsidRPr="00FE0907">
            <w:rPr>
              <w:rFonts w:ascii="Times New Roman" w:eastAsia="Times New Roman" w:hAnsi="Times New Roman" w:cs="Times New Roman"/>
              <w:color w:val="000000"/>
            </w:rPr>
            <w:t>(6), 801.e1-801.e5. https://doi.org/https://doi.org/10.1016/j.jpurol.2023.08.005</w:t>
          </w:r>
        </w:p>
        <w:p w14:paraId="49894739" w14:textId="77777777" w:rsidR="006843C0" w:rsidRPr="00FE0907" w:rsidRDefault="006843C0" w:rsidP="00FE0907">
          <w:pPr>
            <w:autoSpaceDE w:val="0"/>
            <w:autoSpaceDN w:val="0"/>
            <w:spacing w:after="0" w:line="240" w:lineRule="auto"/>
            <w:ind w:hanging="480"/>
            <w:jc w:val="both"/>
            <w:divId w:val="912351800"/>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Vorobev, V., Beloborodov, V., Golub, I., Frolov, A., Kelchevskaya, E., Tsoktoev, D., &amp; Maksikova, T. (2021). Urinary System Iatrogenic Injuries: Problem Review. </w:t>
          </w:r>
          <w:r w:rsidRPr="00FE0907">
            <w:rPr>
              <w:rFonts w:ascii="Times New Roman" w:eastAsia="Times New Roman" w:hAnsi="Times New Roman" w:cs="Times New Roman"/>
              <w:i/>
              <w:iCs/>
              <w:color w:val="000000"/>
            </w:rPr>
            <w:t>Urologia Internationalis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105</w:t>
          </w:r>
          <w:r w:rsidRPr="00FE0907">
            <w:rPr>
              <w:rFonts w:ascii="Times New Roman" w:eastAsia="Times New Roman" w:hAnsi="Times New Roman" w:cs="Times New Roman"/>
              <w:color w:val="000000"/>
            </w:rPr>
            <w:t>(5–6), 460–469. https://doi.org/10.1159/000512882</w:t>
          </w:r>
        </w:p>
        <w:p w14:paraId="327E2DE6" w14:textId="77777777" w:rsidR="006843C0" w:rsidRPr="00FE0907" w:rsidRDefault="006843C0" w:rsidP="00FE0907">
          <w:pPr>
            <w:autoSpaceDE w:val="0"/>
            <w:autoSpaceDN w:val="0"/>
            <w:spacing w:after="0" w:line="240" w:lineRule="auto"/>
            <w:ind w:hanging="480"/>
            <w:jc w:val="both"/>
            <w:divId w:val="1994213513"/>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Waters, P. M., DeMaso, D. R., Horgan, J. J., &amp; Frick, S. L. (2025). How Surgeons and Surgical Leaders Manage Complications, Medical Errors, Malpractice, and Second Victim Syndrome. </w:t>
          </w:r>
          <w:r w:rsidRPr="00FE0907">
            <w:rPr>
              <w:rFonts w:ascii="Times New Roman" w:eastAsia="Times New Roman" w:hAnsi="Times New Roman" w:cs="Times New Roman"/>
              <w:i/>
              <w:iCs/>
              <w:color w:val="000000"/>
            </w:rPr>
            <w:t>Journal of the Pediatric Orthopaedic Society of North America</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11</w:t>
          </w:r>
          <w:r w:rsidRPr="00FE0907">
            <w:rPr>
              <w:rFonts w:ascii="Times New Roman" w:eastAsia="Times New Roman" w:hAnsi="Times New Roman" w:cs="Times New Roman"/>
              <w:color w:val="000000"/>
            </w:rPr>
            <w:t>, 100186. https://doi.org/https://doi.org/10.1016/j.jposna.2025.100186</w:t>
          </w:r>
        </w:p>
        <w:p w14:paraId="2DB3A261" w14:textId="77777777" w:rsidR="006843C0" w:rsidRPr="00FE0907" w:rsidRDefault="006843C0" w:rsidP="00FE0907">
          <w:pPr>
            <w:autoSpaceDE w:val="0"/>
            <w:autoSpaceDN w:val="0"/>
            <w:spacing w:after="0" w:line="240" w:lineRule="auto"/>
            <w:ind w:hanging="480"/>
            <w:jc w:val="both"/>
            <w:divId w:val="2052069834"/>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Weiss, H. A., Larke, N., Halperin, D., &amp; Schenker, I. (2010). Complications of circumcision in male neonates, infants and children: a systematic review. </w:t>
          </w:r>
          <w:r w:rsidRPr="00FE0907">
            <w:rPr>
              <w:rFonts w:ascii="Times New Roman" w:eastAsia="Times New Roman" w:hAnsi="Times New Roman" w:cs="Times New Roman"/>
              <w:i/>
              <w:iCs/>
              <w:color w:val="000000"/>
            </w:rPr>
            <w:t>BMC Urology</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10</w:t>
          </w:r>
          <w:r w:rsidRPr="00FE0907">
            <w:rPr>
              <w:rFonts w:ascii="Times New Roman" w:eastAsia="Times New Roman" w:hAnsi="Times New Roman" w:cs="Times New Roman"/>
              <w:color w:val="000000"/>
            </w:rPr>
            <w:t>(1), 2. https://doi.org/10.1186/1471-2490-10-2</w:t>
          </w:r>
        </w:p>
        <w:p w14:paraId="5F692433" w14:textId="77777777" w:rsidR="006843C0" w:rsidRPr="00FE0907" w:rsidRDefault="006843C0" w:rsidP="00FE0907">
          <w:pPr>
            <w:autoSpaceDE w:val="0"/>
            <w:autoSpaceDN w:val="0"/>
            <w:spacing w:after="0" w:line="240" w:lineRule="auto"/>
            <w:ind w:hanging="480"/>
            <w:jc w:val="both"/>
            <w:divId w:val="209656672"/>
            <w:rPr>
              <w:rFonts w:ascii="Times New Roman" w:eastAsia="Times New Roman" w:hAnsi="Times New Roman" w:cs="Times New Roman"/>
              <w:color w:val="000000"/>
            </w:rPr>
          </w:pPr>
          <w:r w:rsidRPr="00FE0907">
            <w:rPr>
              <w:rFonts w:ascii="Times New Roman" w:eastAsia="Times New Roman" w:hAnsi="Times New Roman" w:cs="Times New Roman"/>
              <w:color w:val="000000"/>
            </w:rPr>
            <w:t xml:space="preserve">Yu, J., Tang, R., &amp; Ding, K. (2022). Analysis of related factors between the occurrence of secondary epidermoid cyst of penis and circumcision. </w:t>
          </w:r>
          <w:r w:rsidRPr="00FE0907">
            <w:rPr>
              <w:rFonts w:ascii="Times New Roman" w:eastAsia="Times New Roman" w:hAnsi="Times New Roman" w:cs="Times New Roman"/>
              <w:i/>
              <w:iCs/>
              <w:color w:val="000000"/>
            </w:rPr>
            <w:t>Scientific Reports</w:t>
          </w:r>
          <w:r w:rsidRPr="00FE0907">
            <w:rPr>
              <w:rFonts w:ascii="Times New Roman" w:eastAsia="Times New Roman" w:hAnsi="Times New Roman" w:cs="Times New Roman"/>
              <w:color w:val="000000"/>
            </w:rPr>
            <w:t xml:space="preserve">, </w:t>
          </w:r>
          <w:r w:rsidRPr="00FE0907">
            <w:rPr>
              <w:rFonts w:ascii="Times New Roman" w:eastAsia="Times New Roman" w:hAnsi="Times New Roman" w:cs="Times New Roman"/>
              <w:i/>
              <w:iCs/>
              <w:color w:val="000000"/>
            </w:rPr>
            <w:t>12</w:t>
          </w:r>
          <w:r w:rsidRPr="00FE0907">
            <w:rPr>
              <w:rFonts w:ascii="Times New Roman" w:eastAsia="Times New Roman" w:hAnsi="Times New Roman" w:cs="Times New Roman"/>
              <w:color w:val="000000"/>
            </w:rPr>
            <w:t>(1), 13563. https://doi.org/10.1038/s41598-022-16876-y</w:t>
          </w:r>
        </w:p>
        <w:p w14:paraId="370D3D51" w14:textId="5F9EA4DF" w:rsidR="006843C0" w:rsidRPr="00FE0907" w:rsidRDefault="006843C0" w:rsidP="00FE0907">
          <w:pPr>
            <w:spacing w:after="0" w:line="240" w:lineRule="auto"/>
            <w:jc w:val="both"/>
            <w:rPr>
              <w:rFonts w:ascii="Times New Roman" w:hAnsi="Times New Roman" w:cs="Times New Roman"/>
            </w:rPr>
          </w:pPr>
          <w:r w:rsidRPr="00FE0907">
            <w:rPr>
              <w:rFonts w:ascii="Times New Roman" w:eastAsia="Times New Roman" w:hAnsi="Times New Roman" w:cs="Times New Roman"/>
              <w:color w:val="000000"/>
            </w:rPr>
            <w:lastRenderedPageBreak/>
            <w:t> </w:t>
          </w:r>
        </w:p>
      </w:sdtContent>
    </w:sdt>
    <w:p w14:paraId="0314330F" w14:textId="0292BB70" w:rsidR="006843C0" w:rsidRPr="00834041" w:rsidRDefault="006843C0" w:rsidP="0065179B">
      <w:pPr>
        <w:rPr>
          <w:b/>
          <w:bCs/>
        </w:rPr>
      </w:pPr>
    </w:p>
    <w:p w14:paraId="614F1AB7" w14:textId="77777777" w:rsidR="00A612D0" w:rsidRDefault="00A612D0" w:rsidP="0065179B"/>
    <w:p w14:paraId="2BBB964B" w14:textId="77777777" w:rsidR="00A612D0" w:rsidRPr="0065179B" w:rsidRDefault="00A612D0" w:rsidP="0065179B"/>
    <w:p w14:paraId="68C36F70" w14:textId="77777777" w:rsidR="009D08F6" w:rsidRDefault="009D08F6"/>
    <w:sectPr w:rsidR="009D08F6" w:rsidSect="00A612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FF624" w14:textId="77777777" w:rsidR="00CF5408" w:rsidRDefault="00CF5408" w:rsidP="00A90CCD">
      <w:pPr>
        <w:spacing w:after="0" w:line="240" w:lineRule="auto"/>
      </w:pPr>
      <w:r>
        <w:separator/>
      </w:r>
    </w:p>
  </w:endnote>
  <w:endnote w:type="continuationSeparator" w:id="0">
    <w:p w14:paraId="2B5D8ED7" w14:textId="77777777" w:rsidR="00CF5408" w:rsidRDefault="00CF5408" w:rsidP="00A90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E4FB" w14:textId="77777777" w:rsidR="00A90CCD" w:rsidRDefault="00A90C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8D0A" w14:textId="77777777" w:rsidR="00A90CCD" w:rsidRDefault="00A90C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4FC3" w14:textId="77777777" w:rsidR="00A90CCD" w:rsidRDefault="00A90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C6B68" w14:textId="77777777" w:rsidR="00CF5408" w:rsidRDefault="00CF5408" w:rsidP="00A90CCD">
      <w:pPr>
        <w:spacing w:after="0" w:line="240" w:lineRule="auto"/>
      </w:pPr>
      <w:r>
        <w:separator/>
      </w:r>
    </w:p>
  </w:footnote>
  <w:footnote w:type="continuationSeparator" w:id="0">
    <w:p w14:paraId="4C49A870" w14:textId="77777777" w:rsidR="00CF5408" w:rsidRDefault="00CF5408" w:rsidP="00A90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07AD" w14:textId="77777777" w:rsidR="00A90CCD" w:rsidRDefault="00A90C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A6D4" w14:textId="77777777" w:rsidR="00A90CCD" w:rsidRDefault="00A90C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1DC2" w14:textId="77777777" w:rsidR="00A90CCD" w:rsidRDefault="00A90C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669BE"/>
    <w:multiLevelType w:val="multilevel"/>
    <w:tmpl w:val="E5F8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867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9B"/>
    <w:rsid w:val="0002721A"/>
    <w:rsid w:val="000277D8"/>
    <w:rsid w:val="00027C42"/>
    <w:rsid w:val="000310BA"/>
    <w:rsid w:val="0003322B"/>
    <w:rsid w:val="00037773"/>
    <w:rsid w:val="00046FB9"/>
    <w:rsid w:val="00055FAC"/>
    <w:rsid w:val="00066E4C"/>
    <w:rsid w:val="000847F7"/>
    <w:rsid w:val="000A788B"/>
    <w:rsid w:val="000B35C6"/>
    <w:rsid w:val="000B40D5"/>
    <w:rsid w:val="000C44F6"/>
    <w:rsid w:val="000D27EE"/>
    <w:rsid w:val="000D5BB2"/>
    <w:rsid w:val="000E689E"/>
    <w:rsid w:val="00103C5F"/>
    <w:rsid w:val="001134D8"/>
    <w:rsid w:val="00123C8B"/>
    <w:rsid w:val="001808A2"/>
    <w:rsid w:val="001B3AE9"/>
    <w:rsid w:val="001C77E5"/>
    <w:rsid w:val="001E7E85"/>
    <w:rsid w:val="001F1988"/>
    <w:rsid w:val="002047A9"/>
    <w:rsid w:val="0021058D"/>
    <w:rsid w:val="002166F5"/>
    <w:rsid w:val="0022223A"/>
    <w:rsid w:val="002347EC"/>
    <w:rsid w:val="002504FB"/>
    <w:rsid w:val="002A7FEA"/>
    <w:rsid w:val="002B01A2"/>
    <w:rsid w:val="002B4367"/>
    <w:rsid w:val="002C3807"/>
    <w:rsid w:val="00303585"/>
    <w:rsid w:val="00304B1A"/>
    <w:rsid w:val="00327B31"/>
    <w:rsid w:val="003400E6"/>
    <w:rsid w:val="003627B9"/>
    <w:rsid w:val="00363661"/>
    <w:rsid w:val="00365498"/>
    <w:rsid w:val="00372D50"/>
    <w:rsid w:val="00393316"/>
    <w:rsid w:val="003938ED"/>
    <w:rsid w:val="003B2EF1"/>
    <w:rsid w:val="003C1F22"/>
    <w:rsid w:val="003C4870"/>
    <w:rsid w:val="003E24DE"/>
    <w:rsid w:val="0040735F"/>
    <w:rsid w:val="00407FED"/>
    <w:rsid w:val="00414581"/>
    <w:rsid w:val="00423F0E"/>
    <w:rsid w:val="004328A3"/>
    <w:rsid w:val="004352B5"/>
    <w:rsid w:val="004458E6"/>
    <w:rsid w:val="00454862"/>
    <w:rsid w:val="004B1408"/>
    <w:rsid w:val="004B3C14"/>
    <w:rsid w:val="004B42CB"/>
    <w:rsid w:val="004D6321"/>
    <w:rsid w:val="004E690B"/>
    <w:rsid w:val="004E77D3"/>
    <w:rsid w:val="004E7B29"/>
    <w:rsid w:val="004F2F5C"/>
    <w:rsid w:val="0050124B"/>
    <w:rsid w:val="00527961"/>
    <w:rsid w:val="00542BC0"/>
    <w:rsid w:val="00574172"/>
    <w:rsid w:val="00585082"/>
    <w:rsid w:val="00586829"/>
    <w:rsid w:val="005E298C"/>
    <w:rsid w:val="005F1139"/>
    <w:rsid w:val="005F6592"/>
    <w:rsid w:val="006140D3"/>
    <w:rsid w:val="0063610D"/>
    <w:rsid w:val="00642F9C"/>
    <w:rsid w:val="00643ECB"/>
    <w:rsid w:val="0065179B"/>
    <w:rsid w:val="00654717"/>
    <w:rsid w:val="00655957"/>
    <w:rsid w:val="00670159"/>
    <w:rsid w:val="006843C0"/>
    <w:rsid w:val="006C5578"/>
    <w:rsid w:val="006D4FD9"/>
    <w:rsid w:val="006E4FA6"/>
    <w:rsid w:val="006F6E47"/>
    <w:rsid w:val="00701214"/>
    <w:rsid w:val="0070693B"/>
    <w:rsid w:val="007148D2"/>
    <w:rsid w:val="00716965"/>
    <w:rsid w:val="0074572E"/>
    <w:rsid w:val="007513A3"/>
    <w:rsid w:val="0075740A"/>
    <w:rsid w:val="00792416"/>
    <w:rsid w:val="007A7699"/>
    <w:rsid w:val="007C7DDE"/>
    <w:rsid w:val="007F750B"/>
    <w:rsid w:val="0081209C"/>
    <w:rsid w:val="0082165E"/>
    <w:rsid w:val="00821B7F"/>
    <w:rsid w:val="00834041"/>
    <w:rsid w:val="00837408"/>
    <w:rsid w:val="008501AE"/>
    <w:rsid w:val="0085318A"/>
    <w:rsid w:val="00866B86"/>
    <w:rsid w:val="008906BF"/>
    <w:rsid w:val="008A4369"/>
    <w:rsid w:val="008A6548"/>
    <w:rsid w:val="008B78F5"/>
    <w:rsid w:val="008D2847"/>
    <w:rsid w:val="008E685C"/>
    <w:rsid w:val="008F1935"/>
    <w:rsid w:val="00914179"/>
    <w:rsid w:val="00943B93"/>
    <w:rsid w:val="00963CBA"/>
    <w:rsid w:val="00964428"/>
    <w:rsid w:val="009657FD"/>
    <w:rsid w:val="0097320D"/>
    <w:rsid w:val="0097795C"/>
    <w:rsid w:val="00981624"/>
    <w:rsid w:val="009A64AD"/>
    <w:rsid w:val="009B49B6"/>
    <w:rsid w:val="009B5FF4"/>
    <w:rsid w:val="009D08F6"/>
    <w:rsid w:val="009D36A2"/>
    <w:rsid w:val="009E6DF1"/>
    <w:rsid w:val="00A053B6"/>
    <w:rsid w:val="00A05C04"/>
    <w:rsid w:val="00A14829"/>
    <w:rsid w:val="00A32067"/>
    <w:rsid w:val="00A37A2E"/>
    <w:rsid w:val="00A50C31"/>
    <w:rsid w:val="00A612D0"/>
    <w:rsid w:val="00A84AA1"/>
    <w:rsid w:val="00A90CCD"/>
    <w:rsid w:val="00AA40AC"/>
    <w:rsid w:val="00AA5DC7"/>
    <w:rsid w:val="00AD6569"/>
    <w:rsid w:val="00AF0BF4"/>
    <w:rsid w:val="00AF700C"/>
    <w:rsid w:val="00AF7DB5"/>
    <w:rsid w:val="00B24BE6"/>
    <w:rsid w:val="00B2629B"/>
    <w:rsid w:val="00B311B0"/>
    <w:rsid w:val="00B55E29"/>
    <w:rsid w:val="00B84E53"/>
    <w:rsid w:val="00B91E8D"/>
    <w:rsid w:val="00B94E52"/>
    <w:rsid w:val="00BA6875"/>
    <w:rsid w:val="00BF72B8"/>
    <w:rsid w:val="00C32574"/>
    <w:rsid w:val="00C33111"/>
    <w:rsid w:val="00C579D0"/>
    <w:rsid w:val="00C76AAD"/>
    <w:rsid w:val="00C93ED2"/>
    <w:rsid w:val="00C94B27"/>
    <w:rsid w:val="00CA526B"/>
    <w:rsid w:val="00CB4678"/>
    <w:rsid w:val="00CC3235"/>
    <w:rsid w:val="00CF5408"/>
    <w:rsid w:val="00D016A6"/>
    <w:rsid w:val="00D06550"/>
    <w:rsid w:val="00D07C31"/>
    <w:rsid w:val="00D1027B"/>
    <w:rsid w:val="00D11EDD"/>
    <w:rsid w:val="00D2263A"/>
    <w:rsid w:val="00D26467"/>
    <w:rsid w:val="00D41AEF"/>
    <w:rsid w:val="00D453D8"/>
    <w:rsid w:val="00D54038"/>
    <w:rsid w:val="00D81C4A"/>
    <w:rsid w:val="00DA59FC"/>
    <w:rsid w:val="00DA793E"/>
    <w:rsid w:val="00DC603F"/>
    <w:rsid w:val="00DE3958"/>
    <w:rsid w:val="00DF0E85"/>
    <w:rsid w:val="00DF7DC9"/>
    <w:rsid w:val="00E42537"/>
    <w:rsid w:val="00E53940"/>
    <w:rsid w:val="00E6343B"/>
    <w:rsid w:val="00E877C2"/>
    <w:rsid w:val="00E932F4"/>
    <w:rsid w:val="00EA1A6C"/>
    <w:rsid w:val="00EA37AA"/>
    <w:rsid w:val="00EA64D9"/>
    <w:rsid w:val="00ED1CF4"/>
    <w:rsid w:val="00EF1021"/>
    <w:rsid w:val="00EF3F4A"/>
    <w:rsid w:val="00F16C1B"/>
    <w:rsid w:val="00F42F5C"/>
    <w:rsid w:val="00F605AE"/>
    <w:rsid w:val="00F63C1C"/>
    <w:rsid w:val="00F65DAA"/>
    <w:rsid w:val="00F95744"/>
    <w:rsid w:val="00FA0D1F"/>
    <w:rsid w:val="00FA4AFC"/>
    <w:rsid w:val="00FA7739"/>
    <w:rsid w:val="00FB3995"/>
    <w:rsid w:val="00FB63A0"/>
    <w:rsid w:val="00FB7AA2"/>
    <w:rsid w:val="00FC00C0"/>
    <w:rsid w:val="00FC47F8"/>
    <w:rsid w:val="00FD2804"/>
    <w:rsid w:val="00FD39C6"/>
    <w:rsid w:val="00FE0907"/>
    <w:rsid w:val="00FE6E85"/>
    <w:rsid w:val="00FF2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51528"/>
  <w15:chartTrackingRefBased/>
  <w15:docId w15:val="{10CF0AC7-EFDB-4AB9-BF13-4F551B9C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9B"/>
    <w:rPr>
      <w:rFonts w:eastAsiaTheme="majorEastAsia" w:cstheme="majorBidi"/>
      <w:color w:val="272727" w:themeColor="text1" w:themeTint="D8"/>
    </w:rPr>
  </w:style>
  <w:style w:type="paragraph" w:styleId="Title">
    <w:name w:val="Title"/>
    <w:basedOn w:val="Normal"/>
    <w:next w:val="Normal"/>
    <w:link w:val="TitleChar"/>
    <w:uiPriority w:val="10"/>
    <w:qFormat/>
    <w:rsid w:val="0065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9B"/>
    <w:pPr>
      <w:spacing w:before="160"/>
      <w:jc w:val="center"/>
    </w:pPr>
    <w:rPr>
      <w:i/>
      <w:iCs/>
      <w:color w:val="404040" w:themeColor="text1" w:themeTint="BF"/>
    </w:rPr>
  </w:style>
  <w:style w:type="character" w:customStyle="1" w:styleId="QuoteChar">
    <w:name w:val="Quote Char"/>
    <w:basedOn w:val="DefaultParagraphFont"/>
    <w:link w:val="Quote"/>
    <w:uiPriority w:val="29"/>
    <w:rsid w:val="0065179B"/>
    <w:rPr>
      <w:i/>
      <w:iCs/>
      <w:color w:val="404040" w:themeColor="text1" w:themeTint="BF"/>
    </w:rPr>
  </w:style>
  <w:style w:type="paragraph" w:styleId="ListParagraph">
    <w:name w:val="List Paragraph"/>
    <w:basedOn w:val="Normal"/>
    <w:uiPriority w:val="34"/>
    <w:qFormat/>
    <w:rsid w:val="0065179B"/>
    <w:pPr>
      <w:ind w:left="720"/>
      <w:contextualSpacing/>
    </w:pPr>
  </w:style>
  <w:style w:type="character" w:styleId="IntenseEmphasis">
    <w:name w:val="Intense Emphasis"/>
    <w:basedOn w:val="DefaultParagraphFont"/>
    <w:uiPriority w:val="21"/>
    <w:qFormat/>
    <w:rsid w:val="0065179B"/>
    <w:rPr>
      <w:i/>
      <w:iCs/>
      <w:color w:val="2F5496" w:themeColor="accent1" w:themeShade="BF"/>
    </w:rPr>
  </w:style>
  <w:style w:type="paragraph" w:styleId="IntenseQuote">
    <w:name w:val="Intense Quote"/>
    <w:basedOn w:val="Normal"/>
    <w:next w:val="Normal"/>
    <w:link w:val="IntenseQuoteChar"/>
    <w:uiPriority w:val="30"/>
    <w:qFormat/>
    <w:rsid w:val="00651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9B"/>
    <w:rPr>
      <w:i/>
      <w:iCs/>
      <w:color w:val="2F5496" w:themeColor="accent1" w:themeShade="BF"/>
    </w:rPr>
  </w:style>
  <w:style w:type="character" w:styleId="IntenseReference">
    <w:name w:val="Intense Reference"/>
    <w:basedOn w:val="DefaultParagraphFont"/>
    <w:uiPriority w:val="32"/>
    <w:qFormat/>
    <w:rsid w:val="0065179B"/>
    <w:rPr>
      <w:b/>
      <w:bCs/>
      <w:smallCaps/>
      <w:color w:val="2F5496" w:themeColor="accent1" w:themeShade="BF"/>
      <w:spacing w:val="5"/>
    </w:rPr>
  </w:style>
  <w:style w:type="character" w:styleId="PlaceholderText">
    <w:name w:val="Placeholder Text"/>
    <w:basedOn w:val="DefaultParagraphFont"/>
    <w:uiPriority w:val="99"/>
    <w:semiHidden/>
    <w:rsid w:val="00FD2804"/>
    <w:rPr>
      <w:color w:val="666666"/>
    </w:rPr>
  </w:style>
  <w:style w:type="table" w:styleId="TableGrid">
    <w:name w:val="Table Grid"/>
    <w:basedOn w:val="TableNormal"/>
    <w:uiPriority w:val="39"/>
    <w:rsid w:val="008F1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0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CCD"/>
  </w:style>
  <w:style w:type="paragraph" w:styleId="Footer">
    <w:name w:val="footer"/>
    <w:basedOn w:val="Normal"/>
    <w:link w:val="FooterChar"/>
    <w:uiPriority w:val="99"/>
    <w:unhideWhenUsed/>
    <w:rsid w:val="00A90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705">
      <w:marLeft w:val="480"/>
      <w:marRight w:val="0"/>
      <w:marTop w:val="0"/>
      <w:marBottom w:val="0"/>
      <w:divBdr>
        <w:top w:val="none" w:sz="0" w:space="0" w:color="auto"/>
        <w:left w:val="none" w:sz="0" w:space="0" w:color="auto"/>
        <w:bottom w:val="none" w:sz="0" w:space="0" w:color="auto"/>
        <w:right w:val="none" w:sz="0" w:space="0" w:color="auto"/>
      </w:divBdr>
    </w:div>
    <w:div w:id="25298307">
      <w:marLeft w:val="480"/>
      <w:marRight w:val="0"/>
      <w:marTop w:val="0"/>
      <w:marBottom w:val="0"/>
      <w:divBdr>
        <w:top w:val="none" w:sz="0" w:space="0" w:color="auto"/>
        <w:left w:val="none" w:sz="0" w:space="0" w:color="auto"/>
        <w:bottom w:val="none" w:sz="0" w:space="0" w:color="auto"/>
        <w:right w:val="none" w:sz="0" w:space="0" w:color="auto"/>
      </w:divBdr>
    </w:div>
    <w:div w:id="55782198">
      <w:marLeft w:val="480"/>
      <w:marRight w:val="0"/>
      <w:marTop w:val="0"/>
      <w:marBottom w:val="0"/>
      <w:divBdr>
        <w:top w:val="none" w:sz="0" w:space="0" w:color="auto"/>
        <w:left w:val="none" w:sz="0" w:space="0" w:color="auto"/>
        <w:bottom w:val="none" w:sz="0" w:space="0" w:color="auto"/>
        <w:right w:val="none" w:sz="0" w:space="0" w:color="auto"/>
      </w:divBdr>
    </w:div>
    <w:div w:id="84496483">
      <w:marLeft w:val="480"/>
      <w:marRight w:val="0"/>
      <w:marTop w:val="0"/>
      <w:marBottom w:val="0"/>
      <w:divBdr>
        <w:top w:val="none" w:sz="0" w:space="0" w:color="auto"/>
        <w:left w:val="none" w:sz="0" w:space="0" w:color="auto"/>
        <w:bottom w:val="none" w:sz="0" w:space="0" w:color="auto"/>
        <w:right w:val="none" w:sz="0" w:space="0" w:color="auto"/>
      </w:divBdr>
    </w:div>
    <w:div w:id="95754908">
      <w:marLeft w:val="480"/>
      <w:marRight w:val="0"/>
      <w:marTop w:val="0"/>
      <w:marBottom w:val="0"/>
      <w:divBdr>
        <w:top w:val="none" w:sz="0" w:space="0" w:color="auto"/>
        <w:left w:val="none" w:sz="0" w:space="0" w:color="auto"/>
        <w:bottom w:val="none" w:sz="0" w:space="0" w:color="auto"/>
        <w:right w:val="none" w:sz="0" w:space="0" w:color="auto"/>
      </w:divBdr>
    </w:div>
    <w:div w:id="96756530">
      <w:marLeft w:val="480"/>
      <w:marRight w:val="0"/>
      <w:marTop w:val="0"/>
      <w:marBottom w:val="0"/>
      <w:divBdr>
        <w:top w:val="none" w:sz="0" w:space="0" w:color="auto"/>
        <w:left w:val="none" w:sz="0" w:space="0" w:color="auto"/>
        <w:bottom w:val="none" w:sz="0" w:space="0" w:color="auto"/>
        <w:right w:val="none" w:sz="0" w:space="0" w:color="auto"/>
      </w:divBdr>
    </w:div>
    <w:div w:id="106196657">
      <w:marLeft w:val="480"/>
      <w:marRight w:val="0"/>
      <w:marTop w:val="0"/>
      <w:marBottom w:val="0"/>
      <w:divBdr>
        <w:top w:val="none" w:sz="0" w:space="0" w:color="auto"/>
        <w:left w:val="none" w:sz="0" w:space="0" w:color="auto"/>
        <w:bottom w:val="none" w:sz="0" w:space="0" w:color="auto"/>
        <w:right w:val="none" w:sz="0" w:space="0" w:color="auto"/>
      </w:divBdr>
    </w:div>
    <w:div w:id="191772034">
      <w:marLeft w:val="480"/>
      <w:marRight w:val="0"/>
      <w:marTop w:val="0"/>
      <w:marBottom w:val="0"/>
      <w:divBdr>
        <w:top w:val="none" w:sz="0" w:space="0" w:color="auto"/>
        <w:left w:val="none" w:sz="0" w:space="0" w:color="auto"/>
        <w:bottom w:val="none" w:sz="0" w:space="0" w:color="auto"/>
        <w:right w:val="none" w:sz="0" w:space="0" w:color="auto"/>
      </w:divBdr>
    </w:div>
    <w:div w:id="209656672">
      <w:marLeft w:val="480"/>
      <w:marRight w:val="0"/>
      <w:marTop w:val="0"/>
      <w:marBottom w:val="0"/>
      <w:divBdr>
        <w:top w:val="none" w:sz="0" w:space="0" w:color="auto"/>
        <w:left w:val="none" w:sz="0" w:space="0" w:color="auto"/>
        <w:bottom w:val="none" w:sz="0" w:space="0" w:color="auto"/>
        <w:right w:val="none" w:sz="0" w:space="0" w:color="auto"/>
      </w:divBdr>
    </w:div>
    <w:div w:id="212154105">
      <w:marLeft w:val="480"/>
      <w:marRight w:val="0"/>
      <w:marTop w:val="0"/>
      <w:marBottom w:val="0"/>
      <w:divBdr>
        <w:top w:val="none" w:sz="0" w:space="0" w:color="auto"/>
        <w:left w:val="none" w:sz="0" w:space="0" w:color="auto"/>
        <w:bottom w:val="none" w:sz="0" w:space="0" w:color="auto"/>
        <w:right w:val="none" w:sz="0" w:space="0" w:color="auto"/>
      </w:divBdr>
    </w:div>
    <w:div w:id="239602939">
      <w:marLeft w:val="480"/>
      <w:marRight w:val="0"/>
      <w:marTop w:val="0"/>
      <w:marBottom w:val="0"/>
      <w:divBdr>
        <w:top w:val="none" w:sz="0" w:space="0" w:color="auto"/>
        <w:left w:val="none" w:sz="0" w:space="0" w:color="auto"/>
        <w:bottom w:val="none" w:sz="0" w:space="0" w:color="auto"/>
        <w:right w:val="none" w:sz="0" w:space="0" w:color="auto"/>
      </w:divBdr>
    </w:div>
    <w:div w:id="254024780">
      <w:marLeft w:val="480"/>
      <w:marRight w:val="0"/>
      <w:marTop w:val="0"/>
      <w:marBottom w:val="0"/>
      <w:divBdr>
        <w:top w:val="none" w:sz="0" w:space="0" w:color="auto"/>
        <w:left w:val="none" w:sz="0" w:space="0" w:color="auto"/>
        <w:bottom w:val="none" w:sz="0" w:space="0" w:color="auto"/>
        <w:right w:val="none" w:sz="0" w:space="0" w:color="auto"/>
      </w:divBdr>
    </w:div>
    <w:div w:id="271791010">
      <w:marLeft w:val="480"/>
      <w:marRight w:val="0"/>
      <w:marTop w:val="0"/>
      <w:marBottom w:val="0"/>
      <w:divBdr>
        <w:top w:val="none" w:sz="0" w:space="0" w:color="auto"/>
        <w:left w:val="none" w:sz="0" w:space="0" w:color="auto"/>
        <w:bottom w:val="none" w:sz="0" w:space="0" w:color="auto"/>
        <w:right w:val="none" w:sz="0" w:space="0" w:color="auto"/>
      </w:divBdr>
    </w:div>
    <w:div w:id="276302483">
      <w:marLeft w:val="480"/>
      <w:marRight w:val="0"/>
      <w:marTop w:val="0"/>
      <w:marBottom w:val="0"/>
      <w:divBdr>
        <w:top w:val="none" w:sz="0" w:space="0" w:color="auto"/>
        <w:left w:val="none" w:sz="0" w:space="0" w:color="auto"/>
        <w:bottom w:val="none" w:sz="0" w:space="0" w:color="auto"/>
        <w:right w:val="none" w:sz="0" w:space="0" w:color="auto"/>
      </w:divBdr>
    </w:div>
    <w:div w:id="281306592">
      <w:marLeft w:val="480"/>
      <w:marRight w:val="0"/>
      <w:marTop w:val="0"/>
      <w:marBottom w:val="0"/>
      <w:divBdr>
        <w:top w:val="none" w:sz="0" w:space="0" w:color="auto"/>
        <w:left w:val="none" w:sz="0" w:space="0" w:color="auto"/>
        <w:bottom w:val="none" w:sz="0" w:space="0" w:color="auto"/>
        <w:right w:val="none" w:sz="0" w:space="0" w:color="auto"/>
      </w:divBdr>
    </w:div>
    <w:div w:id="290089962">
      <w:marLeft w:val="480"/>
      <w:marRight w:val="0"/>
      <w:marTop w:val="0"/>
      <w:marBottom w:val="0"/>
      <w:divBdr>
        <w:top w:val="none" w:sz="0" w:space="0" w:color="auto"/>
        <w:left w:val="none" w:sz="0" w:space="0" w:color="auto"/>
        <w:bottom w:val="none" w:sz="0" w:space="0" w:color="auto"/>
        <w:right w:val="none" w:sz="0" w:space="0" w:color="auto"/>
      </w:divBdr>
    </w:div>
    <w:div w:id="338191601">
      <w:marLeft w:val="480"/>
      <w:marRight w:val="0"/>
      <w:marTop w:val="0"/>
      <w:marBottom w:val="0"/>
      <w:divBdr>
        <w:top w:val="none" w:sz="0" w:space="0" w:color="auto"/>
        <w:left w:val="none" w:sz="0" w:space="0" w:color="auto"/>
        <w:bottom w:val="none" w:sz="0" w:space="0" w:color="auto"/>
        <w:right w:val="none" w:sz="0" w:space="0" w:color="auto"/>
      </w:divBdr>
    </w:div>
    <w:div w:id="349575255">
      <w:marLeft w:val="480"/>
      <w:marRight w:val="0"/>
      <w:marTop w:val="0"/>
      <w:marBottom w:val="0"/>
      <w:divBdr>
        <w:top w:val="none" w:sz="0" w:space="0" w:color="auto"/>
        <w:left w:val="none" w:sz="0" w:space="0" w:color="auto"/>
        <w:bottom w:val="none" w:sz="0" w:space="0" w:color="auto"/>
        <w:right w:val="none" w:sz="0" w:space="0" w:color="auto"/>
      </w:divBdr>
    </w:div>
    <w:div w:id="354692003">
      <w:marLeft w:val="480"/>
      <w:marRight w:val="0"/>
      <w:marTop w:val="0"/>
      <w:marBottom w:val="0"/>
      <w:divBdr>
        <w:top w:val="none" w:sz="0" w:space="0" w:color="auto"/>
        <w:left w:val="none" w:sz="0" w:space="0" w:color="auto"/>
        <w:bottom w:val="none" w:sz="0" w:space="0" w:color="auto"/>
        <w:right w:val="none" w:sz="0" w:space="0" w:color="auto"/>
      </w:divBdr>
    </w:div>
    <w:div w:id="380061221">
      <w:marLeft w:val="480"/>
      <w:marRight w:val="0"/>
      <w:marTop w:val="0"/>
      <w:marBottom w:val="0"/>
      <w:divBdr>
        <w:top w:val="none" w:sz="0" w:space="0" w:color="auto"/>
        <w:left w:val="none" w:sz="0" w:space="0" w:color="auto"/>
        <w:bottom w:val="none" w:sz="0" w:space="0" w:color="auto"/>
        <w:right w:val="none" w:sz="0" w:space="0" w:color="auto"/>
      </w:divBdr>
    </w:div>
    <w:div w:id="423456727">
      <w:marLeft w:val="480"/>
      <w:marRight w:val="0"/>
      <w:marTop w:val="0"/>
      <w:marBottom w:val="0"/>
      <w:divBdr>
        <w:top w:val="none" w:sz="0" w:space="0" w:color="auto"/>
        <w:left w:val="none" w:sz="0" w:space="0" w:color="auto"/>
        <w:bottom w:val="none" w:sz="0" w:space="0" w:color="auto"/>
        <w:right w:val="none" w:sz="0" w:space="0" w:color="auto"/>
      </w:divBdr>
    </w:div>
    <w:div w:id="447898443">
      <w:marLeft w:val="480"/>
      <w:marRight w:val="0"/>
      <w:marTop w:val="0"/>
      <w:marBottom w:val="0"/>
      <w:divBdr>
        <w:top w:val="none" w:sz="0" w:space="0" w:color="auto"/>
        <w:left w:val="none" w:sz="0" w:space="0" w:color="auto"/>
        <w:bottom w:val="none" w:sz="0" w:space="0" w:color="auto"/>
        <w:right w:val="none" w:sz="0" w:space="0" w:color="auto"/>
      </w:divBdr>
    </w:div>
    <w:div w:id="466093521">
      <w:marLeft w:val="480"/>
      <w:marRight w:val="0"/>
      <w:marTop w:val="0"/>
      <w:marBottom w:val="0"/>
      <w:divBdr>
        <w:top w:val="none" w:sz="0" w:space="0" w:color="auto"/>
        <w:left w:val="none" w:sz="0" w:space="0" w:color="auto"/>
        <w:bottom w:val="none" w:sz="0" w:space="0" w:color="auto"/>
        <w:right w:val="none" w:sz="0" w:space="0" w:color="auto"/>
      </w:divBdr>
    </w:div>
    <w:div w:id="487021204">
      <w:marLeft w:val="480"/>
      <w:marRight w:val="0"/>
      <w:marTop w:val="0"/>
      <w:marBottom w:val="0"/>
      <w:divBdr>
        <w:top w:val="none" w:sz="0" w:space="0" w:color="auto"/>
        <w:left w:val="none" w:sz="0" w:space="0" w:color="auto"/>
        <w:bottom w:val="none" w:sz="0" w:space="0" w:color="auto"/>
        <w:right w:val="none" w:sz="0" w:space="0" w:color="auto"/>
      </w:divBdr>
    </w:div>
    <w:div w:id="524682363">
      <w:marLeft w:val="480"/>
      <w:marRight w:val="0"/>
      <w:marTop w:val="0"/>
      <w:marBottom w:val="0"/>
      <w:divBdr>
        <w:top w:val="none" w:sz="0" w:space="0" w:color="auto"/>
        <w:left w:val="none" w:sz="0" w:space="0" w:color="auto"/>
        <w:bottom w:val="none" w:sz="0" w:space="0" w:color="auto"/>
        <w:right w:val="none" w:sz="0" w:space="0" w:color="auto"/>
      </w:divBdr>
    </w:div>
    <w:div w:id="577397348">
      <w:marLeft w:val="480"/>
      <w:marRight w:val="0"/>
      <w:marTop w:val="0"/>
      <w:marBottom w:val="0"/>
      <w:divBdr>
        <w:top w:val="none" w:sz="0" w:space="0" w:color="auto"/>
        <w:left w:val="none" w:sz="0" w:space="0" w:color="auto"/>
        <w:bottom w:val="none" w:sz="0" w:space="0" w:color="auto"/>
        <w:right w:val="none" w:sz="0" w:space="0" w:color="auto"/>
      </w:divBdr>
    </w:div>
    <w:div w:id="592857140">
      <w:marLeft w:val="480"/>
      <w:marRight w:val="0"/>
      <w:marTop w:val="0"/>
      <w:marBottom w:val="0"/>
      <w:divBdr>
        <w:top w:val="none" w:sz="0" w:space="0" w:color="auto"/>
        <w:left w:val="none" w:sz="0" w:space="0" w:color="auto"/>
        <w:bottom w:val="none" w:sz="0" w:space="0" w:color="auto"/>
        <w:right w:val="none" w:sz="0" w:space="0" w:color="auto"/>
      </w:divBdr>
    </w:div>
    <w:div w:id="653727845">
      <w:marLeft w:val="480"/>
      <w:marRight w:val="0"/>
      <w:marTop w:val="0"/>
      <w:marBottom w:val="0"/>
      <w:divBdr>
        <w:top w:val="none" w:sz="0" w:space="0" w:color="auto"/>
        <w:left w:val="none" w:sz="0" w:space="0" w:color="auto"/>
        <w:bottom w:val="none" w:sz="0" w:space="0" w:color="auto"/>
        <w:right w:val="none" w:sz="0" w:space="0" w:color="auto"/>
      </w:divBdr>
    </w:div>
    <w:div w:id="666245318">
      <w:marLeft w:val="480"/>
      <w:marRight w:val="0"/>
      <w:marTop w:val="0"/>
      <w:marBottom w:val="0"/>
      <w:divBdr>
        <w:top w:val="none" w:sz="0" w:space="0" w:color="auto"/>
        <w:left w:val="none" w:sz="0" w:space="0" w:color="auto"/>
        <w:bottom w:val="none" w:sz="0" w:space="0" w:color="auto"/>
        <w:right w:val="none" w:sz="0" w:space="0" w:color="auto"/>
      </w:divBdr>
    </w:div>
    <w:div w:id="674574035">
      <w:marLeft w:val="480"/>
      <w:marRight w:val="0"/>
      <w:marTop w:val="0"/>
      <w:marBottom w:val="0"/>
      <w:divBdr>
        <w:top w:val="none" w:sz="0" w:space="0" w:color="auto"/>
        <w:left w:val="none" w:sz="0" w:space="0" w:color="auto"/>
        <w:bottom w:val="none" w:sz="0" w:space="0" w:color="auto"/>
        <w:right w:val="none" w:sz="0" w:space="0" w:color="auto"/>
      </w:divBdr>
    </w:div>
    <w:div w:id="691952239">
      <w:marLeft w:val="480"/>
      <w:marRight w:val="0"/>
      <w:marTop w:val="0"/>
      <w:marBottom w:val="0"/>
      <w:divBdr>
        <w:top w:val="none" w:sz="0" w:space="0" w:color="auto"/>
        <w:left w:val="none" w:sz="0" w:space="0" w:color="auto"/>
        <w:bottom w:val="none" w:sz="0" w:space="0" w:color="auto"/>
        <w:right w:val="none" w:sz="0" w:space="0" w:color="auto"/>
      </w:divBdr>
    </w:div>
    <w:div w:id="703554368">
      <w:marLeft w:val="480"/>
      <w:marRight w:val="0"/>
      <w:marTop w:val="0"/>
      <w:marBottom w:val="0"/>
      <w:divBdr>
        <w:top w:val="none" w:sz="0" w:space="0" w:color="auto"/>
        <w:left w:val="none" w:sz="0" w:space="0" w:color="auto"/>
        <w:bottom w:val="none" w:sz="0" w:space="0" w:color="auto"/>
        <w:right w:val="none" w:sz="0" w:space="0" w:color="auto"/>
      </w:divBdr>
    </w:div>
    <w:div w:id="730496428">
      <w:marLeft w:val="480"/>
      <w:marRight w:val="0"/>
      <w:marTop w:val="0"/>
      <w:marBottom w:val="0"/>
      <w:divBdr>
        <w:top w:val="none" w:sz="0" w:space="0" w:color="auto"/>
        <w:left w:val="none" w:sz="0" w:space="0" w:color="auto"/>
        <w:bottom w:val="none" w:sz="0" w:space="0" w:color="auto"/>
        <w:right w:val="none" w:sz="0" w:space="0" w:color="auto"/>
      </w:divBdr>
    </w:div>
    <w:div w:id="765534937">
      <w:marLeft w:val="480"/>
      <w:marRight w:val="0"/>
      <w:marTop w:val="0"/>
      <w:marBottom w:val="0"/>
      <w:divBdr>
        <w:top w:val="none" w:sz="0" w:space="0" w:color="auto"/>
        <w:left w:val="none" w:sz="0" w:space="0" w:color="auto"/>
        <w:bottom w:val="none" w:sz="0" w:space="0" w:color="auto"/>
        <w:right w:val="none" w:sz="0" w:space="0" w:color="auto"/>
      </w:divBdr>
    </w:div>
    <w:div w:id="768625133">
      <w:marLeft w:val="480"/>
      <w:marRight w:val="0"/>
      <w:marTop w:val="0"/>
      <w:marBottom w:val="0"/>
      <w:divBdr>
        <w:top w:val="none" w:sz="0" w:space="0" w:color="auto"/>
        <w:left w:val="none" w:sz="0" w:space="0" w:color="auto"/>
        <w:bottom w:val="none" w:sz="0" w:space="0" w:color="auto"/>
        <w:right w:val="none" w:sz="0" w:space="0" w:color="auto"/>
      </w:divBdr>
    </w:div>
    <w:div w:id="768935851">
      <w:marLeft w:val="480"/>
      <w:marRight w:val="0"/>
      <w:marTop w:val="0"/>
      <w:marBottom w:val="0"/>
      <w:divBdr>
        <w:top w:val="none" w:sz="0" w:space="0" w:color="auto"/>
        <w:left w:val="none" w:sz="0" w:space="0" w:color="auto"/>
        <w:bottom w:val="none" w:sz="0" w:space="0" w:color="auto"/>
        <w:right w:val="none" w:sz="0" w:space="0" w:color="auto"/>
      </w:divBdr>
    </w:div>
    <w:div w:id="780689148">
      <w:marLeft w:val="480"/>
      <w:marRight w:val="0"/>
      <w:marTop w:val="0"/>
      <w:marBottom w:val="0"/>
      <w:divBdr>
        <w:top w:val="none" w:sz="0" w:space="0" w:color="auto"/>
        <w:left w:val="none" w:sz="0" w:space="0" w:color="auto"/>
        <w:bottom w:val="none" w:sz="0" w:space="0" w:color="auto"/>
        <w:right w:val="none" w:sz="0" w:space="0" w:color="auto"/>
      </w:divBdr>
    </w:div>
    <w:div w:id="789207167">
      <w:marLeft w:val="480"/>
      <w:marRight w:val="0"/>
      <w:marTop w:val="0"/>
      <w:marBottom w:val="0"/>
      <w:divBdr>
        <w:top w:val="none" w:sz="0" w:space="0" w:color="auto"/>
        <w:left w:val="none" w:sz="0" w:space="0" w:color="auto"/>
        <w:bottom w:val="none" w:sz="0" w:space="0" w:color="auto"/>
        <w:right w:val="none" w:sz="0" w:space="0" w:color="auto"/>
      </w:divBdr>
    </w:div>
    <w:div w:id="906841732">
      <w:marLeft w:val="480"/>
      <w:marRight w:val="0"/>
      <w:marTop w:val="0"/>
      <w:marBottom w:val="0"/>
      <w:divBdr>
        <w:top w:val="none" w:sz="0" w:space="0" w:color="auto"/>
        <w:left w:val="none" w:sz="0" w:space="0" w:color="auto"/>
        <w:bottom w:val="none" w:sz="0" w:space="0" w:color="auto"/>
        <w:right w:val="none" w:sz="0" w:space="0" w:color="auto"/>
      </w:divBdr>
    </w:div>
    <w:div w:id="912351800">
      <w:marLeft w:val="480"/>
      <w:marRight w:val="0"/>
      <w:marTop w:val="0"/>
      <w:marBottom w:val="0"/>
      <w:divBdr>
        <w:top w:val="none" w:sz="0" w:space="0" w:color="auto"/>
        <w:left w:val="none" w:sz="0" w:space="0" w:color="auto"/>
        <w:bottom w:val="none" w:sz="0" w:space="0" w:color="auto"/>
        <w:right w:val="none" w:sz="0" w:space="0" w:color="auto"/>
      </w:divBdr>
    </w:div>
    <w:div w:id="915895615">
      <w:marLeft w:val="480"/>
      <w:marRight w:val="0"/>
      <w:marTop w:val="0"/>
      <w:marBottom w:val="0"/>
      <w:divBdr>
        <w:top w:val="none" w:sz="0" w:space="0" w:color="auto"/>
        <w:left w:val="none" w:sz="0" w:space="0" w:color="auto"/>
        <w:bottom w:val="none" w:sz="0" w:space="0" w:color="auto"/>
        <w:right w:val="none" w:sz="0" w:space="0" w:color="auto"/>
      </w:divBdr>
    </w:div>
    <w:div w:id="1033919014">
      <w:marLeft w:val="480"/>
      <w:marRight w:val="0"/>
      <w:marTop w:val="0"/>
      <w:marBottom w:val="0"/>
      <w:divBdr>
        <w:top w:val="none" w:sz="0" w:space="0" w:color="auto"/>
        <w:left w:val="none" w:sz="0" w:space="0" w:color="auto"/>
        <w:bottom w:val="none" w:sz="0" w:space="0" w:color="auto"/>
        <w:right w:val="none" w:sz="0" w:space="0" w:color="auto"/>
      </w:divBdr>
    </w:div>
    <w:div w:id="1038314397">
      <w:marLeft w:val="480"/>
      <w:marRight w:val="0"/>
      <w:marTop w:val="0"/>
      <w:marBottom w:val="0"/>
      <w:divBdr>
        <w:top w:val="none" w:sz="0" w:space="0" w:color="auto"/>
        <w:left w:val="none" w:sz="0" w:space="0" w:color="auto"/>
        <w:bottom w:val="none" w:sz="0" w:space="0" w:color="auto"/>
        <w:right w:val="none" w:sz="0" w:space="0" w:color="auto"/>
      </w:divBdr>
    </w:div>
    <w:div w:id="1052970752">
      <w:marLeft w:val="480"/>
      <w:marRight w:val="0"/>
      <w:marTop w:val="0"/>
      <w:marBottom w:val="0"/>
      <w:divBdr>
        <w:top w:val="none" w:sz="0" w:space="0" w:color="auto"/>
        <w:left w:val="none" w:sz="0" w:space="0" w:color="auto"/>
        <w:bottom w:val="none" w:sz="0" w:space="0" w:color="auto"/>
        <w:right w:val="none" w:sz="0" w:space="0" w:color="auto"/>
      </w:divBdr>
    </w:div>
    <w:div w:id="1064374517">
      <w:marLeft w:val="480"/>
      <w:marRight w:val="0"/>
      <w:marTop w:val="0"/>
      <w:marBottom w:val="0"/>
      <w:divBdr>
        <w:top w:val="none" w:sz="0" w:space="0" w:color="auto"/>
        <w:left w:val="none" w:sz="0" w:space="0" w:color="auto"/>
        <w:bottom w:val="none" w:sz="0" w:space="0" w:color="auto"/>
        <w:right w:val="none" w:sz="0" w:space="0" w:color="auto"/>
      </w:divBdr>
    </w:div>
    <w:div w:id="1070808949">
      <w:marLeft w:val="480"/>
      <w:marRight w:val="0"/>
      <w:marTop w:val="0"/>
      <w:marBottom w:val="0"/>
      <w:divBdr>
        <w:top w:val="none" w:sz="0" w:space="0" w:color="auto"/>
        <w:left w:val="none" w:sz="0" w:space="0" w:color="auto"/>
        <w:bottom w:val="none" w:sz="0" w:space="0" w:color="auto"/>
        <w:right w:val="none" w:sz="0" w:space="0" w:color="auto"/>
      </w:divBdr>
    </w:div>
    <w:div w:id="1114255296">
      <w:marLeft w:val="480"/>
      <w:marRight w:val="0"/>
      <w:marTop w:val="0"/>
      <w:marBottom w:val="0"/>
      <w:divBdr>
        <w:top w:val="none" w:sz="0" w:space="0" w:color="auto"/>
        <w:left w:val="none" w:sz="0" w:space="0" w:color="auto"/>
        <w:bottom w:val="none" w:sz="0" w:space="0" w:color="auto"/>
        <w:right w:val="none" w:sz="0" w:space="0" w:color="auto"/>
      </w:divBdr>
    </w:div>
    <w:div w:id="1167600237">
      <w:marLeft w:val="480"/>
      <w:marRight w:val="0"/>
      <w:marTop w:val="0"/>
      <w:marBottom w:val="0"/>
      <w:divBdr>
        <w:top w:val="none" w:sz="0" w:space="0" w:color="auto"/>
        <w:left w:val="none" w:sz="0" w:space="0" w:color="auto"/>
        <w:bottom w:val="none" w:sz="0" w:space="0" w:color="auto"/>
        <w:right w:val="none" w:sz="0" w:space="0" w:color="auto"/>
      </w:divBdr>
    </w:div>
    <w:div w:id="1206066422">
      <w:marLeft w:val="480"/>
      <w:marRight w:val="0"/>
      <w:marTop w:val="0"/>
      <w:marBottom w:val="0"/>
      <w:divBdr>
        <w:top w:val="none" w:sz="0" w:space="0" w:color="auto"/>
        <w:left w:val="none" w:sz="0" w:space="0" w:color="auto"/>
        <w:bottom w:val="none" w:sz="0" w:space="0" w:color="auto"/>
        <w:right w:val="none" w:sz="0" w:space="0" w:color="auto"/>
      </w:divBdr>
    </w:div>
    <w:div w:id="1223054934">
      <w:marLeft w:val="480"/>
      <w:marRight w:val="0"/>
      <w:marTop w:val="0"/>
      <w:marBottom w:val="0"/>
      <w:divBdr>
        <w:top w:val="none" w:sz="0" w:space="0" w:color="auto"/>
        <w:left w:val="none" w:sz="0" w:space="0" w:color="auto"/>
        <w:bottom w:val="none" w:sz="0" w:space="0" w:color="auto"/>
        <w:right w:val="none" w:sz="0" w:space="0" w:color="auto"/>
      </w:divBdr>
    </w:div>
    <w:div w:id="1225800111">
      <w:marLeft w:val="480"/>
      <w:marRight w:val="0"/>
      <w:marTop w:val="0"/>
      <w:marBottom w:val="0"/>
      <w:divBdr>
        <w:top w:val="none" w:sz="0" w:space="0" w:color="auto"/>
        <w:left w:val="none" w:sz="0" w:space="0" w:color="auto"/>
        <w:bottom w:val="none" w:sz="0" w:space="0" w:color="auto"/>
        <w:right w:val="none" w:sz="0" w:space="0" w:color="auto"/>
      </w:divBdr>
    </w:div>
    <w:div w:id="1230456937">
      <w:marLeft w:val="480"/>
      <w:marRight w:val="0"/>
      <w:marTop w:val="0"/>
      <w:marBottom w:val="0"/>
      <w:divBdr>
        <w:top w:val="none" w:sz="0" w:space="0" w:color="auto"/>
        <w:left w:val="none" w:sz="0" w:space="0" w:color="auto"/>
        <w:bottom w:val="none" w:sz="0" w:space="0" w:color="auto"/>
        <w:right w:val="none" w:sz="0" w:space="0" w:color="auto"/>
      </w:divBdr>
    </w:div>
    <w:div w:id="1304194664">
      <w:marLeft w:val="480"/>
      <w:marRight w:val="0"/>
      <w:marTop w:val="0"/>
      <w:marBottom w:val="0"/>
      <w:divBdr>
        <w:top w:val="none" w:sz="0" w:space="0" w:color="auto"/>
        <w:left w:val="none" w:sz="0" w:space="0" w:color="auto"/>
        <w:bottom w:val="none" w:sz="0" w:space="0" w:color="auto"/>
        <w:right w:val="none" w:sz="0" w:space="0" w:color="auto"/>
      </w:divBdr>
    </w:div>
    <w:div w:id="1323655364">
      <w:marLeft w:val="480"/>
      <w:marRight w:val="0"/>
      <w:marTop w:val="0"/>
      <w:marBottom w:val="0"/>
      <w:divBdr>
        <w:top w:val="none" w:sz="0" w:space="0" w:color="auto"/>
        <w:left w:val="none" w:sz="0" w:space="0" w:color="auto"/>
        <w:bottom w:val="none" w:sz="0" w:space="0" w:color="auto"/>
        <w:right w:val="none" w:sz="0" w:space="0" w:color="auto"/>
      </w:divBdr>
    </w:div>
    <w:div w:id="1333022082">
      <w:marLeft w:val="480"/>
      <w:marRight w:val="0"/>
      <w:marTop w:val="0"/>
      <w:marBottom w:val="0"/>
      <w:divBdr>
        <w:top w:val="none" w:sz="0" w:space="0" w:color="auto"/>
        <w:left w:val="none" w:sz="0" w:space="0" w:color="auto"/>
        <w:bottom w:val="none" w:sz="0" w:space="0" w:color="auto"/>
        <w:right w:val="none" w:sz="0" w:space="0" w:color="auto"/>
      </w:divBdr>
    </w:div>
    <w:div w:id="1355770326">
      <w:marLeft w:val="480"/>
      <w:marRight w:val="0"/>
      <w:marTop w:val="0"/>
      <w:marBottom w:val="0"/>
      <w:divBdr>
        <w:top w:val="none" w:sz="0" w:space="0" w:color="auto"/>
        <w:left w:val="none" w:sz="0" w:space="0" w:color="auto"/>
        <w:bottom w:val="none" w:sz="0" w:space="0" w:color="auto"/>
        <w:right w:val="none" w:sz="0" w:space="0" w:color="auto"/>
      </w:divBdr>
    </w:div>
    <w:div w:id="1357924474">
      <w:marLeft w:val="480"/>
      <w:marRight w:val="0"/>
      <w:marTop w:val="0"/>
      <w:marBottom w:val="0"/>
      <w:divBdr>
        <w:top w:val="none" w:sz="0" w:space="0" w:color="auto"/>
        <w:left w:val="none" w:sz="0" w:space="0" w:color="auto"/>
        <w:bottom w:val="none" w:sz="0" w:space="0" w:color="auto"/>
        <w:right w:val="none" w:sz="0" w:space="0" w:color="auto"/>
      </w:divBdr>
    </w:div>
    <w:div w:id="1391877834">
      <w:marLeft w:val="480"/>
      <w:marRight w:val="0"/>
      <w:marTop w:val="0"/>
      <w:marBottom w:val="0"/>
      <w:divBdr>
        <w:top w:val="none" w:sz="0" w:space="0" w:color="auto"/>
        <w:left w:val="none" w:sz="0" w:space="0" w:color="auto"/>
        <w:bottom w:val="none" w:sz="0" w:space="0" w:color="auto"/>
        <w:right w:val="none" w:sz="0" w:space="0" w:color="auto"/>
      </w:divBdr>
    </w:div>
    <w:div w:id="1473715839">
      <w:marLeft w:val="480"/>
      <w:marRight w:val="0"/>
      <w:marTop w:val="0"/>
      <w:marBottom w:val="0"/>
      <w:divBdr>
        <w:top w:val="none" w:sz="0" w:space="0" w:color="auto"/>
        <w:left w:val="none" w:sz="0" w:space="0" w:color="auto"/>
        <w:bottom w:val="none" w:sz="0" w:space="0" w:color="auto"/>
        <w:right w:val="none" w:sz="0" w:space="0" w:color="auto"/>
      </w:divBdr>
    </w:div>
    <w:div w:id="1495561038">
      <w:marLeft w:val="480"/>
      <w:marRight w:val="0"/>
      <w:marTop w:val="0"/>
      <w:marBottom w:val="0"/>
      <w:divBdr>
        <w:top w:val="none" w:sz="0" w:space="0" w:color="auto"/>
        <w:left w:val="none" w:sz="0" w:space="0" w:color="auto"/>
        <w:bottom w:val="none" w:sz="0" w:space="0" w:color="auto"/>
        <w:right w:val="none" w:sz="0" w:space="0" w:color="auto"/>
      </w:divBdr>
    </w:div>
    <w:div w:id="1518537689">
      <w:marLeft w:val="480"/>
      <w:marRight w:val="0"/>
      <w:marTop w:val="0"/>
      <w:marBottom w:val="0"/>
      <w:divBdr>
        <w:top w:val="none" w:sz="0" w:space="0" w:color="auto"/>
        <w:left w:val="none" w:sz="0" w:space="0" w:color="auto"/>
        <w:bottom w:val="none" w:sz="0" w:space="0" w:color="auto"/>
        <w:right w:val="none" w:sz="0" w:space="0" w:color="auto"/>
      </w:divBdr>
    </w:div>
    <w:div w:id="1595435028">
      <w:marLeft w:val="480"/>
      <w:marRight w:val="0"/>
      <w:marTop w:val="0"/>
      <w:marBottom w:val="0"/>
      <w:divBdr>
        <w:top w:val="none" w:sz="0" w:space="0" w:color="auto"/>
        <w:left w:val="none" w:sz="0" w:space="0" w:color="auto"/>
        <w:bottom w:val="none" w:sz="0" w:space="0" w:color="auto"/>
        <w:right w:val="none" w:sz="0" w:space="0" w:color="auto"/>
      </w:divBdr>
    </w:div>
    <w:div w:id="1681929229">
      <w:marLeft w:val="480"/>
      <w:marRight w:val="0"/>
      <w:marTop w:val="0"/>
      <w:marBottom w:val="0"/>
      <w:divBdr>
        <w:top w:val="none" w:sz="0" w:space="0" w:color="auto"/>
        <w:left w:val="none" w:sz="0" w:space="0" w:color="auto"/>
        <w:bottom w:val="none" w:sz="0" w:space="0" w:color="auto"/>
        <w:right w:val="none" w:sz="0" w:space="0" w:color="auto"/>
      </w:divBdr>
    </w:div>
    <w:div w:id="1702395014">
      <w:marLeft w:val="480"/>
      <w:marRight w:val="0"/>
      <w:marTop w:val="0"/>
      <w:marBottom w:val="0"/>
      <w:divBdr>
        <w:top w:val="none" w:sz="0" w:space="0" w:color="auto"/>
        <w:left w:val="none" w:sz="0" w:space="0" w:color="auto"/>
        <w:bottom w:val="none" w:sz="0" w:space="0" w:color="auto"/>
        <w:right w:val="none" w:sz="0" w:space="0" w:color="auto"/>
      </w:divBdr>
    </w:div>
    <w:div w:id="1715274264">
      <w:marLeft w:val="480"/>
      <w:marRight w:val="0"/>
      <w:marTop w:val="0"/>
      <w:marBottom w:val="0"/>
      <w:divBdr>
        <w:top w:val="none" w:sz="0" w:space="0" w:color="auto"/>
        <w:left w:val="none" w:sz="0" w:space="0" w:color="auto"/>
        <w:bottom w:val="none" w:sz="0" w:space="0" w:color="auto"/>
        <w:right w:val="none" w:sz="0" w:space="0" w:color="auto"/>
      </w:divBdr>
    </w:div>
    <w:div w:id="1737359627">
      <w:marLeft w:val="480"/>
      <w:marRight w:val="0"/>
      <w:marTop w:val="0"/>
      <w:marBottom w:val="0"/>
      <w:divBdr>
        <w:top w:val="none" w:sz="0" w:space="0" w:color="auto"/>
        <w:left w:val="none" w:sz="0" w:space="0" w:color="auto"/>
        <w:bottom w:val="none" w:sz="0" w:space="0" w:color="auto"/>
        <w:right w:val="none" w:sz="0" w:space="0" w:color="auto"/>
      </w:divBdr>
    </w:div>
    <w:div w:id="1781101902">
      <w:marLeft w:val="480"/>
      <w:marRight w:val="0"/>
      <w:marTop w:val="0"/>
      <w:marBottom w:val="0"/>
      <w:divBdr>
        <w:top w:val="none" w:sz="0" w:space="0" w:color="auto"/>
        <w:left w:val="none" w:sz="0" w:space="0" w:color="auto"/>
        <w:bottom w:val="none" w:sz="0" w:space="0" w:color="auto"/>
        <w:right w:val="none" w:sz="0" w:space="0" w:color="auto"/>
      </w:divBdr>
    </w:div>
    <w:div w:id="1836335150">
      <w:marLeft w:val="480"/>
      <w:marRight w:val="0"/>
      <w:marTop w:val="0"/>
      <w:marBottom w:val="0"/>
      <w:divBdr>
        <w:top w:val="none" w:sz="0" w:space="0" w:color="auto"/>
        <w:left w:val="none" w:sz="0" w:space="0" w:color="auto"/>
        <w:bottom w:val="none" w:sz="0" w:space="0" w:color="auto"/>
        <w:right w:val="none" w:sz="0" w:space="0" w:color="auto"/>
      </w:divBdr>
    </w:div>
    <w:div w:id="1879588442">
      <w:marLeft w:val="480"/>
      <w:marRight w:val="0"/>
      <w:marTop w:val="0"/>
      <w:marBottom w:val="0"/>
      <w:divBdr>
        <w:top w:val="none" w:sz="0" w:space="0" w:color="auto"/>
        <w:left w:val="none" w:sz="0" w:space="0" w:color="auto"/>
        <w:bottom w:val="none" w:sz="0" w:space="0" w:color="auto"/>
        <w:right w:val="none" w:sz="0" w:space="0" w:color="auto"/>
      </w:divBdr>
    </w:div>
    <w:div w:id="1890143978">
      <w:marLeft w:val="480"/>
      <w:marRight w:val="0"/>
      <w:marTop w:val="0"/>
      <w:marBottom w:val="0"/>
      <w:divBdr>
        <w:top w:val="none" w:sz="0" w:space="0" w:color="auto"/>
        <w:left w:val="none" w:sz="0" w:space="0" w:color="auto"/>
        <w:bottom w:val="none" w:sz="0" w:space="0" w:color="auto"/>
        <w:right w:val="none" w:sz="0" w:space="0" w:color="auto"/>
      </w:divBdr>
    </w:div>
    <w:div w:id="1943103322">
      <w:marLeft w:val="480"/>
      <w:marRight w:val="0"/>
      <w:marTop w:val="0"/>
      <w:marBottom w:val="0"/>
      <w:divBdr>
        <w:top w:val="none" w:sz="0" w:space="0" w:color="auto"/>
        <w:left w:val="none" w:sz="0" w:space="0" w:color="auto"/>
        <w:bottom w:val="none" w:sz="0" w:space="0" w:color="auto"/>
        <w:right w:val="none" w:sz="0" w:space="0" w:color="auto"/>
      </w:divBdr>
    </w:div>
    <w:div w:id="1951087640">
      <w:marLeft w:val="480"/>
      <w:marRight w:val="0"/>
      <w:marTop w:val="0"/>
      <w:marBottom w:val="0"/>
      <w:divBdr>
        <w:top w:val="none" w:sz="0" w:space="0" w:color="auto"/>
        <w:left w:val="none" w:sz="0" w:space="0" w:color="auto"/>
        <w:bottom w:val="none" w:sz="0" w:space="0" w:color="auto"/>
        <w:right w:val="none" w:sz="0" w:space="0" w:color="auto"/>
      </w:divBdr>
    </w:div>
    <w:div w:id="1951401296">
      <w:marLeft w:val="480"/>
      <w:marRight w:val="0"/>
      <w:marTop w:val="0"/>
      <w:marBottom w:val="0"/>
      <w:divBdr>
        <w:top w:val="none" w:sz="0" w:space="0" w:color="auto"/>
        <w:left w:val="none" w:sz="0" w:space="0" w:color="auto"/>
        <w:bottom w:val="none" w:sz="0" w:space="0" w:color="auto"/>
        <w:right w:val="none" w:sz="0" w:space="0" w:color="auto"/>
      </w:divBdr>
    </w:div>
    <w:div w:id="1994213513">
      <w:marLeft w:val="480"/>
      <w:marRight w:val="0"/>
      <w:marTop w:val="0"/>
      <w:marBottom w:val="0"/>
      <w:divBdr>
        <w:top w:val="none" w:sz="0" w:space="0" w:color="auto"/>
        <w:left w:val="none" w:sz="0" w:space="0" w:color="auto"/>
        <w:bottom w:val="none" w:sz="0" w:space="0" w:color="auto"/>
        <w:right w:val="none" w:sz="0" w:space="0" w:color="auto"/>
      </w:divBdr>
    </w:div>
    <w:div w:id="2049403861">
      <w:marLeft w:val="480"/>
      <w:marRight w:val="0"/>
      <w:marTop w:val="0"/>
      <w:marBottom w:val="0"/>
      <w:divBdr>
        <w:top w:val="none" w:sz="0" w:space="0" w:color="auto"/>
        <w:left w:val="none" w:sz="0" w:space="0" w:color="auto"/>
        <w:bottom w:val="none" w:sz="0" w:space="0" w:color="auto"/>
        <w:right w:val="none" w:sz="0" w:space="0" w:color="auto"/>
      </w:divBdr>
    </w:div>
    <w:div w:id="2052069834">
      <w:marLeft w:val="480"/>
      <w:marRight w:val="0"/>
      <w:marTop w:val="0"/>
      <w:marBottom w:val="0"/>
      <w:divBdr>
        <w:top w:val="none" w:sz="0" w:space="0" w:color="auto"/>
        <w:left w:val="none" w:sz="0" w:space="0" w:color="auto"/>
        <w:bottom w:val="none" w:sz="0" w:space="0" w:color="auto"/>
        <w:right w:val="none" w:sz="0" w:space="0" w:color="auto"/>
      </w:divBdr>
    </w:div>
    <w:div w:id="2059934540">
      <w:marLeft w:val="480"/>
      <w:marRight w:val="0"/>
      <w:marTop w:val="0"/>
      <w:marBottom w:val="0"/>
      <w:divBdr>
        <w:top w:val="none" w:sz="0" w:space="0" w:color="auto"/>
        <w:left w:val="none" w:sz="0" w:space="0" w:color="auto"/>
        <w:bottom w:val="none" w:sz="0" w:space="0" w:color="auto"/>
        <w:right w:val="none" w:sz="0" w:space="0" w:color="auto"/>
      </w:divBdr>
    </w:div>
    <w:div w:id="2069184823">
      <w:marLeft w:val="480"/>
      <w:marRight w:val="0"/>
      <w:marTop w:val="0"/>
      <w:marBottom w:val="0"/>
      <w:divBdr>
        <w:top w:val="none" w:sz="0" w:space="0" w:color="auto"/>
        <w:left w:val="none" w:sz="0" w:space="0" w:color="auto"/>
        <w:bottom w:val="none" w:sz="0" w:space="0" w:color="auto"/>
        <w:right w:val="none" w:sz="0" w:space="0" w:color="auto"/>
      </w:divBdr>
    </w:div>
    <w:div w:id="2111074348">
      <w:marLeft w:val="480"/>
      <w:marRight w:val="0"/>
      <w:marTop w:val="0"/>
      <w:marBottom w:val="0"/>
      <w:divBdr>
        <w:top w:val="none" w:sz="0" w:space="0" w:color="auto"/>
        <w:left w:val="none" w:sz="0" w:space="0" w:color="auto"/>
        <w:bottom w:val="none" w:sz="0" w:space="0" w:color="auto"/>
        <w:right w:val="none" w:sz="0" w:space="0" w:color="auto"/>
      </w:divBdr>
    </w:div>
    <w:div w:id="2144499539">
      <w:marLeft w:val="480"/>
      <w:marRight w:val="0"/>
      <w:marTop w:val="0"/>
      <w:marBottom w:val="0"/>
      <w:divBdr>
        <w:top w:val="none" w:sz="0" w:space="0" w:color="auto"/>
        <w:left w:val="none" w:sz="0" w:space="0" w:color="auto"/>
        <w:bottom w:val="none" w:sz="0" w:space="0" w:color="auto"/>
        <w:right w:val="none" w:sz="0" w:space="0" w:color="auto"/>
      </w:divBdr>
    </w:div>
    <w:div w:id="214624069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2805BFC-7788-4350-8CF3-A46E9A335FC2}"/>
      </w:docPartPr>
      <w:docPartBody>
        <w:p w:rsidR="006C5A3A" w:rsidRDefault="000A6530">
          <w:r w:rsidRPr="00271F71">
            <w:rPr>
              <w:rStyle w:val="PlaceholderText"/>
            </w:rPr>
            <w:t>Click or tap here to enter text.</w:t>
          </w:r>
        </w:p>
      </w:docPartBody>
    </w:docPart>
    <w:docPart>
      <w:docPartPr>
        <w:name w:val="E4C4FEDAF56348EB8549E4D7DDE178D6"/>
        <w:category>
          <w:name w:val="General"/>
          <w:gallery w:val="placeholder"/>
        </w:category>
        <w:types>
          <w:type w:val="bbPlcHdr"/>
        </w:types>
        <w:behaviors>
          <w:behavior w:val="content"/>
        </w:behaviors>
        <w:guid w:val="{774C800F-D577-45BD-A714-5E3ACDBBE7C2}"/>
      </w:docPartPr>
      <w:docPartBody>
        <w:p w:rsidR="004507AD" w:rsidRDefault="006C5A3A" w:rsidP="006C5A3A">
          <w:pPr>
            <w:pStyle w:val="E4C4FEDAF56348EB8549E4D7DDE178D6"/>
          </w:pPr>
          <w:r w:rsidRPr="00271F71">
            <w:rPr>
              <w:rStyle w:val="PlaceholderText"/>
            </w:rPr>
            <w:t>Click or tap here to enter text.</w:t>
          </w:r>
        </w:p>
      </w:docPartBody>
    </w:docPart>
    <w:docPart>
      <w:docPartPr>
        <w:name w:val="90D681FCADB04623BA17E1D880FCD1AA"/>
        <w:category>
          <w:name w:val="General"/>
          <w:gallery w:val="placeholder"/>
        </w:category>
        <w:types>
          <w:type w:val="bbPlcHdr"/>
        </w:types>
        <w:behaviors>
          <w:behavior w:val="content"/>
        </w:behaviors>
        <w:guid w:val="{EA80174F-FAC4-43B4-AD46-064BCB271A07}"/>
      </w:docPartPr>
      <w:docPartBody>
        <w:p w:rsidR="004507AD" w:rsidRDefault="006C5A3A" w:rsidP="006C5A3A">
          <w:pPr>
            <w:pStyle w:val="90D681FCADB04623BA17E1D880FCD1AA"/>
          </w:pPr>
          <w:r w:rsidRPr="00271F71">
            <w:rPr>
              <w:rStyle w:val="PlaceholderText"/>
            </w:rPr>
            <w:t>Click or tap here to enter text.</w:t>
          </w:r>
        </w:p>
      </w:docPartBody>
    </w:docPart>
    <w:docPart>
      <w:docPartPr>
        <w:name w:val="6DB2FAF08E11480D920D8F6861C6A741"/>
        <w:category>
          <w:name w:val="General"/>
          <w:gallery w:val="placeholder"/>
        </w:category>
        <w:types>
          <w:type w:val="bbPlcHdr"/>
        </w:types>
        <w:behaviors>
          <w:behavior w:val="content"/>
        </w:behaviors>
        <w:guid w:val="{18B4A692-A82F-4A93-B67B-64A446A69710}"/>
      </w:docPartPr>
      <w:docPartBody>
        <w:p w:rsidR="004507AD" w:rsidRDefault="006C5A3A" w:rsidP="006C5A3A">
          <w:pPr>
            <w:pStyle w:val="6DB2FAF08E11480D920D8F6861C6A741"/>
          </w:pPr>
          <w:r w:rsidRPr="00271F71">
            <w:rPr>
              <w:rStyle w:val="PlaceholderText"/>
            </w:rPr>
            <w:t>Click or tap here to enter text.</w:t>
          </w:r>
        </w:p>
      </w:docPartBody>
    </w:docPart>
    <w:docPart>
      <w:docPartPr>
        <w:name w:val="849EF490D5BA4ED2878549F6DD5154C5"/>
        <w:category>
          <w:name w:val="General"/>
          <w:gallery w:val="placeholder"/>
        </w:category>
        <w:types>
          <w:type w:val="bbPlcHdr"/>
        </w:types>
        <w:behaviors>
          <w:behavior w:val="content"/>
        </w:behaviors>
        <w:guid w:val="{7DA20648-A502-42FD-80CA-F184AF17894B}"/>
      </w:docPartPr>
      <w:docPartBody>
        <w:p w:rsidR="004507AD" w:rsidRDefault="006C5A3A" w:rsidP="006C5A3A">
          <w:pPr>
            <w:pStyle w:val="849EF490D5BA4ED2878549F6DD5154C5"/>
          </w:pPr>
          <w:r w:rsidRPr="00271F71">
            <w:rPr>
              <w:rStyle w:val="PlaceholderText"/>
            </w:rPr>
            <w:t>Click or tap here to enter text.</w:t>
          </w:r>
        </w:p>
      </w:docPartBody>
    </w:docPart>
    <w:docPart>
      <w:docPartPr>
        <w:name w:val="E3717A6336F54585A6F55EBA11A5A432"/>
        <w:category>
          <w:name w:val="General"/>
          <w:gallery w:val="placeholder"/>
        </w:category>
        <w:types>
          <w:type w:val="bbPlcHdr"/>
        </w:types>
        <w:behaviors>
          <w:behavior w:val="content"/>
        </w:behaviors>
        <w:guid w:val="{24C2DF51-A446-4A46-AFBA-69C13BBFAFF5}"/>
      </w:docPartPr>
      <w:docPartBody>
        <w:p w:rsidR="004507AD" w:rsidRDefault="006C5A3A" w:rsidP="006C5A3A">
          <w:pPr>
            <w:pStyle w:val="E3717A6336F54585A6F55EBA11A5A432"/>
          </w:pPr>
          <w:r w:rsidRPr="00271F71">
            <w:rPr>
              <w:rStyle w:val="PlaceholderText"/>
            </w:rPr>
            <w:t>Click or tap here to enter text.</w:t>
          </w:r>
        </w:p>
      </w:docPartBody>
    </w:docPart>
    <w:docPart>
      <w:docPartPr>
        <w:name w:val="DA281906DB2F45EDB8A272834D73F035"/>
        <w:category>
          <w:name w:val="General"/>
          <w:gallery w:val="placeholder"/>
        </w:category>
        <w:types>
          <w:type w:val="bbPlcHdr"/>
        </w:types>
        <w:behaviors>
          <w:behavior w:val="content"/>
        </w:behaviors>
        <w:guid w:val="{49194C27-9152-4B02-9629-6850293B4D53}"/>
      </w:docPartPr>
      <w:docPartBody>
        <w:p w:rsidR="004507AD" w:rsidRDefault="006C5A3A" w:rsidP="006C5A3A">
          <w:pPr>
            <w:pStyle w:val="DA281906DB2F45EDB8A272834D73F035"/>
          </w:pPr>
          <w:r w:rsidRPr="00271F71">
            <w:rPr>
              <w:rStyle w:val="PlaceholderText"/>
            </w:rPr>
            <w:t>Click or tap here to enter text.</w:t>
          </w:r>
        </w:p>
      </w:docPartBody>
    </w:docPart>
    <w:docPart>
      <w:docPartPr>
        <w:name w:val="B1CFFE293EA243BEB6BE833F03F51BAC"/>
        <w:category>
          <w:name w:val="General"/>
          <w:gallery w:val="placeholder"/>
        </w:category>
        <w:types>
          <w:type w:val="bbPlcHdr"/>
        </w:types>
        <w:behaviors>
          <w:behavior w:val="content"/>
        </w:behaviors>
        <w:guid w:val="{0C6C9C10-3559-482B-BE34-53B31DA3C52F}"/>
      </w:docPartPr>
      <w:docPartBody>
        <w:p w:rsidR="004507AD" w:rsidRDefault="006C5A3A" w:rsidP="006C5A3A">
          <w:pPr>
            <w:pStyle w:val="B1CFFE293EA243BEB6BE833F03F51BAC"/>
          </w:pPr>
          <w:r w:rsidRPr="00271F71">
            <w:rPr>
              <w:rStyle w:val="PlaceholderText"/>
            </w:rPr>
            <w:t>Click or tap here to enter text.</w:t>
          </w:r>
        </w:p>
      </w:docPartBody>
    </w:docPart>
    <w:docPart>
      <w:docPartPr>
        <w:name w:val="320574036DB649B7B0D6E004541CB69C"/>
        <w:category>
          <w:name w:val="General"/>
          <w:gallery w:val="placeholder"/>
        </w:category>
        <w:types>
          <w:type w:val="bbPlcHdr"/>
        </w:types>
        <w:behaviors>
          <w:behavior w:val="content"/>
        </w:behaviors>
        <w:guid w:val="{9C6B204C-114B-4A9C-9991-784C39557C3A}"/>
      </w:docPartPr>
      <w:docPartBody>
        <w:p w:rsidR="004507AD" w:rsidRDefault="006C5A3A" w:rsidP="006C5A3A">
          <w:pPr>
            <w:pStyle w:val="320574036DB649B7B0D6E004541CB69C"/>
          </w:pPr>
          <w:r w:rsidRPr="00271F71">
            <w:rPr>
              <w:rStyle w:val="PlaceholderText"/>
            </w:rPr>
            <w:t>Click or tap here to enter text.</w:t>
          </w:r>
        </w:p>
      </w:docPartBody>
    </w:docPart>
    <w:docPart>
      <w:docPartPr>
        <w:name w:val="25F21BF08B6745BFA7C950C2CBD08F6D"/>
        <w:category>
          <w:name w:val="General"/>
          <w:gallery w:val="placeholder"/>
        </w:category>
        <w:types>
          <w:type w:val="bbPlcHdr"/>
        </w:types>
        <w:behaviors>
          <w:behavior w:val="content"/>
        </w:behaviors>
        <w:guid w:val="{05BBDF5D-CE4C-4911-B4EE-D7D0F5F2A0D4}"/>
      </w:docPartPr>
      <w:docPartBody>
        <w:p w:rsidR="004507AD" w:rsidRDefault="006C5A3A" w:rsidP="006C5A3A">
          <w:pPr>
            <w:pStyle w:val="25F21BF08B6745BFA7C950C2CBD08F6D"/>
          </w:pPr>
          <w:r w:rsidRPr="00271F71">
            <w:rPr>
              <w:rStyle w:val="PlaceholderText"/>
            </w:rPr>
            <w:t>Click or tap here to enter text.</w:t>
          </w:r>
        </w:p>
      </w:docPartBody>
    </w:docPart>
    <w:docPart>
      <w:docPartPr>
        <w:name w:val="A4BC89E5C87645B4B5801AB710D0CE93"/>
        <w:category>
          <w:name w:val="General"/>
          <w:gallery w:val="placeholder"/>
        </w:category>
        <w:types>
          <w:type w:val="bbPlcHdr"/>
        </w:types>
        <w:behaviors>
          <w:behavior w:val="content"/>
        </w:behaviors>
        <w:guid w:val="{41E17CE9-FFCC-4C88-9B42-222587F4EFC4}"/>
      </w:docPartPr>
      <w:docPartBody>
        <w:p w:rsidR="004507AD" w:rsidRDefault="006C5A3A" w:rsidP="006C5A3A">
          <w:pPr>
            <w:pStyle w:val="A4BC89E5C87645B4B5801AB710D0CE93"/>
          </w:pPr>
          <w:r w:rsidRPr="00271F71">
            <w:rPr>
              <w:rStyle w:val="PlaceholderText"/>
            </w:rPr>
            <w:t>Click or tap here to enter text.</w:t>
          </w:r>
        </w:p>
      </w:docPartBody>
    </w:docPart>
    <w:docPart>
      <w:docPartPr>
        <w:name w:val="009833737000463EA8CDD1E4C6F49072"/>
        <w:category>
          <w:name w:val="General"/>
          <w:gallery w:val="placeholder"/>
        </w:category>
        <w:types>
          <w:type w:val="bbPlcHdr"/>
        </w:types>
        <w:behaviors>
          <w:behavior w:val="content"/>
        </w:behaviors>
        <w:guid w:val="{2B1E6167-E940-40A8-B878-C1808E305499}"/>
      </w:docPartPr>
      <w:docPartBody>
        <w:p w:rsidR="004507AD" w:rsidRDefault="006C5A3A" w:rsidP="006C5A3A">
          <w:pPr>
            <w:pStyle w:val="009833737000463EA8CDD1E4C6F49072"/>
          </w:pPr>
          <w:r w:rsidRPr="00271F71">
            <w:rPr>
              <w:rStyle w:val="PlaceholderText"/>
            </w:rPr>
            <w:t>Click or tap here to enter text.</w:t>
          </w:r>
        </w:p>
      </w:docPartBody>
    </w:docPart>
    <w:docPart>
      <w:docPartPr>
        <w:name w:val="01A130E6BB664A6596890D6F8458F90B"/>
        <w:category>
          <w:name w:val="General"/>
          <w:gallery w:val="placeholder"/>
        </w:category>
        <w:types>
          <w:type w:val="bbPlcHdr"/>
        </w:types>
        <w:behaviors>
          <w:behavior w:val="content"/>
        </w:behaviors>
        <w:guid w:val="{25288B42-49B7-442F-A15C-BF0958A5D740}"/>
      </w:docPartPr>
      <w:docPartBody>
        <w:p w:rsidR="004507AD" w:rsidRDefault="006C5A3A" w:rsidP="006C5A3A">
          <w:pPr>
            <w:pStyle w:val="01A130E6BB664A6596890D6F8458F90B"/>
          </w:pPr>
          <w:r w:rsidRPr="00271F71">
            <w:rPr>
              <w:rStyle w:val="PlaceholderText"/>
            </w:rPr>
            <w:t>Click or tap here to enter text.</w:t>
          </w:r>
        </w:p>
      </w:docPartBody>
    </w:docPart>
    <w:docPart>
      <w:docPartPr>
        <w:name w:val="BBE207B1E1C84C63AB3BB73C95900F2E"/>
        <w:category>
          <w:name w:val="General"/>
          <w:gallery w:val="placeholder"/>
        </w:category>
        <w:types>
          <w:type w:val="bbPlcHdr"/>
        </w:types>
        <w:behaviors>
          <w:behavior w:val="content"/>
        </w:behaviors>
        <w:guid w:val="{5A60280C-658E-4A14-A556-CE6306CE02CD}"/>
      </w:docPartPr>
      <w:docPartBody>
        <w:p w:rsidR="004507AD" w:rsidRDefault="006C5A3A" w:rsidP="006C5A3A">
          <w:pPr>
            <w:pStyle w:val="BBE207B1E1C84C63AB3BB73C95900F2E"/>
          </w:pPr>
          <w:r w:rsidRPr="00271F71">
            <w:rPr>
              <w:rStyle w:val="PlaceholderText"/>
            </w:rPr>
            <w:t>Click or tap here to enter text.</w:t>
          </w:r>
        </w:p>
      </w:docPartBody>
    </w:docPart>
    <w:docPart>
      <w:docPartPr>
        <w:name w:val="C967A18AB9604FCEAB9D1D6C3FEF309D"/>
        <w:category>
          <w:name w:val="General"/>
          <w:gallery w:val="placeholder"/>
        </w:category>
        <w:types>
          <w:type w:val="bbPlcHdr"/>
        </w:types>
        <w:behaviors>
          <w:behavior w:val="content"/>
        </w:behaviors>
        <w:guid w:val="{84E5044C-7396-4230-A6FC-DDF75EEAEF3A}"/>
      </w:docPartPr>
      <w:docPartBody>
        <w:p w:rsidR="004507AD" w:rsidRDefault="006C5A3A" w:rsidP="006C5A3A">
          <w:pPr>
            <w:pStyle w:val="C967A18AB9604FCEAB9D1D6C3FEF309D"/>
          </w:pPr>
          <w:r w:rsidRPr="00271F71">
            <w:rPr>
              <w:rStyle w:val="PlaceholderText"/>
            </w:rPr>
            <w:t>Click or tap here to enter text.</w:t>
          </w:r>
        </w:p>
      </w:docPartBody>
    </w:docPart>
    <w:docPart>
      <w:docPartPr>
        <w:name w:val="0B889AF43F9B4D0FAE83FE9EA0C795A4"/>
        <w:category>
          <w:name w:val="General"/>
          <w:gallery w:val="placeholder"/>
        </w:category>
        <w:types>
          <w:type w:val="bbPlcHdr"/>
        </w:types>
        <w:behaviors>
          <w:behavior w:val="content"/>
        </w:behaviors>
        <w:guid w:val="{BE69F0F2-EA16-4250-93B5-1151C0D9C2A6}"/>
      </w:docPartPr>
      <w:docPartBody>
        <w:p w:rsidR="004507AD" w:rsidRDefault="006C5A3A" w:rsidP="006C5A3A">
          <w:pPr>
            <w:pStyle w:val="0B889AF43F9B4D0FAE83FE9EA0C795A4"/>
          </w:pPr>
          <w:r w:rsidRPr="00271F71">
            <w:rPr>
              <w:rStyle w:val="PlaceholderText"/>
            </w:rPr>
            <w:t>Click or tap here to enter text.</w:t>
          </w:r>
        </w:p>
      </w:docPartBody>
    </w:docPart>
    <w:docPart>
      <w:docPartPr>
        <w:name w:val="1EBF2CB14176484D8C0ECB964D55BA82"/>
        <w:category>
          <w:name w:val="General"/>
          <w:gallery w:val="placeholder"/>
        </w:category>
        <w:types>
          <w:type w:val="bbPlcHdr"/>
        </w:types>
        <w:behaviors>
          <w:behavior w:val="content"/>
        </w:behaviors>
        <w:guid w:val="{451F91ED-B9DB-4E5B-8AA7-2A5017DB0819}"/>
      </w:docPartPr>
      <w:docPartBody>
        <w:p w:rsidR="004507AD" w:rsidRDefault="006C5A3A" w:rsidP="006C5A3A">
          <w:pPr>
            <w:pStyle w:val="1EBF2CB14176484D8C0ECB964D55BA82"/>
          </w:pPr>
          <w:r w:rsidRPr="00271F71">
            <w:rPr>
              <w:rStyle w:val="PlaceholderText"/>
            </w:rPr>
            <w:t>Click or tap here to enter text.</w:t>
          </w:r>
        </w:p>
      </w:docPartBody>
    </w:docPart>
    <w:docPart>
      <w:docPartPr>
        <w:name w:val="A860ED23B38640F79564D1A9A2D2EAB5"/>
        <w:category>
          <w:name w:val="General"/>
          <w:gallery w:val="placeholder"/>
        </w:category>
        <w:types>
          <w:type w:val="bbPlcHdr"/>
        </w:types>
        <w:behaviors>
          <w:behavior w:val="content"/>
        </w:behaviors>
        <w:guid w:val="{B2F6771D-95A1-42B7-9347-26E77A33BCAC}"/>
      </w:docPartPr>
      <w:docPartBody>
        <w:p w:rsidR="004507AD" w:rsidRDefault="006C5A3A" w:rsidP="006C5A3A">
          <w:pPr>
            <w:pStyle w:val="A860ED23B38640F79564D1A9A2D2EAB5"/>
          </w:pPr>
          <w:r w:rsidRPr="00271F71">
            <w:rPr>
              <w:rStyle w:val="PlaceholderText"/>
            </w:rPr>
            <w:t>Click or tap here to enter text.</w:t>
          </w:r>
        </w:p>
      </w:docPartBody>
    </w:docPart>
    <w:docPart>
      <w:docPartPr>
        <w:name w:val="83AC4D49176F4189B1119E5F85FA6D2C"/>
        <w:category>
          <w:name w:val="General"/>
          <w:gallery w:val="placeholder"/>
        </w:category>
        <w:types>
          <w:type w:val="bbPlcHdr"/>
        </w:types>
        <w:behaviors>
          <w:behavior w:val="content"/>
        </w:behaviors>
        <w:guid w:val="{A9FEC281-D3FC-4181-9114-861F0D8C5C18}"/>
      </w:docPartPr>
      <w:docPartBody>
        <w:p w:rsidR="004507AD" w:rsidRDefault="006C5A3A" w:rsidP="006C5A3A">
          <w:pPr>
            <w:pStyle w:val="83AC4D49176F4189B1119E5F85FA6D2C"/>
          </w:pPr>
          <w:r w:rsidRPr="00271F71">
            <w:rPr>
              <w:rStyle w:val="PlaceholderText"/>
            </w:rPr>
            <w:t>Click or tap here to enter text.</w:t>
          </w:r>
        </w:p>
      </w:docPartBody>
    </w:docPart>
    <w:docPart>
      <w:docPartPr>
        <w:name w:val="D108562179FA4BC88A3C8D157684BE20"/>
        <w:category>
          <w:name w:val="General"/>
          <w:gallery w:val="placeholder"/>
        </w:category>
        <w:types>
          <w:type w:val="bbPlcHdr"/>
        </w:types>
        <w:behaviors>
          <w:behavior w:val="content"/>
        </w:behaviors>
        <w:guid w:val="{0697BA9E-DCB4-4F35-B1F0-E137B34438EA}"/>
      </w:docPartPr>
      <w:docPartBody>
        <w:p w:rsidR="004507AD" w:rsidRDefault="006C5A3A" w:rsidP="006C5A3A">
          <w:pPr>
            <w:pStyle w:val="D108562179FA4BC88A3C8D157684BE20"/>
          </w:pPr>
          <w:r w:rsidRPr="00271F71">
            <w:rPr>
              <w:rStyle w:val="PlaceholderText"/>
            </w:rPr>
            <w:t>Click or tap here to enter text.</w:t>
          </w:r>
        </w:p>
      </w:docPartBody>
    </w:docPart>
    <w:docPart>
      <w:docPartPr>
        <w:name w:val="CA26DE2FF9CD4493ACCA213B8D702736"/>
        <w:category>
          <w:name w:val="General"/>
          <w:gallery w:val="placeholder"/>
        </w:category>
        <w:types>
          <w:type w:val="bbPlcHdr"/>
        </w:types>
        <w:behaviors>
          <w:behavior w:val="content"/>
        </w:behaviors>
        <w:guid w:val="{F252A2A8-F376-4442-8B99-D92A3DBE5962}"/>
      </w:docPartPr>
      <w:docPartBody>
        <w:p w:rsidR="004507AD" w:rsidRDefault="006C5A3A" w:rsidP="006C5A3A">
          <w:pPr>
            <w:pStyle w:val="CA26DE2FF9CD4493ACCA213B8D702736"/>
          </w:pPr>
          <w:r w:rsidRPr="00271F7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530"/>
    <w:rsid w:val="0003322B"/>
    <w:rsid w:val="000A6530"/>
    <w:rsid w:val="00166C69"/>
    <w:rsid w:val="001E7E85"/>
    <w:rsid w:val="00304B1A"/>
    <w:rsid w:val="00354319"/>
    <w:rsid w:val="004507AD"/>
    <w:rsid w:val="006C5A3A"/>
    <w:rsid w:val="007A7699"/>
    <w:rsid w:val="00C9428D"/>
    <w:rsid w:val="00CD0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5A3A"/>
    <w:rPr>
      <w:color w:val="666666"/>
    </w:rPr>
  </w:style>
  <w:style w:type="paragraph" w:customStyle="1" w:styleId="E4C4FEDAF56348EB8549E4D7DDE178D6">
    <w:name w:val="E4C4FEDAF56348EB8549E4D7DDE178D6"/>
    <w:rsid w:val="006C5A3A"/>
  </w:style>
  <w:style w:type="paragraph" w:customStyle="1" w:styleId="90D681FCADB04623BA17E1D880FCD1AA">
    <w:name w:val="90D681FCADB04623BA17E1D880FCD1AA"/>
    <w:rsid w:val="006C5A3A"/>
  </w:style>
  <w:style w:type="paragraph" w:customStyle="1" w:styleId="6DB2FAF08E11480D920D8F6861C6A741">
    <w:name w:val="6DB2FAF08E11480D920D8F6861C6A741"/>
    <w:rsid w:val="006C5A3A"/>
  </w:style>
  <w:style w:type="paragraph" w:customStyle="1" w:styleId="849EF490D5BA4ED2878549F6DD5154C5">
    <w:name w:val="849EF490D5BA4ED2878549F6DD5154C5"/>
    <w:rsid w:val="006C5A3A"/>
  </w:style>
  <w:style w:type="paragraph" w:customStyle="1" w:styleId="E3717A6336F54585A6F55EBA11A5A432">
    <w:name w:val="E3717A6336F54585A6F55EBA11A5A432"/>
    <w:rsid w:val="006C5A3A"/>
  </w:style>
  <w:style w:type="paragraph" w:customStyle="1" w:styleId="DA281906DB2F45EDB8A272834D73F035">
    <w:name w:val="DA281906DB2F45EDB8A272834D73F035"/>
    <w:rsid w:val="006C5A3A"/>
  </w:style>
  <w:style w:type="paragraph" w:customStyle="1" w:styleId="B1CFFE293EA243BEB6BE833F03F51BAC">
    <w:name w:val="B1CFFE293EA243BEB6BE833F03F51BAC"/>
    <w:rsid w:val="006C5A3A"/>
  </w:style>
  <w:style w:type="paragraph" w:customStyle="1" w:styleId="320574036DB649B7B0D6E004541CB69C">
    <w:name w:val="320574036DB649B7B0D6E004541CB69C"/>
    <w:rsid w:val="006C5A3A"/>
  </w:style>
  <w:style w:type="paragraph" w:customStyle="1" w:styleId="25F21BF08B6745BFA7C950C2CBD08F6D">
    <w:name w:val="25F21BF08B6745BFA7C950C2CBD08F6D"/>
    <w:rsid w:val="006C5A3A"/>
  </w:style>
  <w:style w:type="paragraph" w:customStyle="1" w:styleId="A4BC89E5C87645B4B5801AB710D0CE93">
    <w:name w:val="A4BC89E5C87645B4B5801AB710D0CE93"/>
    <w:rsid w:val="006C5A3A"/>
  </w:style>
  <w:style w:type="paragraph" w:customStyle="1" w:styleId="009833737000463EA8CDD1E4C6F49072">
    <w:name w:val="009833737000463EA8CDD1E4C6F49072"/>
    <w:rsid w:val="006C5A3A"/>
  </w:style>
  <w:style w:type="paragraph" w:customStyle="1" w:styleId="01A130E6BB664A6596890D6F8458F90B">
    <w:name w:val="01A130E6BB664A6596890D6F8458F90B"/>
    <w:rsid w:val="006C5A3A"/>
  </w:style>
  <w:style w:type="paragraph" w:customStyle="1" w:styleId="BBE207B1E1C84C63AB3BB73C95900F2E">
    <w:name w:val="BBE207B1E1C84C63AB3BB73C95900F2E"/>
    <w:rsid w:val="006C5A3A"/>
  </w:style>
  <w:style w:type="paragraph" w:customStyle="1" w:styleId="C967A18AB9604FCEAB9D1D6C3FEF309D">
    <w:name w:val="C967A18AB9604FCEAB9D1D6C3FEF309D"/>
    <w:rsid w:val="006C5A3A"/>
  </w:style>
  <w:style w:type="paragraph" w:customStyle="1" w:styleId="0B889AF43F9B4D0FAE83FE9EA0C795A4">
    <w:name w:val="0B889AF43F9B4D0FAE83FE9EA0C795A4"/>
    <w:rsid w:val="006C5A3A"/>
  </w:style>
  <w:style w:type="paragraph" w:customStyle="1" w:styleId="1EBF2CB14176484D8C0ECB964D55BA82">
    <w:name w:val="1EBF2CB14176484D8C0ECB964D55BA82"/>
    <w:rsid w:val="006C5A3A"/>
  </w:style>
  <w:style w:type="paragraph" w:customStyle="1" w:styleId="A860ED23B38640F79564D1A9A2D2EAB5">
    <w:name w:val="A860ED23B38640F79564D1A9A2D2EAB5"/>
    <w:rsid w:val="006C5A3A"/>
  </w:style>
  <w:style w:type="paragraph" w:customStyle="1" w:styleId="83AC4D49176F4189B1119E5F85FA6D2C">
    <w:name w:val="83AC4D49176F4189B1119E5F85FA6D2C"/>
    <w:rsid w:val="006C5A3A"/>
  </w:style>
  <w:style w:type="paragraph" w:customStyle="1" w:styleId="D108562179FA4BC88A3C8D157684BE20">
    <w:name w:val="D108562179FA4BC88A3C8D157684BE20"/>
    <w:rsid w:val="006C5A3A"/>
  </w:style>
  <w:style w:type="paragraph" w:customStyle="1" w:styleId="CA26DE2FF9CD4493ACCA213B8D702736">
    <w:name w:val="CA26DE2FF9CD4493ACCA213B8D702736"/>
    <w:rsid w:val="006C5A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9641B4-5634-4627-B3C5-2A9F75D8BB6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5932668430"/>
    <we:property name="MENDELEY_CITATIONS" value="[{&quot;citationID&quot;:&quot;MENDELEY_CITATION_86f6895b-7c0d-4ef1-b6a6-4ff146033f67&quot;,&quot;properties&quot;:{&quot;noteIndex&quot;:0},&quot;isEdited&quot;:false,&quot;manualOverride&quot;:{&quot;isManuallyOverridden&quot;:false,&quot;citeprocText&quot;:&quot;(Highton et al., 2022; Militello &amp;#38; Pais, 2023; Razzaque et al., 2024)&quot;,&quot;manualOverrideText&quot;:&quot;&quot;},&quot;citationTag&quot;:&quot;MENDELEY_CITATION_v3_eyJjaXRhdGlvbklEIjoiTUVOREVMRVlfQ0lUQVRJT05fODZmNjg5NWItN2MwZC00ZWYxLWI2YTYtNGZmMTQ2MDMzZjY3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quot;,&quot;citationItems&quot;:[{&quot;id&quot;:&quot;37df3808-2afb-3c8c-aac1-331cb70dd732&quot;,&quot;itemData&quot;:{&quot;type&quot;:&quot;article-journal&quot;,&quot;id&quot;:&quot;37df3808-2afb-3c8c-aac1-331cb70dd732&quot;,&quot;title&quot;:&quot;Snip the Tip: Infant Male Circumcision and Religious, Cultural, and Health Agendas&quot;,&quot;author&quot;:[{&quot;family&quot;:&quot;Highton&quot;,&quot;given&quot;:&quot; Mary&quot;,&quot;parse-names&quot;:false,&quot;dropping-particle&quot;:&quot;&quot;,&quot;non-dropping-particle&quot;:&quot;&quot;},{&quot;family&quot;:&quot;Joseph&quot;,&quot;given&quot;:&quot; Rachel&quot;,&quot;parse-names&quot;:false,&quot;dropping-particle&quot;:&quot;&quot;,&quot;non-dropping-particle&quot;:&quot;&quot;},{&quot;family&quot;:&quot;Dyer&quot;,&quot;given&quot;:&quot; Natasha&quot;,&quot;parse-names&quot;:false,&quot;dropping-particle&quot;:&quot;&quot;,&quot;non-dropping-particle&quot;:&quot;&quot;},{&quot;family&quot;:&quot;Haydon&quot;,&quot;given&quot;:&quot; Danielle&quot;,&quot;parse-names&quot;:false,&quot;dropping-particle&quot;:&quot;&quot;,&quot;non-dropping-particle&quot;:&quot;&quot;}],&quot;container-title&quot;:&quot;Journal of Pediatric Surgical Nursing&quot;,&quot;container-title-short&quot;:&quot;J. Pediatr. Surg. Nurs.&quot;,&quot;DOI&quot;:&quot;10.1097/JPS.0000000000000355&quot;,&quot;ISSN&quot;:&quot;2332-0249&quot;,&quot;URL&quot;:&quot;https://journals.sagepub.com/action/showAbstract&quot;,&quot;issued&quot;:{&quot;date-parts&quot;:[[2022,10,1]]},&quot;page&quot;:&quot;137-144&quot;,&quot;abstract&quot;:&quot;Male circumcision originated as a covenant of God with Abraham in biblical times. This practice is rooted in the Jewish and Islamic religions as both claim ancestry with Abraham. Although neonatal male circumcision was mostly performed in these cultures, it became a common practice in the United States in the 1800s. As this is not medically necessary, the frequency of male circumcision is decreasing in some parts of the world, although circumcision in older men is increasing because of the health benefits reported. Although there are several techniques to perform the procedure, pain management during and after the procedure is important. The nurse must ensure that the infant is the right candidate for the procedure, support the parental decision, and monitor the infant for any complications. Research around male circumcision on the long-term effects, reduction of complications, and economic and health benefits earlier in life may be important.&quot;,&quot;publisher&quot;:&quot;SAGE Publications&quot;,&quot;issue&quot;:&quot;4&quot;,&quot;volume&quot;:&quot;11&quot;},&quot;isTemporary&quot;:false},{&quot;id&quot;:&quot;de4ea0aa-00a5-3878-9456-879b23bf4cde&quot;,&quot;itemData&quot;:{&quot;type&quot;:&quot;chapter&quot;,&quot;id&quot;:&quot;de4ea0aa-00a5-3878-9456-879b23bf4cde&quot;,&quot;title&quot;:&quot;Male Circumcision: History of Current Surgical Practice&quot;,&quot;author&quot;:[{&quot;family&quot;:&quot;Militello&quot;,&quot;given&quot;:&quot;Claudio&quot;,&quot;parse-names&quot;:false,&quot;dropping-particle&quot;:&quot;&quot;,&quot;non-dropping-particle&quot;:&quot;&quot;},{&quot;family&quot;:&quot;Pais&quot;,&quot;given&quot;:&quot;Veronica&quot;,&quot;parse-names&quot;:false,&quot;dropping-particle&quot;:&quot;&quot;,&quot;non-dropping-particle&quot;:&quot;&quot;}],&quot;container-title&quot;:&quot;Circumcision - Advances and New Perspectives&quot;,&quot;editor&quot;:[{&quot;family&quot;:&quot;Zaghal&quot;,&quot;given&quot;:&quot;Ahmad&quot;,&quot;parse-names&quot;:false,&quot;dropping-particle&quot;:&quot;&quot;,&quot;non-dropping-particle&quot;:&quot;&quot;},{&quot;family&quot;:&quot;Safadi&quot;,&quot;given&quot;:&quot;Ali&quot;,&quot;parse-names&quot;:false,&quot;dropping-particle&quot;:&quot;&quot;,&quot;non-dropping-particle&quot;:&quot;El&quot;}],&quot;DOI&quot;:&quot;10.5772/intechopen.106533&quot;,&quot;ISBN&quot;:&quot;978-1-80355-907-0&quot;,&quot;URL&quot;:&quot;https://doi.org/10.5772/intechopen.106533&quot;,&quot;issued&quot;:{&quot;date-parts&quot;:[[2023]]},&quot;publisher-place&quot;:&quot;London&quot;,&quot;abstract&quot;:&quot;One of the most frequent procedures carried out on men, whether for medical or religious reasons, is circumcision, which involves the removal of the foreskin. The procedure’s introduction in various locations and times allowed for the development of a surgical approach that is now adapted to minimize problems and deliver obvious medicinal benefits. Male circumcision is currently a hot topic of dispute because of ethical, legal, and scientific concerns, as well as the procedure’s various roles: therapeutic, preventive, and ritualistic. The practice’s origins can be traced back to ancient times, but it is still a surgical procedure used to prevent HIV transmission today. In order to lower the risk of HIV transmission in men, the WHO advised considering male circumcision in 2007. The purpose of this article is to describe the procedure of circumcision throughout history.&quot;,&quot;publisher&quot;:&quot;IntechOpen&quot;,&quot;container-title-short&quot;:&quot;&quot;},&quot;isTemporary&quot;:false},{&quot;id&quot;:&quot;3ded9553-69eb-366c-99cd-21bfe0780b52&quot;,&quot;itemData&quot;:{&quot;type&quot;:&quot;article-journal&quot;,&quot;id&quot;:&quot;3ded9553-69eb-366c-99cd-21bfe0780b52&quot;,&quot;title&quot;:&quot;Comparative Study of Circumcision&quot;,&quot;author&quot;:[{&quot;family&quot;:&quot;Razzaque&quot;,&quot;given&quot;:&quot;Abdur&quot;,&quot;parse-names&quot;:false,&quot;dropping-particle&quot;:&quot;&quot;,&quot;non-dropping-particle&quot;:&quot;&quot;},{&quot;family&quot;:&quot;Islam&quot;,&quot;given&quot;:&quot;Towhidul&quot;,&quot;parse-names&quot;:false,&quot;dropping-particle&quot;:&quot;&quot;,&quot;non-dropping-particle&quot;:&quot;&quot;},{&quot;family&quot;:&quot;Rahman&quot;,&quot;given&quot;:&quot;A.K.M Mizanur&quot;,&quot;parse-names&quot;:false,&quot;dropping-particle&quot;:&quot;&quot;,&quot;non-dropping-particle&quot;:&quot;&quot;},{&quot;family&quot;:&quot;Poly&quot;,&quot;given&quot;:&quot;Nazmun Naher&quot;,&quot;parse-names&quot;:false,&quot;dropping-particle&quot;:&quot;&quot;,&quot;non-dropping-particle&quot;:&quot;&quot;},{&quot;family&quot;:&quot;Saha&quot;,&quot;given&quot;:&quot;Diponkar Kumar&quot;,&quot;parse-names&quot;:false,&quot;dropping-particle&quot;:&quot;&quot;,&quot;non-dropping-particle&quot;:&quot;&quot;}],&quot;container-title&quot;:&quot;SAS Journal of Surgery&quot;,&quot;DOI&quot;:&quot;10.36347/sasjs.2024.v10i09.011&quot;,&quot;issued&quot;:{&quot;date-parts&quot;:[[2024,9,16]]},&quot;page&quot;:&quot;1065-1071&quot;,&quot;abstract&quot;:&quot;Background: Male circumcision is a significant practice in Muslim tradition and is widely performed for religious reasons, especially in Muslim-majority countries like Bangladesh. Objective: This study aims to compare different surgical techniques of male circumcision in children and highlight the complications arising from procedures performed by non-qualified practitioners Quack (Hazam) in Bangladesh. Method: A comparative study was conducted at Sher-E-Bangla Medical College Hospital, Barisal, from December 2022 to February 2023. Two hundred male children were included, with 100 circumcised by pediatric surgeons using guillotine and dorsal slit techniques, and 100 presented with complications from circumcision performed by non-qualified quacks. Results: Out of 200 children, 50% underwent circumcision by quacks using the guillotine method, resulting in complications such as infection (10%), bleeding (4%), glans injury (1%), urethrocutaneous fistula (1%), and incomplete circumcision (4%). Among the 100 children circumcised by pediatric surgeons, complications were minimal, with 2% minor infections, 2% minor bleeding, 1% respiratory distress, and 1% vomiting. The guillotine and dorsal slit techniques performed in the hospital setting demonstrated significantly lower complication rates compared to procedures conducted by quacks. Conclusion: Circumcision performed by trained medical professionals under aseptic conditions is safe and associated with fewer complications. Public awareness and discouragement of procedures by quacks are essential to prevent circumcision mishaps.&quot;,&quot;publisher&quot;:&quot;SASPR Edu International Pvt. Ltd&quot;,&quot;issue&quot;:&quot;09&quot;,&quot;volume&quot;:&quot;10&quot;,&quot;container-title-short&quot;:&quot;&quot;},&quot;isTemporary&quot;:false}]},{&quot;citationID&quot;:&quot;MENDELEY_CITATION_e5cb9869-efbd-4395-b0f8-e36614cb26c2&quot;,&quot;properties&quot;:{&quot;noteIndex&quot;:0},&quot;isEdited&quot;:false,&quot;manualOverride&quot;:{&quot;isManuallyOverridden&quot;:false,&quot;citeprocText&quot;:&quot;(Dhaliwal et al., 2025; Schröder et al., 2022)&quot;,&quot;manualOverrideText&quot;:&quot;&quot;},&quot;citationTag&quot;:&quot;MENDELEY_CITATION_v3_eyJjaXRhdGlvbklEIjoiTUVOREVMRVlfQ0lUQVRJT05fZTVjYjk4NjktZWZiZC00Mzk1LWIwZjgtZTM2NjE0Y2IyNmMy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quot;,&quot;citationItems&quot;:[{&quot;id&quot;:&quot;feb688ad-c672-32f9-99b7-7371802f1239&quot;,&quot;itemData&quot;:{&quot;type&quot;:&quot;article-journal&quot;,&quot;id&quot;:&quot;feb688ad-c672-32f9-99b7-7371802f1239&quot;,&quot;title&quot;:&quot;Complications Associated With Circumcision in a Community-Based Hospital&quot;,&quot;author&quot;:[{&quot;family&quot;:&quot;Dhaliwal&quot;,&quot;given&quot;:&quot;Khushwant&quot;,&quot;parse-names&quot;:false,&quot;dropping-particle&quot;:&quot;&quot;,&quot;non-dropping-particle&quot;:&quot;&quot;},{&quot;family&quot;:&quot;Dor&quot;,&quot;given&quot;:&quot;Kathleen&quot;,&quot;parse-names&quot;:false,&quot;dropping-particle&quot;:&quot;&quot;,&quot;non-dropping-particle&quot;:&quot;&quot;},{&quot;family&quot;:&quot;George&quot;,&quot;given&quot;:&quot;Monique&quot;,&quot;parse-names&quot;:false,&quot;dropping-particle&quot;:&quot;&quot;,&quot;non-dropping-particle&quot;:&quot;&quot;},{&quot;family&quot;:&quot;Wei&quot;,&quot;given&quot;:&quot;Xing&quot;,&quot;parse-names&quot;:false,&quot;dropping-particle&quot;:&quot;&quot;,&quot;non-dropping-particle&quot;:&quot;&quot;}],&quot;container-title&quot;:&quot;PRiMER&quot;,&quot;DOI&quot;:&quot;10.22454/primer.2025.923856&quot;,&quot;issued&quot;:{&quot;date-parts&quot;:[[2025,6,6]]},&quot;abstract&quot;:&quot;Introduction: Infant male circumcision is a common elective procedure in the United States. Complications include bleeding, glans injury, insufficient or excessive skin removal, and adhesions. We assessed percentages and factors associated with complications of circumcisions at our community-based hospital from 2010 to 2020. Methods: We conducted a retrospective cohort study of male infant patients who had circumcisions performed in the Kaiser Permanente Woodland Hills (KPWH) Medical Center from January 1, 2010, to January 1, 2020. Complications were measured through emergency room visits up to 24 hours postcircumcision, complication codes, and referral appointments to urology within 2 years of age. Results: Of the total patients (N=2,715), 1.4% were referred to urology for potential complications, and 0.3% required revision surgery. Weight and age at the time of the circumcision and the location of the circumcision (hospital vs clinic) did not have a significant effect on the complication rate. Infants who had a circumcision with a Mogen clamp had an increased percentage of complications compared to the Gomco clamp (2% compared to 0.9%). The number of complications requiring surgery decreased (from 0.4% to 0.17%) when our hospital limited those physicians performing circumcisions by requiring 20 circumcisions per year to maintain privileges. Conclusions: Infant male circumcision is a safe procedure whether performed in the hospital or clinic. Complications likely can be reduced if circumcisions are completed by physicians who perform them regularly. Further studies are needed to investigate the difference between Mogen and Gomco clamp outcomes.&quot;,&quot;publisher&quot;:&quot;Society of Teachers of Family Medicine&quot;,&quot;volume&quot;:&quot;9&quot;,&quot;container-title-short&quot;:&quot;&quot;},&quot;isTemporary&quot;:false},{&quot;id&quot;:&quot;41db7049-cf12-39ce-95f5-1c1fa5fbbd7d&quot;,&quot;itemData&quot;:{&quot;type&quot;:&quot;article-journal&quot;,&quot;id&quot;:&quot;41db7049-cf12-39ce-95f5-1c1fa5fbbd7d&quot;,&quot;title&quot;:&quot;Serious and Fatal Complications after Neonatal Circumcision&quot;,&quot;author&quot;:[{&quot;family&quot;:&quot;Schröder&quot;,&quot;given&quot;:&quot;Annette&quot;,&quot;parse-names&quot;:false,&quot;dropping-particle&quot;:&quot;&quot;,&quot;non-dropping-particle&quot;:&quot;&quot;},{&quot;family&quot;:&quot;Farhat&quot;,&quot;given&quot;:&quot;Walid A&quot;,&quot;parse-names&quot;:false,&quot;dropping-particle&quot;:&quot;&quot;,&quot;non-dropping-particle&quot;:&quot;&quot;},{&quot;family&quot;:&quot;Chiasson&quot;,&quot;given&quot;:&quot;David&quot;,&quot;parse-names&quot;:false,&quot;dropping-particle&quot;:&quot;&quot;,&quot;non-dropping-particle&quot;:&quot;&quot;},{&quot;family&quot;:&quot;Wilson&quot;,&quot;given&quot;:&quot;Gregory J&quot;,&quot;parse-names&quot;:false,&quot;dropping-particle&quot;:&quot;&quot;,&quot;non-dropping-particle&quot;:&quot;&quot;},{&quot;family&quot;:&quot;Koyle&quot;,&quot;given&quot;:&quot;Martin A&quot;,&quot;parse-names&quot;:false,&quot;dropping-particle&quot;:&quot;&quot;,&quot;non-dropping-particle&quot;:&quot;&quot;}],&quot;container-title&quot;:&quot;European Urology Focus&quot;,&quot;container-title-short&quot;:&quot;Eur. Urol. Focus&quot;,&quot;DOI&quot;:&quot;https://doi.org/10.1016/j.euf.2021.12.005&quot;,&quot;ISSN&quot;:&quot;2405-4569&quot;,&quot;URL&quot;:&quot;https://www.sciencedirect.com/science/article/pii/S2405456921003163&quot;,&quot;issued&quot;:{&quot;date-parts&quot;:[[2022]]},&quot;page&quot;:&quot;1560-1563&quot;,&quot;abstract&quot;:&quot;Neonatal circumcision (NNC) is the most frequently performed surgical procedure worldwide and is generally considered safe in Western societies. Deaths attributed to NNC are seldom reported and are mostly explained by lack of adherence to medical standards. We reviewed our emergency department database for circumcision-related emergency admissions. During 2000–2013, 19 previously healthy neonates were admitted for acute complications after circumcision. Four were admitted for bleeding, with hemophilia identified in two cases and von Willebrand disease in one. Eight boys required emergency surgery, three for severe bleeding. Four boys with amputation of the glans underwent immediate surgical reconstruction. One infant was taken to the operating room to remove an obstructing Plastibell ring. Seven boys were admitted to the intensive care unit with severe bleeding or sepsis, three of whom ultimately progressed to hemorrhagic or septic shock. Two of these children died of their complications. We estimate that the annual incidence of severe complications requiring hospitalization after NNC in the Greater Toronto Area was approximately 0.01%, and the incidence of fatalities over the 14-yr review period was approximately 0.0012%. Our results indicate that the risk of serious complications and death as a result of NNC is greater than generally assumed.&quot;,&quot;issue&quot;:&quot;5&quot;,&quot;volume&quot;:&quot;8&quot;},&quot;isTemporary&quot;:false}]},{&quot;citationID&quot;:&quot;MENDELEY_CITATION_2c5ace9e-f815-49bd-92a3-e7193020703d&quot;,&quot;properties&quot;:{&quot;noteIndex&quot;:0},&quot;isEdited&quot;:false,&quot;manualOverride&quot;:{&quot;isManuallyOverridden&quot;:false,&quot;citeprocText&quot;:&quot;(M. B. I. Hakim et al., 2023; Harrington &amp;#38; MacDonald, 2025)&quot;,&quot;manualOverrideText&quot;:&quot;&quot;},&quot;citationTag&quot;:&quot;MENDELEY_CITATION_v3_eyJjaXRhdGlvbklEIjoiTUVOREVMRVlfQ0lUQVRJT05fMmM1YWNlOWUtZjgxNS00OWJkLTkyYTMtZTcxOTMwMjA3MDNk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0a8640b6-da3e-39d3-bc9a-2cb7e0189025&quot;,&quot;itemData&quot;:{&quot;type&quot;:&quot;article-journal&quot;,&quot;id&quot;:&quot;0a8640b6-da3e-39d3-bc9a-2cb7e0189025&quot;,&quot;title&quot;:&quot;A Narrative Review of Penile Entrapment Injuries and Practical Approach to Removal&quot;,&quot;author&quot;:[{&quot;family&quot;:&quot;Harrington&quot;,&quot;given&quot;:&quot;Stephen A&quot;,&quot;parse-names&quot;:false,&quot;dropping-particle&quot;:&quot;&quot;,&quot;non-dropping-particle&quot;:&quot;&quot;},{&quot;family&quot;:&quot;MacDonald&quot;,&quot;given&quot;:&quot;Susan M&quot;,&quot;parse-names&quot;:false,&quot;dropping-particle&quot;:&quot;&quot;,&quot;non-dropping-particle&quot;:&quot;&quot;}],&quot;container-title&quot;:&quot;JU Open Plus&quot;,&quot;ISSN&quot;:&quot;2771-554X&quot;,&quot;URL&quot;:&quot;https://journals.lww.com/juop/fulltext/2025/05000/a_narrative_review_of_penile_entrapment_injuries.3.aspx&quot;,&quot;issued&quot;:{&quot;date-parts&quot;:[[2025]]},&quot;abstract&quot;:&quot;Background: \n\nPenile incarceration due to metal constriction rings is a rare and often challenging urologic emergency requiring prompt evaluation for removal.\n\nAim: \n\nTo perform a literature review of the past 50 years of cases of penile incarceration due to metal constriction rings and develop a guide to quickly determine the best approach for ring removal.\n\nMethods: \n\nA narrative review of available literature published after 1970 was completed.\n\nOutcomes: \n\nData on the patient's age, type of metal object, dimensions of the object, length of time since the object was placed, technique for removal, prior failed techniques, type of anesthesia if used, and outcomes were extracted and synthesized.\n\nResults: \n\nOne hundred four case reports and case series met our inclusion criteria for a total of 140 patients. The median incarceration time was 18 hours. There are 4 general methods for ring removal: string and aspiration, nonpowered cutting tools, powered cutting tools, and surgery.\n\nClinical Implications: \n\nProviders should consider patient clinical status, time of incarceration, ring properties and dimensions, and patient safety when choosing a ring removal approach.\n\nStrengths and Limitations: \n\nTo our best knowledge, this review is the most comprehensive literature review to date with &gt; 100 articles included. However, all of the articles included are case reports or case series, which significantly limits the validity of any conclusions drawn from that data.\n\nConclusions: \n\nPenile incarceration due to metal constriction rings is a rare urologic emergency that requires providers to consider many different patient and ring factors before choosing the safest method of extraction.&quot;,&quot;issue&quot;:&quot;5&quot;,&quot;volume&quot;:&quot;3&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62ce198e-e7d2-4ffd-af79-7a036044a57e&quot;,&quot;properties&quot;:{&quot;noteIndex&quot;:0},&quot;isEdited&quot;:false,&quot;manualOverride&quot;:{&quot;isManuallyOverridden&quot;:false,&quot;citeprocText&quot;:&quot;(Lucas et al., 2020; Tanyi et al., 2023)&quot;,&quot;manualOverrideText&quot;:&quot;&quot;},&quot;citationTag&quot;:&quot;MENDELEY_CITATION_v3_eyJjaXRhdGlvbklEIjoiTUVOREVMRVlfQ0lUQVRJT05fNjJjZTE5OGUtZTdkMi00ZmZkLWFmNzktN2EwMzYwNDRhNTdl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e5ce6d03-b338-43fc-8923-8d7b010d7821&quot;,&quot;properties&quot;:{&quot;noteIndex&quot;:0},&quot;isEdited&quot;:false,&quot;manualOverride&quot;:{&quot;isManuallyOverridden&quot;:false,&quot;citeprocText&quot;:&quot;(Fahmy, 2019; Oranusi &amp;#38; Nwofor, 2015; Reddy et al., 2014; Seleim &amp;#38; Elbarbary, 2016)&quot;,&quot;manualOverrideText&quot;:&quot;&quot;},&quot;citationTag&quot;:&quot;MENDELEY_CITATION_v3_eyJjaXRhdGlvbklEIjoiTUVOREVMRVlfQ0lUQVRJT05fZTVjZTZkMDMtYjMzOC00M2ZjLTg5MjMtOGQ3YjAxMGQ3ODIx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quot;,&quot;citationItems&quot;:[{&quot;id&quot;:&quot;445ee09a-b60d-3a0a-a9c2-7832e7d19a83&quot;,&quot;itemData&quot;:{&quot;type&quot;:&quot;article-journal&quot;,&quot;id&quot;:&quot;445ee09a-b60d-3a0a-a9c2-7832e7d19a83&quot;,&quot;title&quot;:&quot;Penile injuries: A 10-year experience&quot;,&quot;author&quot;:[{&quot;family&quot;:&quot;Reddy&quot;,&quot;given&quot;:&quot;S. V.Krishna&quot;,&quot;parse-names&quot;:false,&quot;dropping-particle&quot;:&quot;&quot;,&quot;non-dropping-particle&quot;:&quot;&quot;},{&quot;family&quot;:&quot;Shaik&quot;,&quot;given&quot;:&quot;Ahammad Basha&quot;,&quot;parse-names&quot;:false,&quot;dropping-particle&quot;:&quot;&quot;,&quot;non-dropping-particle&quot;:&quot;&quot;},{&quot;family&quot;:&quot;Sreenivas&quot;,&quot;given&quot;:&quot;K.&quot;,&quot;parse-names&quot;:false,&quot;dropping-particle&quot;:&quot;&quot;,&quot;non-dropping-particle&quot;:&quot;&quot;}],&quot;container-title&quot;:&quot;Canadian Urological Association Journal&quot;,&quot;DOI&quot;:&quot;10.5489/cuaj.1821&quot;,&quot;ISSN&quot;:&quot;19201214&quot;,&quot;issued&quot;:{&quot;date-parts&quot;:[[2014,9,1]]},&quot;page&quot;:&quot;e626-e631&quot;,&quot;abstract&quot;:&quot;We report our 10-year experience with penile injuries. We retrospectively reviewed the records of 156 cases of male external genitalia injuries between May 2002 and December 2012. Of these, only 26 patients presented without urethral injuries and were included in this study. Patients were divided into 4 groups: Group 1 (n = 12) with patients with penile fractures injuries; Group 2 (n = 5) with patients with penile amputation injuries; Group 3 (n = 2) with patients with penile penetrating injuries; and Group 4 (n = 7) with patients with penile soft tissue injuries. Grading of injury was done using the American Association for the Surgery of Trauma (AAST)-Organ injury scale of penile injury. Penile injuries without urethral injuries are urological emergencies which require immediate attention.&quot;,&quot;publisher&quot;:&quot;Canadian Urological Association&quot;,&quot;issue&quot;:&quot;9-10&quot;,&quot;volume&quot;:&quot;8&quot;,&quot;container-title-short&quot;:&quot;&quot;},&quot;isTemporary&quot;:false},{&quot;id&quot;:&quot;3a93a95c-f6b7-3a92-bf97-31c93e20c9aa&quot;,&quot;itemData&quot;:{&quot;type&quot;:&quot;chapter&quot;,&quot;id&quot;:&quot;3a93a95c-f6b7-3a92-bf97-31c93e20c9aa&quot;,&quot;title&quot;:&quot;Chapter 12 - Post-Male Circumcision Penile Injuries&quot;,&quot;author&quot;:[{&quot;family&quot;:&quot;Fahmy&quot;,&quot;given&quot;:&quot;Mohamed A Baky&quot;,&quot;parse-names&quot;:false,&quot;dropping-particle&quot;:&quot;&quot;,&quot;non-dropping-particle&quot;:&quot;&quot;}],&quot;container-title&quot;:&quot;Complications in Male Circumcision&quot;,&quot;editor&quot;:[{&quot;family&quot;:&quot;Fahmy&quot;,&quot;given&quot;:&quot;Mohamed A Baky&quot;,&quot;parse-names&quot;:false,&quot;dropping-particle&quot;:&quot;&quot;,&quot;non-dropping-particle&quot;:&quot;&quot;}],&quot;DOI&quot;:&quot;https://doi.org/10.1016/B978-0-323-68127-8.00012-0&quot;,&quot;ISBN&quot;:&quot;978-0-323-68127-8&quot;,&quot;URL&quot;:&quot;https://www.sciencedirect.com/science/article/pii/B9780323681278000120&quot;,&quot;issued&quot;:{&quot;date-parts&quot;:[[2019]]},&quot;page&quot;:&quot;145-169&quot;,&quot;abstract&quot;:&quot;Penile injuries after circumcision are usually disastrous, resulting in a sort of disability, and are mainly iatrogenic, discovered during or immediately after the procedure, if a post circumcision dressing applied too tightly to a contaminated and infected wound and left on for too long, it can lead to compression of the urethra resulting in skin necrosis and urethral ischaemia. Penile injury complications are usually combined lesions affecting more than one entity and are commonly reported in neonatal male circumcision, especially in those performed by nonmedical staff. However, there are many cases of severe injuries and even penile destructions caused by medical personnel in highly qualified centers.&quot;,&quot;publisher&quot;:&quot;Elsevier&quot;,&quot;container-title-short&quot;:&quot;&quot;},&quot;isTemporary&quot;:false},{&quot;id&quot;:&quot;7d5233d7-0ffb-3769-9eef-de5a4f1bd37a&quot;,&quot;itemData&quot;:{&quot;type&quot;:&quot;article-journal&quot;,&quot;id&quot;:&quot;7d5233d7-0ffb-3769-9eef-de5a4f1bd37a&quot;,&quot;title&quot;:&quot;Traumatic penile injuries: Mechanisms and problems of treatment in a tertiary institution in Nigeria&quot;,&quot;author&quot;:[{&quot;family&quot;:&quot;Oranusi&quot;,&quot;given&quot;:&quot;C K&quot;,&quot;parse-names&quot;:false,&quot;dropping-particle&quot;:&quot;&quot;,&quot;non-dropping-particle&quot;:&quot;&quot;},{&quot;family&quot;:&quot;Nwofor&quot;,&quot;given&quot;:&quot;A M E&quot;,&quot;parse-names&quot;:false,&quot;dropping-particle&quot;:&quot;&quot;,&quot;non-dropping-particle&quot;:&quot;&quot;}],&quot;container-title&quot;:&quot;Nigerian Journal of Clinical Practice&quot;,&quot;container-title-short&quot;:&quot;Niger. J. Clin. Pract.&quot;,&quot;chapter-number&quot;:&quot;Articles&quot;,&quot;DOI&quot;:&quot;10.4314/njcp.v17i6.&quot;,&quot;URL&quot;:&quot;https://www.ajol.info/index.php/njcp/article/view/111206&quot;,&quot;issued&quot;:{&quot;date-parts&quot;:[[2015,1,12]]},&quot;page&quot;:&quot;763-766&quot;,&quot;abstract&quot;:&quot;&amp;lt;p&amp;gt;&amp;lt;strong&amp;gt;Background&amp;lt;/strong&amp;gt;: Penile injuries are uncommon. The more severe injuries are often difficult to manage.&amp;lt;br /&amp;gt;&amp;lt;strong&amp;gt;Objectives&amp;lt;/strong&amp;gt;: We report our experience with penile injuries from different causes and treatment options available. Patients and Methods: We analyzed retrospectively 23 cases of penile injuries presenting to the Urology Unit of a tertiary hospital in the Southeastern part of Nigeria from January 2007 to December 2012.&amp;lt;br /&amp;gt;&amp;lt;strong&amp;gt;Results&amp;lt;/strong&amp;gt;: The management for each patient varied depending on the nature and extent of the injury. The mean age of the patients was 28.9 ± 14.4 years (range 3 weeks to 43 years). The mean duration before presentation was 22.7 ± 17.8 h (range 1–168 h). The causes of penile injuries were categorized as follows: Postcircumcision 3 (13.0%), genital mutilation (self‑inflicted injury/attacks by assailants) 6 (26.1%), accident 4 (17.4%), penile fracture 8 (34.8%), and gunshot injury 2 (8.6%). Isolated blunt injuries to the corporal tissues as occurs in penile fractures was managed successfully with early exploration and closure of the tunical tear, while injuries to the penile skin was managed with dressing and secondary closure. Severe penile injuries resulting in partial or total phallic loss presented the most challenge to treatment.&amp;lt;br /&amp;gt;&amp;lt;strong&amp;gt;Conclusion&amp;lt;/strong&amp;gt;: Traumatic penile injuries are not common. Severe penile injuries could be challenging because of the nature of the injuries, delayed presentation and unavailability of modern technological tools and experience required for the treatment of such severe injuries. Expertise in the use of flaps for a neophallus are still been developed, and penile prosthetic devices are not readily available in our setting.&amp;lt;/p&amp;gt;&amp;lt;p&amp;gt;&amp;lt;strong&amp;gt;Key words&amp;lt;/strong&amp;gt;: Injuries, management, penile, traumatic&amp;lt;/p&amp;gt;&quot;,&quot;issue&quot;:&quot;6&quot;,&quot;volume&quot;:&quot;17&quot;},&quot;isTemporary&quot;:false},{&quot;id&quot;:&quot;c5bf6883-61e2-3763-ae85-5eb107fee76f&quot;,&quot;itemData&quot;:{&quot;type&quot;:&quot;article-journal&quot;,&quot;id&quot;:&quot;c5bf6883-61e2-3763-ae85-5eb107fee76f&quot;,&quot;title&quot;:&quot;Major penile injuries as a result of cautery during newborn circumcision&quot;,&quot;author&quot;:[{&quot;family&quot;:&quot;Seleim&quot;,&quot;given&quot;:&quot;Hamed M&quot;,&quot;parse-names&quot;:false,&quot;dropping-particle&quot;:&quot;&quot;,&quot;non-dropping-particle&quot;:&quot;&quot;},{&quot;family&quot;:&quot;Elbarbary&quot;,&quot;given&quot;:&quot;Mohamed M&quot;,&quot;parse-names&quot;:false,&quot;dropping-particle&quot;:&quot;&quot;,&quot;non-dropping-particle&quot;:&quot;&quot;}],&quot;container-title&quot;:&quot;Journal of Pediatric Surgery&quot;,&quot;container-title-short&quot;:&quot;J. Pediatr. Surg.&quot;,&quot;DOI&quot;:&quot;https://doi.org/10.1016/j.jpedsurg.2016.04.014&quot;,&quot;ISSN&quot;:&quot;0022-3468&quot;,&quot;URL&quot;:&quot;https://www.sciencedirect.com/science/article/pii/S0022346816300495&quot;,&quot;issued&quot;:{&quot;date-parts&quot;:[[2016]]},&quot;page&quot;:&quot;1532-1537&quot;,&quot;abstract&quot;:&quot;Aim\nTo report a grading system for complications of male circumcision, and to represent our experience with salvage surgery for postcircumcision electro-cautery penile ablation injuries.\nPatients and methods\nCircumcision injuries presented to our department between January 2010 and January 2015 were collected and graded into five categories according to the degree of penile injury, and the possibility for surgical reversibility.\nResults\nSalvage surgery was carried out on 5 cases of post circumcision total phallic loss (grade V injuries). One of the cases had a postoperative meatal stenosis that responded to dilation under general anesthesia. No skin graft problems were documented in the other cases. The cosmetic outlook was greatly appreciated by the family and the operating team at follow up of all cases.\nConclusion\nGrading the post circumcision penile injuries is of paramount importance, and reconstructing the phallus using the hidden corporal bodies is considered worthwhile.&quot;,&quot;issue&quot;:&quot;9&quot;,&quot;volume&quot;:&quot;51&quot;},&quot;isTemporary&quot;:false}]},{&quot;citationID&quot;:&quot;MENDELEY_CITATION_73670d55-4c18-41b9-85fd-a128e2892d4d&quot;,&quot;properties&quot;:{&quot;noteIndex&quot;:0},&quot;isEdited&quot;:false,&quot;manualOverride&quot;:{&quot;isManuallyOverridden&quot;:false,&quot;citeprocText&quot;:&quot;(Derriks et al., 2020; Fırıncı et al., 2023; Kalyenci et al., 2024; Korets &amp;#38; Li, 2024)&quot;,&quot;manualOverrideText&quot;:&quot;&quot;},&quot;citationTag&quot;:&quot;MENDELEY_CITATION_v3_eyJjaXRhdGlvbklEIjoiTUVOREVMRVlfQ0lUQVRJT05fNzM2NzBkNTUtNGMxOC00MWI5LTg1ZmQtYTEyOGUyODkyZDRk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quot;,&quot;citationItems&quot;:[{&quot;id&quot;:&quot;cf9e85e9-7af8-3538-89d8-4ac3e40e738d&quot;,&quot;itemData&quot;:{&quot;type&quot;:&quot;article-journal&quot;,&quot;id&quot;:&quot;cf9e85e9-7af8-3538-89d8-4ac3e40e738d&quot;,&quot;title&quot;:&quot;Hazardous Effects of Electrocautery on Penile Arteries: An Experimental Study&quot;,&quot;author&quot;:[{&quot;family&quot;:&quot;Fırıncı&quot;,&quot;given&quot;:&quot;Binali&quot;,&quot;parse-names&quot;:false,&quot;dropping-particle&quot;:&quot;&quot;,&quot;non-dropping-particle&quot;:&quot;&quot;},{&quot;family&quot;:&quot;Arslan&quot;,&quot;given&quot;:&quot;Remzi&quot;,&quot;parse-names&quot;:false,&quot;dropping-particle&quot;:&quot;&quot;,&quot;non-dropping-particle&quot;:&quot;&quot;},{&quot;family&quot;:&quot;Çağlar&quot;,&quot;given&quot;:&quot;Özgür&quot;,&quot;parse-names&quot;:false,&quot;dropping-particle&quot;:&quot;&quot;,&quot;non-dropping-particle&quot;:&quot;&quot;},{&quot;family&quot;:&quot;Ahıskalıoğlu&quot;,&quot;given&quot;:&quot;Ali&quot;,&quot;parse-names&quot;:false,&quot;dropping-particle&quot;:&quot;&quot;,&quot;non-dropping-particle&quot;:&quot;&quot;},{&quot;family&quot;:&quot;Aydın&quot;,&quot;given&quot;:&quot;Mehmet Dumlu&quot;,&quot;parse-names&quot;:false,&quot;dropping-particle&quot;:&quot;&quot;,&quot;non-dropping-particle&quot;:&quot;&quot;}],&quot;container-title&quot;:&quot;Journal of Dr Behcet Uz Children s Hospital&quot;,&quot;DOI&quot;:&quot;10.4274/jbuch.galenos.2023.56255&quot;,&quot;ISSN&quot;:&quot;21462372&quot;,&quot;issued&quot;:{&quot;date-parts&quot;:[[2023,12,4]]},&quot;page&quot;:&quot;192-197&quot;,&quot;abstract&quot;:&quot;Objective: Urethral arteries may be affected during electrocauterization\nThe present study aims to investigate whether urethral artery spasm\ninduced by electrocauterization during penile surgery causes pudendal\nnerve injury.\nMethod: Eighteen male New Zealand rabbits were allocated into control\n(G-I, n=5), penile surgery without electrocauterization (SHAM group,\nG-II, n=6) and monopolar cauterization under general anesthesia (study\ngroup, G- III, n=9) groups. The animals were followed up for three weeks\nand then sacrificed. Vasospasm index values (VSI: wall ring surface\nvalue/lumen surface value) of urethral arteries and degenerated neuron\ndensities ( DNDs) of pudendal nerve dorsal root ganglia at sacral-3\nlevel (S3) were examined using stereological methods. Results were\ncompared using the one-way ANOVA test.\nResults: Neuronal angulation, cytoplasmic condensation, nuclear\nshrinkage, and condensed nuclei were detected in the pudendal nerve\nganglia. The mean VSI values of urethral arteries and DNDs of pudendal\nganglia (n/mm(3)) were estimated as 1.012 +/- 0.024 vs. 4 +/- 1 in GI;\n1.082 +/- 0.323 vs. 28 +/- 7 in GII and 2.54 +/- 0.0621 vs. 137 +/- 14\nin GIII, respectively. Statistical significance values (p-values) in\nterms of VSI, and DND for the differences between GI and GII (p&lt;0.01 vs.\np&lt;0.005), GII and GIII (p&lt;0.001 vs. p&lt;0.0001)- and GI and GIII (p&lt;0.0001\nvs. p&lt;0.0001) were as indicated.\nConclusion: Electrocautery during penile surgery should not be used\nbecause of retrograde degeneration of the pudendal nerve and ganglia\nsecondary to the injury to urethral taste bud-like structures.&quot;,&quot;publisher&quot;:&quot;Galenos Yayinevi&quot;,&quot;issue&quot;:&quot;3&quot;,&quot;volume&quot;:&quot;13&quot;,&quot;container-title-short&quot;:&quot;&quot;},&quot;isTemporary&quot;:false},{&quot;id&quot;:&quot;e938102e-962b-3666-b3ec-e2a1a47ba19a&quot;,&quot;itemData&quot;:{&quot;type&quot;:&quot;article&quot;,&quot;id&quot;:&quot;e938102e-962b-3666-b3ec-e2a1a47ba19a&quot;,&quot;title&quot;:&quot;Retrospective Analysis of Clinical Results and Early Period Complications of Conventional Circumcision Techniques(CCT) and Thermocautery Assisted Circumcision(TAC)&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DOI&quot;:&quot;10.21203/rs.3.rs-3852778/v1&quot;,&quot;URL&quot;:&quot;https://www.researchsquare.com/article/rs-3852778/v1&quot;,&quot;issued&quot;:{&quot;date-parts&quot;:[[2024,1,15]]},&quot;abstract&quot;:&quot;&lt;p&gt;Purpose The aim of this study was to assess the clinical outcomes and early postoperative complications linked to four different circumcision techniques. The objective is to emphasize the distinctive aspects of these circumcision techniques by categorizing the associated complications using the Clavien-Dindo classification system (CDCS). Methods 7041 circumcised patients were scanned and examined in 4 groups according to the technique applied: Dorsal slit (DS), sleeve resection (SV), forceps-guided (FG), and thermocautery-assisted circumcision (TAC). Surgery time, anesthesia technique, number of sutures, recovery time, bleeding, edema and infection parameters were compared. Complications were classified based on the modified CDCS. Results Surgery time was 4.7 minutes (range of 4.5–5.2), bleeding(hematoma) with 7 cases (0.3%) and number of sutures with 5 sutures (range of 4–7) was statistically significantly lower in the TAC (p &amp;lt; 0.001). Recovery time with 5 days (range of 5–7) and incidence of edema was longer in TAC compared to FG, DS and SR (p &amp;lt; 0.001). Additionally, the recovery time of the SV group was statistically significantly shorter than the FG and DS groups (p &amp;lt; 0.001). There was no significant difference between the surgical techniques in CDCS. Conclusion TAC exhibits advantages over other techniques regarding bleeding and a shorter procedure time. However, it also comes with disadvantages, such as postoperative edema and a longer recovery time.&lt;/p&gt;&quot;,&quot;container-title-short&quot;:&quot;&quot;},&quot;isTemporary&quot;:false},{&quot;id&quot;:&quot;8215a4bb-2238-302a-a228-12c9c81ebeff&quot;,&quot;itemData&quot;:{&quot;type&quot;:&quot;chapter&quot;,&quot;id&quot;:&quot;8215a4bb-2238-302a-a228-12c9c81ebeff&quot;,&quot;title&quot;:&quot;Complications in Anesthesia&quot;,&quot;author&quot;:[{&quot;family&quot;:&quot;Korets&quot;,&quot;given&quot;:&quot;Jonathan&quot;,&quot;parse-names&quot;:false,&quot;dropping-particle&quot;:&quot;&quot;,&quot;non-dropping-particle&quot;:&quot;&quot;},{&quot;family&quot;:&quot;Li&quot;,&quot;given&quot;:&quot;Fenghua&quot;,&quot;parse-names&quot;:false,&quot;dropping-particle&quot;:&quot;&quot;,&quot;non-dropping-particle&quot;:&quot;&quot;}],&quot;container-title&quot;:&quot;Basic Sciences in Anesthesia&quot;,&quot;editor&quot;:[{&quot;family&quot;:&quot;Argalious&quot;,&quot;given&quot;:&quot;Maged&quot;,&quot;parse-names&quot;:false,&quot;dropping-particle&quot;:&quot;&quot;,&quot;non-dropping-particle&quot;:&quot;&quot;},{&quot;family&quot;:&quot;Farag&quot;,&quot;given&quot;:&quot;Ehab&quot;,&quot;parse-names&quot;:false,&quot;dropping-particle&quot;:&quot;&quot;,&quot;non-dropping-particle&quot;:&quot;&quot;},{&quot;family&quot;:&quot;Sharma&quot;,&quot;given&quot;:&quot;Deepak&quot;,&quot;parse-names&quot;:false,&quot;dropping-particle&quot;:&quot;&quot;,&quot;non-dropping-particle&quot;:&quot;&quot;}],&quot;DOI&quot;:&quot;10.1007/978-3-031-60203-0_28&quot;,&quot;ISBN&quot;:&quot;978-3-031-60203-0&quot;,&quot;URL&quot;:&quot;https://doi.org/10.1007/978-3-031-60203-0_28&quot;,&quot;issued&quot;:{&quot;date-parts&quot;:[[2024]]},&quot;publisher-place&quot;:&quot;Cham&quot;,&quot;page&quot;:&quot;519-542&quot;,&quot;abstract&quot;:&quot;AnesthesiaAnesthesia-related complications still exist and account for significant morbidity. This chapter reviews common complications encountered throughout anesthesia practice, its etiology, and management. Trauma results from a variety of anesthesia procedures, such as airway manipulation, vascular access, positioning, and peripheral nerve blockade. Dental injury is the most common upper airwayUpper airway anesthesia injury, but airway managementAirway management can cause injury to all upper airway structures including the nostrils, tongue, pharynx, larynx, trachea, and esophagus. Esophageal perforation can lead to death. Vascular access is essential for anesthesia practice, but can lead to multiple complications including arterial and venous thrombosis, thrombophlebitis, sheared catheter, intra-arterial injections, air embolism, cardiac/vascular perforation, pulmonary artery rupture, etc. Anesthesiologists should be aware of preventing peripheral neuropathy resulting from excessive pressure applied to the mask, tourniquet use, positioning, and intraneural injection. Corneal abrasions are the most common eye injury during non-ophthalmologic surgeries, while postoperative vision loss is a rare, but devastating complication. Preventing an operating roomOperating room (OR) fireFire standards and guidelines is an important patient safetyPatient safety issue and anesthesiologists should use the lowest oxygen concentration in laser airway procedures to avoid airway burns, which is a disaster for the patient. Mild hypothermia is common during general anesthesiaAnesthesia due to impaired thermoregulation and cold environmental exposure. However, it is important to keep the patient warm during surgery due to the many adverse effects that hypothermia has, including increased metabolic demand, shivering, increased surgical infection, and delayed wound healing. Both laryngospasmsLaryngospasm and bronchospasms are severe respiratory complications and require rapid treatment to avoid mortality. Post-obstruction pulmonary edema occurs most common after a laryngospasm and is treated with supportive measures and positive ventilation in severe cases. AnaphylaxisAnaphylaxis is defined as a serious, generalized or systemic allergic or hypersensitivity reaction that can be life threatening. The most common triggers of anaphylaxis during anesthesiaAnesthesia are neuromuscular-blocking agents (NMBAs), antibiotics, latex, hypnotic agents, opioidsOpioids, and colloidsColloids. Immediate recognition of anaphylaxis is a key to preventing mortality. Epinephrine is the first-line drug to restore circulation in the event of circulatory collapse. PerioperativePerioperative pulmonary aspirationAspiration occurs after the induction of anesthesiaAnesthesia, during a procedure, or in the immediate period after surgery. The American Society of Anesthesiologists (ASA) fasting guideline should be followed to prevent the aspiration of gastric contents.&quot;,&quot;publisher&quot;:&quot;Springer Nature Switzerland&quot;,&quot;container-title-short&quot;:&quot;&quot;},&quot;isTemporary&quot;:false},{&quot;id&quot;:&quot;5cb2e74a-8a4e-3226-bf6a-0c52b2bd0f6d&quot;,&quot;itemData&quot;:{&quot;type&quot;:&quot;article-journal&quot;,&quot;id&quot;:&quot;5cb2e74a-8a4e-3226-bf6a-0c52b2bd0f6d&quot;,&quot;title&quot;:&quot;Electrocautery in arthroscopic surgery: intra-articular fluid temperatures above 43 °C cause potential tissue damage&quot;,&quot;author&quot;:[{&quot;family&quot;:&quot;Derriks&quot;,&quot;given&quot;:&quot;J H G&quot;,&quot;parse-names&quot;:false,&quot;dropping-particle&quot;:&quot;&quot;,&quot;non-dropping-particle&quot;:&quot;&quot;},{&quot;family&quot;:&quot;Hilgersom&quot;,&quot;given&quot;:&quot;N F J&quot;,&quot;parse-names&quot;:false,&quot;dropping-particle&quot;:&quot;&quot;,&quot;non-dropping-particle&quot;:&quot;&quot;},{&quot;family&quot;:&quot;Middelkoop&quot;,&quot;given&quot;:&quot;E&quot;,&quot;parse-names&quot;:false,&quot;dropping-particle&quot;:&quot;&quot;,&quot;non-dropping-particle&quot;:&quot;&quot;},{&quot;family&quot;:&quot;Samuelsson&quot;,&quot;given&quot;:&quot;K&quot;,&quot;parse-names&quot;:false,&quot;dropping-particle&quot;:&quot;&quot;,&quot;non-dropping-particle&quot;:&quot;&quot;},{&quot;family&quot;:&quot;Bekerom&quot;,&quot;given&quot;:&quot;M P J&quot;,&quot;parse-names&quot;:false,&quot;dropping-particle&quot;:&quot;&quot;,&quot;non-dropping-particle&quot;:&quot;van den&quot;}],&quot;container-title&quot;:&quot;Knee Surgery, Sports Traumatology, Arthroscopy&quot;,&quot;DOI&quot;:&quot;10.1007/s00167-019-05574-4&quot;,&quot;ISSN&quot;:&quot;1433-7347&quot;,&quot;URL&quot;:&quot;https://doi.org/10.1007/s00167-019-05574-4&quot;,&quot;issued&quot;:{&quot;date-parts&quot;:[[2020]]},&quot;page&quot;:&quot;2270-2278&quot;,&quot;abstract&quot;:&quot;The use of electrocautery during arthroscopy may heat intra-articular saline and subsequently damage intra- and extra-articular tissue. Newer electrocautery devices have the ability to measure the outflow fluid temperature and switch off before reaching a certain threshold; however, the scientific evidence establishing these temperature thresholds’ potential for inadvertent damage is lacking. The aim of this study was to analyse current available literature on temperature thresholds for tissue damage after exposure to heated fluid and provide a recommendation for the maximum temperature of intra-articular fluid to prevent tissue damage.&quot;,&quot;issue&quot;:&quot;7&quot;,&quot;volume&quot;:&quot;28&quot;,&quot;container-title-short&quot;:&quot;&quot;},&quot;isTemporary&quot;:false}]},{&quot;citationID&quot;:&quot;MENDELEY_CITATION_e54d7d9b-9715-412c-ad59-fe4843231fd1&quot;,&quot;properties&quot;:{&quot;noteIndex&quot;:0},&quot;isEdited&quot;:false,&quot;manualOverride&quot;:{&quot;isManuallyOverridden&quot;:false,&quot;citeprocText&quot;:&quot;(Porzionato et al., 2022; Singh et al., 2022)&quot;,&quot;manualOverrideText&quot;:&quot;&quot;},&quot;citationTag&quot;:&quot;MENDELEY_CITATION_v3_eyJjaXRhdGlvbklEIjoiTUVOREVMRVlfQ0lUQVRJT05fZTU0ZDdkOWItOTcxNS00MTJjLWFkNTktZmU0ODQzMjMxZmQx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quot;,&quot;citationItems&quot;:[{&quot;id&quot;:&quot;999fc1df-7d26-3d6b-984c-9187b87aed01&quot;,&quot;itemData&quot;:{&quot;type&quot;:&quot;article-journal&quot;,&quot;id&quot;:&quot;999fc1df-7d26-3d6b-984c-9187b87aed01&quot;,&quot;title&quot;:&quot;Is inadequate anatomical knowledge on the part of physicians hazardous for successful clinical practice?&quot;,&quot;author&quot;:[{&quot;family&quot;:&quot;Singh&quot;,&quot;given&quot;:&quot;Rajani&quot;,&quot;parse-names&quot;:false,&quot;dropping-particle&quot;:&quot;&quot;,&quot;non-dropping-particle&quot;:&quot;&quot;},{&quot;family&quot;:&quot;Yadav&quot;,&quot;given&quot;:&quot;Nisha&quot;,&quot;parse-names&quot;:false,&quot;dropping-particle&quot;:&quot;&quot;,&quot;non-dropping-particle&quot;:&quot;&quot;},{&quot;family&quot;:&quot;Pandey&quot;,&quot;given&quot;:&quot;Manisha&quot;,&quot;parse-names&quot;:false,&quot;dropping-particle&quot;:&quot;&quot;,&quot;non-dropping-particle&quot;:&quot;&quot;},{&quot;family&quot;:&quot;Jones&quot;,&quot;given&quot;:&quot;David Gareth&quot;,&quot;parse-names&quot;:false,&quot;dropping-particle&quot;:&quot;&quot;,&quot;non-dropping-particle&quot;:&quot;&quot;}],&quot;container-title&quot;:&quot;Surgical and Radiologic Anatomy&quot;,&quot;DOI&quot;:&quot;10.1007/s00276-021-02875-7&quot;,&quot;ISSN&quot;:&quot;1279-8517&quot;,&quot;URL&quot;:&quot;https://doi.org/10.1007/s00276-021-02875-7&quot;,&quot;issued&quot;:{&quot;date-parts&quot;:[[2022]]},&quot;page&quot;:&quot;83-92&quot;,&quot;abstract&quot;:&quot;The physicians say that the least anatomy is required for clinical practice. But the disease causes anatomical distortions or variations in structures impairing functions of organs and systems. So, the diagnosis and analysis of treatment of disease depend on interwoven inter-relationship among Anatomy, Physiology, Pathology, Radiology and clinical sciences. Consequently, the upcoming doctors are to be cultivated sufficient anatomy. Therefore, the objective of this study is to analyze viewpoints of medical students, faculties and practitioners regarding degree of need of Anatomy in clinical practice.&quot;,&quot;issue&quot;:&quot;1&quot;,&quot;volume&quot;:&quot;44&quot;,&quot;container-title-short&quot;:&quot;&quot;},&quot;isTemporary&quot;:false},{&quot;id&quot;:&quot;1a28cf77-5e10-3a42-a364-da1c2a11520f&quot;,&quot;itemData&quot;:{&quot;type&quot;:&quot;article&quot;,&quot;id&quot;:&quot;1a28cf77-5e10-3a42-a364-da1c2a11520f&quot;,&quot;title&quot;:&quot;Clinical Anatomy and Medical Malpractice—A Narrative Review with Methodological Implications&quot;,&quot;author&quot;:[{&quot;family&quot;:&quot;Porzionato&quot;,&quot;given&quot;:&quot;Andrea&quot;,&quot;parse-names&quot;:false,&quot;dropping-particle&quot;:&quot;&quot;,&quot;non-dropping-particle&quot;:&quot;&quot;},{&quot;family&quot;:&quot;Macchi&quot;,&quot;given&quot;:&quot;Veronica&quot;,&quot;parse-names&quot;:false,&quot;dropping-particle&quot;:&quot;&quot;,&quot;non-dropping-particle&quot;:&quot;&quot;},{&quot;family&quot;:&quot;Stecco&quot;,&quot;given&quot;:&quot;Carla&quot;,&quot;parse-names&quot;:false,&quot;dropping-particle&quot;:&quot;&quot;,&quot;non-dropping-particle&quot;:&quot;&quot;},{&quot;family&quot;:&quot;Boscolo-Berto&quot;,&quot;given&quot;:&quot;Rafael&quot;,&quot;parse-names&quot;:false,&quot;dropping-particle&quot;:&quot;&quot;,&quot;non-dropping-particle&quot;:&quot;&quot;},{&quot;family&quot;:&quot;Loukas&quot;,&quot;given&quot;:&quot;Marios&quot;,&quot;parse-names&quot;:false,&quot;dropping-particle&quot;:&quot;&quot;,&quot;non-dropping-particle&quot;:&quot;&quot;},{&quot;family&quot;:&quot;Tubbs&quot;,&quot;given&quot;:&quot;Ronald Shane&quot;,&quot;parse-names&quot;:false,&quot;dropping-particle&quot;:&quot;&quot;,&quot;non-dropping-particle&quot;:&quot;&quot;},{&quot;family&quot;:&quot;Caro&quot;,&quot;given&quot;:&quot;Raffaele&quot;,&quot;parse-names&quot;:false,&quot;dropping-particle&quot;:&quot;&quot;,&quot;non-dropping-particle&quot;:&quot;De&quot;}],&quot;container-title&quot;:&quot;Healthcare (Switzerland)&quot;,&quot;DOI&quot;:&quot;10.3390/healthcare10101915&quot;,&quot;ISSN&quot;:&quot;22279032&quot;,&quot;issued&quot;:{&quot;date-parts&quot;:[[2022,10,1]]},&quot;abstract&quot;:&quot;Anatomical issues are intrinsically included in medico-legal methodology, however, higher awareness would be needed about the relevance of anatomy in addressing medico–legal questions in clinical/surgical contexts. Forensic Clinical Anatomy has been defined as “the practical application of Clinical Anatomy to the ascertainment and evaluation of medico-legal problems”. The so-called individual anatomy (normal anatomy, anatomical variations, or anatomical modifications due to development, aging, para-physiological conditions, diseases, or surgery) may acquire specific relevance in medico–legal ascertainment and evaluation of cases of supposed medical malpractice. Here, we reviewed the literature on the relationships between anatomy, clinics/surgery, and legal medicine. Some methodological considerations were also proposed concerning the following issues: (1) relevant aspects of individual anatomy may arise from the application of methods of ascertainment, and they may be furtherly ascertained through specific anatomical methodology; (2) data about individual anatomy may help in the objective application of the criteria of evaluation (physio–pathological pathway, identification–evaluation of errors, causal value, damage estimation) and in final judgment about medical responsibility/liability. Awareness of the relevance of individual anatomy (risk of iatrogenic lesions, need for preoperative diagnostic procedures) should be one of the principles guiding the clinician; medico–legal analyses can also take advantage of its contribution in terms of ascertainment/evaluation.&quot;,&quot;publisher&quot;:&quot;MDPI&quot;,&quot;issue&quot;:&quot;10&quot;,&quot;volume&quot;:&quot;10&quot;,&quot;container-title-short&quot;:&quot;&quot;},&quot;isTemporary&quot;:false}]},{&quot;citationID&quot;:&quot;MENDELEY_CITATION_ee194b5e-3d63-460d-85c5-5cf64c13aff9&quot;,&quot;properties&quot;:{&quot;noteIndex&quot;:0},&quot;isEdited&quot;:false,&quot;manualOverride&quot;:{&quot;isManuallyOverridden&quot;:false,&quot;citeprocText&quot;:&quot;(Villanueva &amp;#38; Salevitz, 2023)&quot;,&quot;manualOverrideText&quot;:&quot;&quot;},&quot;citationTag&quot;:&quot;MENDELEY_CITATION_v3_eyJjaXRhdGlvbklEIjoiTUVOREVMRVlfQ0lUQVRJT05fZWUxOTRiNWUtM2Q2My00NjBkLTg1YzUtNWNmNjRjMTNhZmY5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quot;,&quot;citationItems&quot;:[{&quot;id&quot;:&quot;3bec0d6d-d3c4-33fc-9fc0-c7804864014b&quot;,&quot;itemData&quot;:{&quot;type&quot;:&quot;article-journal&quot;,&quot;id&quot;:&quot;3bec0d6d-d3c4-33fc-9fc0-c7804864014b&quot;,&quot;title&quot;:&quot;Gomco circumcision in the office in patients heavier than 5.5 Kg and/or older than 3 months&quot;,&quot;author&quot;:[{&quot;family&quot;:&quot;Villanueva&quot;,&quot;given&quot;:&quot;Carlos A&quot;,&quot;parse-names&quot;:false,&quot;dropping-particle&quot;:&quot;&quot;,&quot;non-dropping-particle&quot;:&quot;&quot;},{&quot;family&quot;:&quot;Salevitz&quot;,&quot;given&quot;:&quot;Daniel&quot;,&quot;parse-names&quot;:false,&quot;dropping-particle&quot;:&quot;&quot;,&quot;non-dropping-particle&quot;:&quot;&quot;}],&quot;container-title&quot;:&quot;Journal of Pediatric Urology&quot;,&quot;container-title-short&quot;:&quot;J. Pediatr. Urol.&quot;,&quot;DOI&quot;:&quot;https://doi.org/10.1016/j.jpurol.2023.08.005&quot;,&quot;ISSN&quot;:&quot;1477-5131&quot;,&quot;URL&quot;:&quot;https://www.sciencedirect.com/science/article/pii/S1477513123003200&quot;,&quot;issued&quot;:{&quot;date-parts&quot;:[[2023]]},&quot;page&quot;:&quot;801.e1-801.e5&quot;,&quot;abstract&quot;:&quot;Summary\nIntroduction\nAlthough most pediatric urologists do not perform clamp circumcisions in boys older than 3 months or heavier than 5.5 kg, there are no universally accepted guidelines on the optimal patient age or weight.\nObjective\nTo compare outcomes of office circumcision within and outside these traditional patient parameters.\nMethods\nThis is a retrospective review of circumcisions performed by a single surgeon from 2019 to 2022. Demographics reviewed include age and weight at time of circumcision, gestational weeks at birth, as well as post-procedure: bleeding, planned and unplanned visits, adhesions/concealment, and interventions related to the circumcision. “Active Bleeding” was defined as bleeding occurring after discharge requiring intervention with pressure, sutures, or cautery. “All Bleeding” included Active Bleeding, and cases where bleeding was controlled at home with pressure, stopped by the time of arrival at clinic or emergency department, and immediate bleeding after circumcision controlled before discharge.\nResults\nDuring the study period, 773 Gomco circumcisions were performed. A total of 603 patients (78%) had post-procedure evaluation 2 weeks after circumcision. 574 patients (74%) were less than 5.5 kg and 199 (26%) over. Only age corrected for gestation was used in the study: 658 (85%) were younger than 3 months and 115 (15%) older. There was no significant difference in Active Bleeding based on weight (p = 0.3819) or age (p = 0.2798), and no difference in All Bleeding based on weight (p = 0.2072). There was a significant difference (p = 0.0258) in All Bleeding based on age. There was also a significant difference in unexpected visits based on weight (p = 0.0258) and age (p = 0.0131). With regards to adhesions, there was no statistical significant differences when comparing weight or age. However, older and heavier boys had significantly more concealment (5% vs &lt;1%).\nDiscussion\nOur study showed Active Bleeding rates 0.5–0.9% higher in the older and heavier group, although the difference did not reach statistical significance. We found a significantly increased rate of unexpected post-procedure visits of around 3.5–4.7% in those patients older than 3 months and heavier than 5.5 kg. Also, post -procedure concealment was significantly increased in the older and heavier boys. Modifications of the dressing for high risk groups could reduce the risk of bleeding, and efforts on pre-circumcision education of the families might ameliorate unexpected visits. Exlcuding patients with hidden penis or performing penoscrotal skin tacking at the time of the gomco circumcision could decrease concealment rates in the higher risk patients.\nConclusions\nGomco clamp circumcision is safe in patients over 5.5 kg and older than 3 months, with a less than 1% higher risk of bleeding, which in the current study was controlled without the need for general anesthesia or transfusions. Broadening the inclusion criteria for office clamp circumcisions could reduce costs and make the procedure available to patients who cannot afford to have the surgery under general anesthesia.Summary Table 1Active Bleeding and All Bleeding by weight and age.Extended Summary Table 1Active Bleedingp-valueAll Bleedingp-value&lt;5.5 kg; n = 5744 (0.7%)0.381913 (2%)0.2072≥5.5 kg; n = 1993 (1.5%)8 (4%)&lt;3 months; n = 6585 (0.8%)0.279814 (2.1%)0.0258≥3 months; n = 1152 (1.7%)7 (6%)&quot;,&quot;issue&quot;:&quot;6&quot;,&quot;volume&quot;:&quot;19&quot;},&quot;isTemporary&quot;:false}]},{&quot;citationID&quot;:&quot;MENDELEY_CITATION_f13240e2-1960-42a0-941d-7734c354764a&quot;,&quot;properties&quot;:{&quot;noteIndex&quot;:0},&quot;isEdited&quot;:false,&quot;manualOverride&quot;:{&quot;isManuallyOverridden&quot;:false,&quot;citeprocText&quot;:&quot;(Boakye &amp;#38; Obeng, 2025; Cansaran et al., 2026)&quot;,&quot;manualOverrideText&quot;:&quot;&quot;},&quot;citationItems&quot;:[{&quot;id&quot;:&quot;a2b319cc-fd8d-3551-a89c-9ad794ea6f51&quot;,&quot;itemData&quot;:{&quot;type&quot;:&quot;article-journal&quot;,&quot;id&quot;:&quot;a2b319cc-fd8d-3551-a89c-9ad794ea6f51&quot;,&quot;title&quot;:&quot;Penile Skin Bridges After Circumcision and Penile Surgery: Surgical Management and Preventive Considerations&quot;,&quot;author&quot;:[{&quot;family&quot;:&quot;Cansaran&quot;,&quot;given&quot;:&quot;Sabri&quot;,&quot;parse-names&quot;:false,&quot;dropping-particle&quot;:&quot;&quot;,&quot;non-dropping-particle&quot;:&quot;&quot;},{&quot;family&quot;:&quot;Balcı&quot;,&quot;given&quot;:&quot;Özlem&quot;,&quot;parse-names&quot;:false,&quot;dropping-particle&quot;:&quot;&quot;,&quot;non-dropping-particle&quot;:&quot;&quot;},{&quot;family&quot;:&quot;Moralıoğlu&quot;,&quot;given&quot;:&quot;Serdar&quot;,&quot;parse-names&quot;:false,&quot;dropping-particle&quot;:&quot;&quot;,&quot;non-dropping-particle&quot;:&quot;&quot;}],&quot;container-title&quot;:&quot;Annals of Plastic Surgery&quot;,&quot;container-title-short&quot;:&quot;Ann. Plast. Surg.&quot;,&quot;ISSN&quot;:&quot;0148-7043&quot;,&quot;URL&quot;:&quot;https://journals.lww.com/annalsplasticsurgery/fulltext/2026/04000/penile_skin_bridges_after_circumcision_and_penile.11.aspx&quot;,&quot;issued&quot;:{&quot;date-parts&quot;:[[2026]]},&quot;abstract&quot;:&quot;Objective \n\nPenile skin bridges are uncommon late complications of circumcision and penile surgery, occurring when raw epithelial surfaces adhere during healing and form fibrotic tracts. This study aimed to describe the clinical presentations, anatomic variations, surgical management techniques, and outcomes of pediatric patients treated for symptomatic penile skin bridges.\n\nMethods \n\nThis retrospective descriptive case series included patients who presented with penile skin bridges after circumcision or other penile surgeries between 2019 and 2025. Clinical characteristics, bridge anatomic patterns, surgical techniques, and outcomes with a minimum 6- month follow-up were analyzed.\n\nResults \n\nFour male patients (median age 10.5 y, range: 4.5 to 14) presented with penile skin bridges at a median of 7.75 years after primary surgery (circumcision n = 2, circumcision with curvature correction n = 1, hypospadias repair n = 1). Bridge patterns included single dorsal or lateral bridges (n = 2) and multiple bridges involving several quadrants (n = 2). All patients underwent complete surgical excision under general anesthesia with 6/0 polydioxanone suture closure; local skin flaps were required in one case to achieve tension-free repair. At a median follow-up of 3 years (range: 9 mo to 6.5 y), all wounds healed without complications, pain resolved completely in symptomatic patients, and no recurrences were observed.\n\nConclusions \n\nPenile skin bridges may develop after various pediatric penile surgeries, including circumcision, hypospadias repair, and curvature correction. Complete surgical excision with tension-free closure, using local skin flaps when needed, resulted in favorable short-term and mid-term outcomes with no recurrences.&quot;,&quot;issue&quot;:&quot;4&quot;,&quot;volume&quot;:&quot;96&quot;},&quot;isTemporary&quot;:false},{&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isTemporary&quot;:false}],&quot;citationTag&quot;:&quot;MENDELEY_CITATION_v3_eyJjaXRhdGlvbklEIjoiTUVOREVMRVlfQ0lUQVRJT05fZjEzMjQwZTItMTk2MC00MmEwLTk0MWQtNzczNGMzNTQ3NjRh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J9LCJpc1RlbXBvcmFyeSI6ZmFsc2V9XX0=&quot;},{&quot;citationID&quot;:&quot;MENDELEY_CITATION_835d2714-ac7e-49f5-a20d-1c72aee13865&quot;,&quot;properties&quot;:{&quot;noteIndex&quot;:0},&quot;isEdited&quot;:false,&quot;manualOverride&quot;:{&quot;isManuallyOverridden&quot;:false,&quot;citeprocText&quot;:&quot;(Adler, 2016; Mwesigwa, n.d.; Svoboda et al., 2016)&quot;,&quot;manualOverrideText&quot;:&quot;&quot;},&quot;citationTag&quot;:&quot;MENDELEY_CITATION_v3_eyJjaXRhdGlvbklEIjoiTUVOREVMRVlfQ0lUQVRJT05fODM1ZDI3MTQtYWM3ZS00OWY1LWEyMGQtMWM3MmFlZTEzODY1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quot;,&quot;citationItems&quot;:[{&quot;id&quot;:&quot;0a7b79bb-3fb8-3047-85b3-8e7915f4b701&quot;,&quot;itemData&quot;:{&quot;type&quot;:&quot;report&quot;,&quot;id&quot;:&quot;0a7b79bb-3fb8-3047-85b3-8e7915f4b701&quot;,&quot;title&quot;:&quot;TO CUT OR NOT TO CUT: INFANT MALE CIRCUMCISION AND HUMAN RIGHTS IN UGANDA&quot;,&quot;author&quot;:[{&quot;family&quot;:&quot;Mwesigwa&quot;,&quot;given&quot;:&quot;Harry&quot;,&quot;parse-names&quot;:false,&quot;dropping-particle&quot;:&quot;&quot;,&quot;non-dropping-particle&quot;:&quot;&quot;}],&quot;container-title&quot;:&quot;208 East East African Journal of Peace &amp; Human Rights&quot;,&quot;abstract&quot;:&quot;Despite an absolute ban on female circumcision which is framed as genital mutilation, the practice of infant male circumcision has been ignored by legislators and remains widely practiced by cultural, religious and medical institutions across Uganda. This is notwithstanding the fact that there are stark similarities between female and male circumcision as both procedures adversely affect the child. However, while Uganda continues to blindly promote infant male circumcision, there is emerging discourse within the international community that regards this practice as a violation of children's rights. Situating itself in those evolving debates, this article frames the practice of infant male circumcision in Uganda as a violation of human rights and argues for law reform.&quot;,&quot;issue&quot;:&quot;2&quot;,&quot;volume&quot;:&quot;30&quot;,&quot;container-title-short&quot;:&quot;&quot;},&quot;isTemporary&quot;:false},{&quot;id&quot;:&quot;b3f37337-9c48-3625-b102-6e4a543e128b&quot;,&quot;itemData&quot;:{&quot;type&quot;:&quot;article-journal&quot;,&quot;id&quot;:&quot;b3f37337-9c48-3625-b102-6e4a543e128b&quot;,&quot;title&quot;:&quot;Circumcision Is Unethical and Unlawful&quot;,&quot;author&quot;:[{&quot;family&quot;:&quot;Svoboda&quot;,&quot;given&quot;:&quot;J Steven&quot;,&quot;parse-names&quot;:false,&quot;dropping-particle&quot;:&quot;&quot;,&quot;non-dropping-particle&quot;:&quot;&quot;},{&quot;family&quot;:&quot;Adler&quot;,&quot;given&quot;:&quot;Peter W&quot;,&quot;parse-names&quot;:false,&quot;dropping-particle&quot;:&quot;&quot;,&quot;non-dropping-particle&quot;:&quot;&quot;},{&quot;family&quot;:&quot;Howe&quot;,&quot;given&quot;:&quot;Robert S&quot;,&quot;parse-names&quot;:false,&quot;dropping-particle&quot;:&quot;&quot;,&quot;non-dropping-particle&quot;:&quot;Van&quot;}],&quot;container-title&quot;:&quot;Journal of Law, Medicine &amp; Ethics&quot;,&quot;DOI&quot;:&quot;DOI: 10.1177/1073110516654120&quot;,&quot;ISSN&quot;:&quot;1073-1105&quot;,&quot;URL&quot;:&quot;https://www.cambridge.org/core/product/280C3C539BEB04143CD76DC990962A31&quot;,&quot;issued&quot;:{&quot;date-parts&quot;:[[2016]]},&quot;page&quot;:&quot;263-282&quot;,&quot;abstract&quot;:&quot;The foreskin is a complex structure that protects and moisturizes the head of the penis, and, being the most densely innervated and sensitive portion of the penis, is essential to providing the complete sexual response. Circumcision—the removal of this structure—is non-therapeutic, painful, irreversible surgery that also risks serious physical injury, psychological sequelae, and death. Men rarely volunteer for it, and increasingly circumcised men are expressing their resentment about it.Circumcision is usually performed for religious, cultural and personal reasons. Early claims about its medical benefits have been proven false. The American Academy of Pediatrics and the Centers for Disease Prevention and Control have made many scientifically untenable claims promoting circumcision that run counter to the consensus of Western medical organizations.Circumcision violates the cardinal principles of medical ethics, to respect autonomy (self-determination), to do good, to do no harm, and to be just. Without a clear medical indication, circumcision must be deferred until the child can provide his own fully informed consent.In 2012, a German court held that circumcision constitutes criminal assault. Under existing United States law and international human rights declarations as well, circumcision already violates boys› absolute rights to equal protection, bodily integrity, autonomy, and freedom to choose their own religion. A physician has a legal duty to protect children from unnecessary interventions. Physicians who obtain parental permission through spurious claims or omissions, or rely on the American Academy of Pediatrics' position, also risk liability for misleading parents about circumcision.&quot;,&quot;edition&quot;:&quot;2021/01/01&quot;,&quot;publisher&quot;:&quot;Cambridge University Press&quot;,&quot;issue&quot;:&quot;2&quot;,&quot;volume&quot;:&quot;44&quot;,&quot;container-title-short&quot;:&quot;&quot;},&quot;isTemporary&quot;:false},{&quot;id&quot;:&quot;11764d8a-a479-367f-8237-0c71df2cb9e8&quot;,&quot;itemData&quot;:{&quot;type&quot;:&quot;article-journal&quot;,&quot;id&quot;:&quot;11764d8a-a479-367f-8237-0c71df2cb9e8&quot;,&quot;title&quot;:&quot;The Draft cdc Circumcision Recommendations: Medical, Ethical, Legal, and Procedural Concerns&quot;,&quot;author&quot;:[{&quot;family&quot;:&quot;Adler&quot;,&quot;given&quot;:&quot;Peter W&quot;,&quot;parse-names&quot;:false,&quot;dropping-particle&quot;:&quot;&quot;,&quot;non-dropping-particle&quot;:&quot;&quot;}],&quot;container-title&quot;:&quot;The International Journal of Children's Rights&quot;,&quot;DOI&quot;:&quot;https://doi.org/10.1163/15718182-02402001&quot;,&quot;URL&quot;:&quot;https://brill.com/view/journals/chil/24/2/article-p239_2.xml&quot;,&quot;issued&quot;:{&quot;date-parts&quot;:[[2016]]},&quot;publisher-place&quot;:&quot;Leiden, The Netherlands&quot;,&quot;page&quot;:&quot;239-264&quot;,&quot;language&quot;:&quot;English&quot;,&quot;publisher&quot;:&quot;Brill&quot;,&quot;issue&quot;:&quot;2&quot;,&quot;volume&quot;:&quot;24&quot;,&quot;container-title-short&quot;:&quot;&quot;},&quot;isTemporary&quot;:false}]},{&quot;citationID&quot;:&quot;MENDELEY_CITATION_bd61372a-0e52-430f-809a-57fb6a27e868&quot;,&quot;properties&quot;:{&quot;noteIndex&quot;:0},&quot;isEdited&quot;:false,&quot;manualOverride&quot;:{&quot;isManuallyOverridden&quot;:false,&quot;citeprocText&quot;:&quot;(Birkeland, 2017; Giudici-Wach et al., 2022; Pallocci et al., 2023; Stępniak, 2021; Waters et al., 2025)&quot;,&quot;manualOverrideText&quot;:&quot;&quot;},&quot;citationTag&quot;:&quot;MENDELEY_CITATION_v3_eyJjaXRhdGlvbklEIjoiTUVOREVMRVlfQ0lUQVRJT05fYmQ2MTM3MmEtMGU1Mi00MzBmLTgwOWEtNTdmYjZhMjdlODY4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quot;,&quot;citationItems&quot;:[{&quot;id&quot;:&quot;b4e72cb1-6a8d-3d18-a7e8-4506a7029f1f&quot;,&quot;itemData&quot;:{&quot;type&quot;:&quot;article-journal&quot;,&quot;id&quot;:&quot;b4e72cb1-6a8d-3d18-a7e8-4506a7029f1f&quot;,&quot;title&quot;:&quot;Informed Consent: Legal Obligation or Cornerstone of the Care Relationship?&quot;,&quot;author&quot;:[{&quot;family&quot;:&quot;Pallocci&quot;,&quot;given&quot;:&quot;Margherita&quot;,&quot;parse-names&quot;:false,&quot;dropping-particle&quot;:&quot;&quot;,&quot;non-dropping-particle&quot;:&quot;&quot;},{&quot;family&quot;:&quot;Treglia&quot;,&quot;given&quot;:&quot;Michele&quot;,&quot;parse-names&quot;:false,&quot;dropping-particle&quot;:&quot;&quot;,&quot;non-dropping-particle&quot;:&quot;&quot;},{&quot;family&quot;:&quot;Passalacqua&quot;,&quot;given&quot;:&quot;Pierluigi&quot;,&quot;parse-names&quot;:false,&quot;dropping-particle&quot;:&quot;&quot;,&quot;non-dropping-particle&quot;:&quot;&quot;},{&quot;family&quot;:&quot;Tittarelli&quot;,&quot;given&quot;:&quot;Roberta&quot;,&quot;parse-names&quot;:false,&quot;dropping-particle&quot;:&quot;&quot;,&quot;non-dropping-particle&quot;:&quot;&quot;},{&quot;family&quot;:&quot;Zanovello&quot;,&quot;given&quot;:&quot;Claudia&quot;,&quot;parse-names&quot;:false,&quot;dropping-particle&quot;:&quot;&quot;,&quot;non-dropping-particle&quot;:&quot;&quot;},{&quot;family&quot;:&quot;Luca&quot;,&quot;given&quot;:&quot;Lucilla&quot;,&quot;parse-names&quot;:false,&quot;dropping-particle&quot;:&quot;&quot;,&quot;non-dropping-particle&quot;:&quot;De&quot;},{&quot;family&quot;:&quot;Caparrelli&quot;,&quot;given&quot;:&quot;Valentina&quot;,&quot;parse-names&quot;:false,&quot;dropping-particle&quot;:&quot;&quot;,&quot;non-dropping-particle&quot;:&quot;&quot;},{&quot;family&quot;:&quot;Luna&quot;,&quot;given&quot;:&quot;Vincenzo&quot;,&quot;parse-names&quot;:false,&quot;dropping-particle&quot;:&quot;&quot;,&quot;non-dropping-particle&quot;:&quot;De&quot;},{&quot;family&quot;:&quot;Cisterna&quot;,&quot;given&quot;:&quot;Alberto Michele&quot;,&quot;parse-names&quot;:false,&quot;dropping-particle&quot;:&quot;&quot;,&quot;non-dropping-particle&quot;:&quot;&quot;},{&quot;family&quot;:&quot;Quintavalle&quot;,&quot;given&quot;:&quot;Giuseppe&quot;,&quot;parse-names&quot;:false,&quot;dropping-particle&quot;:&quot;&quot;,&quot;non-dropping-particle&quot;:&quot;&quot;},{&quot;family&quot;:&quot;Marsella&quot;,&quot;given&quot;:&quot;Luigi Tonin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0032118&quot;,&quot;ISSN&quot;:&quot;16604601&quot;,&quot;PMID&quot;:&quot;36767485&quot;,&quot;issued&quot;:{&quot;date-parts&quot;:[[2023,2,1]]},&quot;abstract&quot;:&quot;The topic of informed consent has become increasingly important in recent decades, both in the ethical-deontological field and as a duty of law. The review covered all sentences issued by the 13th section of the Civil Court of Rome during the period January 2016–December 2020. During this period, 156 judgments were found in which a breach of consent was required; in 24 of these, specific liability was proven, and the corresponding compensation liquidated. Moreover, 80% of the cases concerned the lack of information provided. The most involved branches were those related to surgical areas: general surgery, plastic surgery and aesthetic medicine and orthopaedics. The total amount of compensation paid was EUR 287,144.59. The research carried out has highlighted how, in a broad jurisprudential context, the damage caused by the violation of the right related to informed consent is considered, and how it impacts on the economic compensation of damages. Additionally, it showed that the areas most affected by the information deficit are those related to the performance of surgical activities, which are characterized by greater invasiveness and a higher risk of adverse events. The data reported underline the exigency to consider informed consent not as a mere documentary allegation but as an essential moment in the construction of a valid therapeutic alliance, which is also useful for avoiding unnecessary litigation that is becoming increasingly burdensome for healthcare systems all over the world.&quot;,&quot;publisher&quot;:&quot;MDPI&quot;,&quot;issue&quot;:&quot;3&quot;,&quot;volume&quot;:&quot;20&quot;},&quot;isTemporary&quot;:false},{&quot;id&quot;:&quot;7e61a376-af8a-354d-91e7-3d4a0658f55b&quot;,&quot;itemData&quot;:{&quot;type&quot;:&quot;article-journal&quot;,&quot;id&quot;:&quot;7e61a376-af8a-354d-91e7-3d4a0658f55b&quot;,&quot;title&quot;:&quot;Informed Consent Obtainment, Malpractice Litigation, and the Potential Role of Shared Decision-making Approaches&quot;,&quot;author&quot;:[{&quot;family&quot;:&quot;Birkeland&quot;,&quot;given&quot;:&quot;Søren Fryd&quot;,&quot;parse-names&quot;:false,&quot;dropping-particle&quot;:&quot;&quot;,&quot;non-dropping-particle&quot;:&quot;&quot;}],&quot;container-title&quot;:&quot;European Journal of Health Law&quot;,&quot;container-title-short&quot;:&quot;Eur. J. Health Law&quot;,&quot;DOI&quot;:&quot;https://doi.org/10.1163/15718093-12341410&quot;,&quot;URL&quot;:&quot;https://brill.com/view/journals/ejhl/24/3/article-p264_2.xml&quot;,&quot;issued&quot;:{&quot;date-parts&quot;:[[2017]]},&quot;publisher-place&quot;:&quot;Leiden, The Netherlands&quot;,&quot;page&quot;:&quot;264-284&quot;,&quot;language&quot;:&quot;English&quot;,&quot;publisher&quot;:&quot;Brill | Nijhoff&quot;,&quot;issue&quot;:&quot;3&quot;,&quot;volume&quot;:&quot;24&quot;},&quot;isTemporary&quot;:false},{&quot;id&quot;:&quot;4a00d705-21ee-32ff-9b86-de4e82436e5e&quot;,&quot;itemData&quot;:{&quot;type&quot;:&quot;article-journal&quot;,&quot;id&quot;:&quot;4a00d705-21ee-32ff-9b86-de4e82436e5e&quot;,&quot;title&quot;:&quot;Learning from informed consent litigation to improve practices: A systematic review&quot;,&quot;author&quot;:[{&quot;family&quot;:&quot;Giudici-Wach&quot;,&quot;given&quot;:&quot;Karine&quot;,&quot;parse-names&quot;:false,&quot;dropping-particle&quot;:&quot;&quot;,&quot;non-dropping-particle&quot;:&quot;&quot;},{&quot;family&quot;:&quot;Gillois&quot;,&quot;given&quot;:&quot;Pierre&quot;,&quot;parse-names&quot;:false,&quot;dropping-particle&quot;:&quot;&quot;,&quot;non-dropping-particle&quot;:&quot;&quot;},{&quot;family&quot;:&quot;Remen&quot;,&quot;given&quot;:&quot;Thomas&quot;,&quot;parse-names&quot;:false,&quot;dropping-particle&quot;:&quot;&quot;,&quot;non-dropping-particle&quot;:&quot;&quot;},{&quot;family&quot;:&quot;Claudot&quot;,&quot;given&quot;:&quot;Frédérique&quot;,&quot;parse-names&quot;:false,&quot;dropping-particle&quot;:&quot;&quot;,&quot;non-dropping-particle&quot;:&quot;&quot;}],&quot;container-title&quot;:&quot;Patient Education and Counseling&quot;,&quot;container-title-short&quot;:&quot;Patient Educ. Couns.&quot;,&quot;DOI&quot;:&quot;https://doi.org/10.1016/j.pec.2021.10.009&quot;,&quot;ISSN&quot;:&quot;0738-3991&quot;,&quot;URL&quot;:&quot;https://www.sciencedirect.com/science/article/pii/S0738399121006686&quot;,&quot;issued&quot;:{&quot;date-parts&quot;:[[2022]]},&quot;page&quot;:&quot;1714-1721&quot;,&quot;abstract&quot;:&quot;Objective\nTo describe the reasons that lead judges to qualify malpractice as a lack of information, then rule in favour or not of the health professional (HP).\nMethods\nWe conducted a systematic review of case law relating to the breach of disclosure obligations over a ten-year period from 2010 to 2020. We used 3 legal databases: Légifrance, Dalloz and Lexis 360, all identified as the most exhaustive.\nResults\nOf the 514 law cases included: judges found malpractice owing to lack of information in 377 (73.3%) cases. Among the latter, malpractices were lack of risk information (N = 257, 68.2%), lack of proof of information (N = 243, 64.5%) and/or lack of information on therapeutic alternatives (N = 49, 13.0%). These malpractices resulted in a conviction of the HP in 268 (71.1%) of the cases.\nConclusion\nCase law is an important source of information for improving the quality of HP, lawyers, and judges’ practices.\nPractice implications\nThis review suggests that: •HP should take time to complete the medical record and should learn to communicate about risks with patients,•Judges should explain what the ‘right way’ to inform the patient under the law is,•Lawyers could use the inventory made to build their arguments.&quot;,&quot;issue&quot;:&quot;7&quot;,&quot;volume&quot;:&quot;105&quot;},&quot;isTemporary&quot;:false},{&quot;id&quot;:&quot;3fd3fc9d-a59a-3308-b29c-a87232fe795f&quot;,&quot;itemData&quot;:{&quot;type&quot;:&quot;article-journal&quot;,&quot;id&quot;:&quot;3fd3fc9d-a59a-3308-b29c-a87232fe795f&quot;,&quot;title&quot;:&quot;Medical error and negligence as a premise of liability for damage caused to patients&quot;,&quot;author&quot;:[{&quot;family&quot;:&quot;Stępniak&quot;,&quot;given&quot;:&quot;Piotr&quot;,&quot;parse-names&quot;:false,&quot;dropping-particle&quot;:&quot;&quot;,&quot;non-dropping-particle&quot;:&quot;&quot;}],&quot;container-title&quot;:&quot;Journal of Health Inequalities&quot;,&quot;DOI&quot;:&quot;10.5114/jhi.2021.113165&quot;,&quot;ISSN&quot;:&quot;2450-5927&quot;,&quot;URL&quot;:&quot;http://dx.doi.org/10.5114/jhi.2021.113165&quot;,&quot;issued&quot;:{&quot;date-parts&quot;:[[2021]]},&quot;page&quot;:&quot;132-137&quot;,&quot;abstract&quot;:&quot;This article is devoted to the problem of compensation of damage caused to patients by medical personnel in connection with the provision of health services. It considers 2 situations: medical error and negligence? In legal construction of compensation for medical errors are caution and due diligence in action. The article analyses both concepts. It also refers to negligence in connection with the provision of health services. The development of medicine, respect for ethical standards, as well as patient rights, mean that the tendency towards and highest diligence when providing medical services is becoming more pronounced.  The article emphasizes that a similar position is taken by the Court in Poland. The duty of due diligence results from the professional nature of the doctor’s actions. It is defined by the medical standards. In the author’s opinion, the concept of due diligence and caution in action can be used both for the assessment of medical error and for medical care characterized by negligence.&quot;,&quot;issue&quot;:&quot;2&quot;,&quot;volume&quot;:&quot;7&quot;,&quot;container-title-short&quot;:&quot;&quot;},&quot;isTemporary&quot;:false},{&quot;id&quot;:&quot;de41dfc9-4ec4-3bec-9c33-63c128ebe9bb&quot;,&quot;itemData&quot;:{&quot;type&quot;:&quot;article-journal&quot;,&quot;id&quot;:&quot;de41dfc9-4ec4-3bec-9c33-63c128ebe9bb&quot;,&quot;title&quot;:&quot;How Surgeons and Surgical Leaders Manage Complications, Medical Errors, Malpractice, and Second Victim Syndrome&quot;,&quot;author&quot;:[{&quot;family&quot;:&quot;Waters&quot;,&quot;given&quot;:&quot;Peter M&quot;,&quot;parse-names&quot;:false,&quot;dropping-particle&quot;:&quot;&quot;,&quot;non-dropping-particle&quot;:&quot;&quot;},{&quot;family&quot;:&quot;DeMaso&quot;,&quot;given&quot;:&quot;David R&quot;,&quot;parse-names&quot;:false,&quot;dropping-particle&quot;:&quot;&quot;,&quot;non-dropping-particle&quot;:&quot;&quot;},{&quot;family&quot;:&quot;Horgan&quot;,&quot;given&quot;:&quot;James J&quot;,&quot;parse-names&quot;:false,&quot;dropping-particle&quot;:&quot;&quot;,&quot;non-dropping-particle&quot;:&quot;&quot;},{&quot;family&quot;:&quot;Frick&quot;,&quot;given&quot;:&quot;Steven L&quot;,&quot;parse-names&quot;:false,&quot;dropping-particle&quot;:&quot;&quot;,&quot;non-dropping-particle&quot;:&quot;&quot;}],&quot;container-title&quot;:&quot;Journal of the Pediatric Orthopaedic Society of North America&quot;,&quot;DOI&quot;:&quot;https://doi.org/10.1016/j.jposna.2025.100186&quot;,&quot;ISSN&quot;:&quot;2768-2765&quot;,&quot;URL&quot;:&quot;https://www.sciencedirect.com/science/article/pii/S2768276525000306&quot;,&quot;issued&quot;:{&quot;date-parts&quot;:[[2025]]},&quot;page&quot;:&quot;100186&quot;,&quot;abstract&quot;:&quot;Complications are inevitable for practicing surgeons, and when you lead surgeons, negative outcomes and consequences will result from some of their professional work. The implications of the undesired, unintended, or unexpected changes to a child's health due to surgical intervention can be either transient or permanent, ranging from minor to major, devastating, or even deadly adverse events. Just as surgeons strive to maximize their surgical knowledge and expertise before performing an operation, surgeons and their teams need to practice and learn how to improve their non-technical leadership and team performance skills. When an error occurs, surgeons and their teams need to resolve the complication as best as possible with their expertise, knowledge, and consultation(s) as needed. Leaders of surgeons and institutions need to support the patients, their families (first victims) and the surgeons and their care-giving teams (second victims) when a complication occurs. After a medical error, healthcare professionals should for their and the patient-parent(s) well-being: (1) acknowledge the error and its consequences; (2) take responsibility for the error; (3) express regret that the error occurred; (4) solve the problem as best as feasible with professional colleagues; and (5) strive to learn from this error and prevent such or related complication(s) from occurring to other patients in the future. There are partial and total apology (I'm sorry”) laws in 38 states protecting expressions of sympathy (partial) and admissions of fault (total) from admissibility in court. Institutional CANDOR/CANDOUR requirements do exist respectively in the US and UK. Malpractice or negligence litigation is a real risk when complications occur but interestingly occurs most often when patients and their families feel abandoned and deceived. Ultimately, all involved need to heal and this includes the surgeons who experience second victim syndrome. Providing individual and institutional support is imperative and essential for patients, their families, and the health care professionals involved in a serious surgical complication or medical error. Only then can we all cope and continue on as our best selves.&quot;,&quot;volume&quot;:&quot;11&quot;,&quot;container-title-short&quot;:&quot;&quot;},&quot;isTemporary&quot;:false}]},{&quot;citationID&quot;:&quot;MENDELEY_CITATION_d606b7ee-7ced-49bb-be9d-e2d7551aa96a&quot;,&quot;properties&quot;:{&quot;noteIndex&quot;:0},&quot;isEdited&quot;:false,&quot;manualOverride&quot;:{&quot;isManuallyOverridden&quot;:false,&quot;citeprocText&quot;:&quot;(B. J. Morris et al., 2016)&quot;,&quot;manualOverrideText&quot;:&quot;&quot;},&quot;citationTag&quot;:&quot;MENDELEY_CITATION_v3_eyJjaXRhdGlvbklEIjoiTUVOREVMRVlfQ0lUQVRJT05fZDYwNmI3ZWUtN2NlZC00OWJiLWJlOWQtZTJkNzU1MWFhOTZh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quot;,&quot;citationItems&quot;:[{&quot;id&quot;:&quot;677a6358-353a-38a7-8f4f-1d4ea8380d42&quot;,&quot;itemData&quot;:{&quot;type&quot;:&quot;article-journal&quot;,&quot;id&quot;:&quot;677a6358-353a-38a7-8f4f-1d4ea8380d42&quot;,&quot;title&quot;:&quot;Estimation of country-specific and global prevalence of male circumcision&quot;,&quot;author&quot;:[{&quot;family&quot;:&quot;Morris&quot;,&quot;given&quot;:&quot;Brian J&quot;,&quot;parse-names&quot;:false,&quot;dropping-particle&quot;:&quot;&quot;,&quot;non-dropping-particle&quot;:&quot;&quot;},{&quot;family&quot;:&quot;Wamai&quot;,&quot;given&quot;:&quot;Richard G&quot;,&quot;parse-names&quot;:false,&quot;dropping-particle&quot;:&quot;&quot;,&quot;non-dropping-particle&quot;:&quot;&quot;},{&quot;family&quot;:&quot;Henebeng&quot;,&quot;given&quot;:&quot;Esther B&quot;,&quot;parse-names&quot;:false,&quot;dropping-particle&quot;:&quot;&quot;,&quot;non-dropping-particle&quot;:&quot;&quot;},{&quot;family&quot;:&quot;Tobian&quot;,&quot;given&quot;:&quot;Aaron A R&quot;,&quot;parse-names&quot;:false,&quot;dropping-particle&quot;:&quot;&quot;,&quot;non-dropping-particle&quot;:&quot;&quot;},{&quot;family&quot;:&quot;Klausner&quot;,&quot;given&quot;:&quot;Jeffrey D&quot;,&quot;parse-names&quot;:false,&quot;dropping-particle&quot;:&quot;&quot;,&quot;non-dropping-particle&quot;:&quot;&quot;},{&quot;family&quot;:&quot;Banerjee&quot;,&quot;given&quot;:&quot;Joya&quot;,&quot;parse-names&quot;:false,&quot;dropping-particle&quot;:&quot;&quot;,&quot;non-dropping-particle&quot;:&quot;&quot;},{&quot;family&quot;:&quot;Hankins&quot;,&quot;given&quot;:&quot;Catherine A&quot;,&quot;parse-names&quot;:false,&quot;dropping-particle&quot;:&quot;&quot;,&quot;non-dropping-particle&quot;:&quot;&quot;}],&quot;container-title&quot;:&quot;Population Health Metrics&quot;,&quot;container-title-short&quot;:&quot;Popul. Health Metr.&quot;,&quot;DOI&quot;:&quot;10.1186/s12963-016-0073-5&quot;,&quot;ISSN&quot;:&quot;1478-7954&quot;,&quot;URL&quot;:&quot;https://doi.org/10.1186/s12963-016-0073-5&quot;,&quot;issued&quot;:{&quot;date-parts&quot;:[[2016]]},&quot;page&quot;:&quot;4&quot;,&quot;abstract&quot;:&quot;Male circumcision (MC) status and genital infection risk are interlinked and MC is now part of HIV prevention programs worldwide. Current MC prevalence is not known for all countries globally. Our aim was to provide estimates for country-specific and global MC prevalence.&quot;,&quot;issue&quot;:&quot;1&quot;,&quot;volume&quot;:&quot;14&quot;},&quot;isTemporary&quot;:false}]},{&quot;citationID&quot;:&quot;MENDELEY_CITATION_da83ea06-7588-4804-99ad-1a68246a2900&quot;,&quot;properties&quot;:{&quot;noteIndex&quot;:0},&quot;isEdited&quot;:false,&quot;manualOverride&quot;:{&quot;isManuallyOverridden&quot;:false,&quot;citeprocText&quot;:&quot;(Brook, 2016; Krill et al., 2011; Weiss et al., 2010)&quot;,&quot;manualOverrideText&quot;:&quot;&quot;},&quot;citationTag&quot;:&quot;MENDELEY_CITATION_v3_eyJjaXRhdGlvbklEIjoiTUVOREVMRVlfQ0lUQVRJT05fZGE4M2VhMDYtNzU4OC00ODA0LTk5YWQtMWE2ODI0NmEyOTAw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quot;,&quot;citationItems&quot;:[{&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id&quot;:&quot;1e7daa48-42ac-325a-ad09-185375442962&quot;,&quot;itemData&quot;:{&quot;type&quot;:&quot;article-journal&quot;,&quot;id&quot;:&quot;1e7daa48-42ac-325a-ad09-185375442962&quot;,&quot;title&quot;:&quot;Complications of Circumcision&quot;,&quot;author&quot;:[{&quot;family&quot;:&quot;Krill&quot;,&quot;given&quot;:&quot;Aaron J&quot;,&quot;parse-names&quot;:false,&quot;dropping-particle&quot;:&quot;&quot;,&quot;non-dropping-particle&quot;:&quot;&quot;},{&quot;family&quot;:&quot;Palmer&quot;,&quot;given&quot;:&quot;Lane S&quot;,&quot;parse-names&quot;:false,&quot;dropping-particle&quot;:&quot;&quot;,&quot;non-dropping-particle&quot;:&quot;&quot;},{&quot;family&quot;:&quot;Palmer&quot;,&quot;given&quot;:&quot;Jeffrey S&quot;,&quot;parse-names&quot;:false,&quot;dropping-particle&quot;:&quot;&quot;,&quot;non-dropping-particle&quot;:&quot;&quot;}],&quot;container-title&quot;:&quot;The Scientific World Journal&quot;,&quot;DOI&quot;:&quot;https://doi.org/10.1100/2011/373829&quot;,&quot;ISSN&quot;:&quot;2356-6140&quot;,&quot;URL&quot;:&quot;https://doi.org/10.1100/2011/373829&quot;,&quot;issued&quot;:{&quot;date-parts&quot;:[[2011,1,1]]},&quot;page&quot;:&quot;373829&quot;,&quot;abstract&quot;:&quot;In the United States, circumcision is a commonly performed procedure. It is a relatively safe procedure with a low overall complication rate. Most complications are minor and can be managed easily. Though uncommon, complications of circumcision do represent a significant percentage of cases seen by pediatric urologists. Often they require surgical correction that results in a significant cost to the health care system. Severe complications are quite rare, but death has been reported as a result in some cases. A thorough and complete preoperative evaluation, focusing on bleeding history and birth history, is imperative. Proper selection of patients based on age and anatomic considerations as well as proper sterile surgical technique are critical to prevent future circumcision-related adverse events.&quot;,&quot;publisher&quot;:&quot;John Wiley &amp; Sons, Ltd&quot;,&quot;issue&quot;:&quot;1&quot;,&quot;volume&quot;:&quot;11&quot;},&quot;isTemporary&quot;:false},{&quot;id&quot;:&quot;bacd67a5-1c5c-3d4f-be59-df1efd410557&quot;,&quot;itemData&quot;:{&quot;type&quot;:&quot;article-journal&quot;,&quot;id&quot;:&quot;bacd67a5-1c5c-3d4f-be59-df1efd410557&quot;,&quot;title&quot;:&quot;Infectious Complications of Circumcision and Their Prevention&quot;,&quot;author&quot;:[{&quot;family&quot;:&quot;Brook&quot;,&quot;given&quot;:&quot;Itzhak&quot;,&quot;parse-names&quot;:false,&quot;dropping-particle&quot;:&quot;&quot;,&quot;non-dropping-particle&quot;:&quot;&quot;}],&quot;container-title&quot;:&quot;European Urology Focus&quot;,&quot;container-title-short&quot;:&quot;Eur. Urol. Focus&quot;,&quot;DOI&quot;:&quot;https://doi.org/10.1016/j.euf.2016.01.013&quot;,&quot;ISSN&quot;:&quot;2405-4569&quot;,&quot;URL&quot;:&quot;https://www.sciencedirect.com/science/article/pii/S2405456916000146&quot;,&quot;issued&quot;:{&quot;date-parts&quot;:[[2016]]},&quot;page&quot;:&quot;453-459&quot;,&quot;abstract&quot;:&quot;Context\nA growing body of evidence supports the health benefits of circumcision, but the occurrence of infectious complications is of concern.\nObjective\nTo review literature presenting past data and studies of infectious complications of circumcision and their prevention.\nEvidence acquisition\nA literature search was conducted of the Cochrane Library, Embase, Turning Research into Practice, PubMed, and Medline databases from their inception through June 25, 2015. Results were closely evaluated, and articles and documents that were not pertinent or redundant were excluded.\nEvidence synthesis\nAlthough uncommon, local, systemic, and toxin-related infectious complications of circumcision represent a significant clinical problem. In general, untrained providers create more infectious and noninfectious complications when performing male circumcision than do well-trained providers, regardless of whether they are physicians, nurses, or traditional religious providers. Local complications include staphylococcal and streptococcal infections, cellulitis, impetigo, pyoderma, necrotizing fasciitis, scalded skin syndrome (staphylococcal), Fournier gangrene, glanular necrosis, scrotal abscess, and peritonitis. Ritual circumcision is rarely associated with acquisition of tuberculosis, diphtheria, or herpes virus. Systemic infectious complications include bacteremia, wound sepsis, and meningitis. Circumcision has also been associated with neonatal and adult tetanus.\nConclusions\nInfectious complications following circumcision should be reduced with trained and competent practitioners performing the procedure using sterile techniques.\nPatient summary\nComplications of circumcision represent a significant problem. Male circumcision should be performed by trained, competent practitioners using sterile techniques and effective pain management.&quot;,&quot;issue&quot;:&quot;4&quot;,&quot;volume&quot;:&quot;2&quot;},&quot;isTemporary&quot;:false}]},{&quot;citationID&quot;:&quot;MENDELEY_CITATION_599625fb-4be0-4238-8d66-4c95e8946883&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quot;,&quot;citationItems&quot;:[{&quot;id&quot;:&quot;9f278a6d-434b-3662-a9b3-9310fd9790b2&quot;,&quot;itemData&quot;:{&quot;type&quot;:&quot;article-journal&quot;,&quot;id&quot;:&quot;9f278a6d-434b-3662-a9b3-9310fd9790b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The BMJ&quot;,&quot;DOI&quot;:&quot;10.1136/bmj.n71&quot;,&quot;ISSN&quot;:&quot;17561833&quot;,&quot;PMID&quot;:&quot;33782057&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quot;,&quot;publisher&quot;:&quot;BMJ Publishing Group&quot;,&quot;volume&quot;:&quot;372&quot;,&quot;container-title-short&quot;:&quot;&quot;},&quot;isTemporary&quot;:false}]},{&quot;citationID&quot;:&quot;MENDELEY_CITATION_401b5820-cb95-454f-99fe-332f330f9e15&quot;,&quot;properties&quot;:{&quot;noteIndex&quot;:0},&quot;isEdited&quot;:false,&quot;manualOverride&quot;:{&quot;isManuallyOverridden&quot;:false,&quot;citeprocText&quot;:&quot;(Ceylan et al., 2007)&quot;,&quot;manualOverrideText&quot;:&quot;&quot;},&quot;citationItems&quot;:[{&quot;id&quot;:&quot;9053cce0-fd85-3faf-bcd3-1921f360f0e8&quot;,&quot;itemData&quot;:{&quot;type&quot;:&quot;article-journal&quot;,&quot;id&quot;:&quot;9053cce0-fd85-3faf-bcd3-1921f360f0e8&quot;,&quot;title&quot;:&quot;Severe complications of circumcision: An analysis of 48 cases&quot;,&quot;author&quot;:[{&quot;family&quot;:&quot;Ceylan&quot;,&quot;given&quot;:&quot;Kadir&quot;,&quot;parse-names&quot;:false,&quot;dropping-particle&quot;:&quot;&quot;,&quot;non-dropping-particle&quot;:&quot;&quot;},{&quot;family&quot;:&quot;Burhan&quot;,&quot;given&quot;:&quot;Köseoǧlu&quot;,&quot;parse-names&quot;:false,&quot;dropping-particle&quot;:&quot;&quot;,&quot;non-dropping-particle&quot;:&quot;&quot;},{&quot;family&quot;:&quot;Yilmaz&quot;,&quot;given&quot;:&quot;Yüksel&quot;,&quot;parse-names&quot;:false,&quot;dropping-particle&quot;:&quot;&quot;,&quot;non-dropping-particle&quot;:&quot;&quot;},{&quot;family&quot;:&quot;Can&quot;,&quot;given&quot;:&quot;Şaban&quot;,&quot;parse-names&quot;:false,&quot;dropping-particle&quot;:&quot;&quot;,&quot;non-dropping-particle&quot;:&quot;&quot;},{&quot;family&quot;:&quot;Kuş&quot;,&quot;given&quot;:&quot;Alpaslan&quot;,&quot;parse-names&quot;:false,&quot;dropping-particle&quot;:&quot;&quot;,&quot;non-dropping-particle&quot;:&quot;&quot;},{&quot;family&quot;:&quot;Mustafa&quot;,&quot;given&quot;:&quot;Güneş&quot;,&quot;parse-names&quot;:false,&quot;dropping-particle&quot;:&quot;&quot;,&quot;non-dropping-particle&quot;:&quot;&quot;}],&quot;container-title&quot;:&quot;Journal of Pediatric Urology&quot;,&quot;container-title-short&quot;:&quot;J. Pediatr. Urol.&quot;,&quot;DOI&quot;:&quot;10.1016/j.jpurol.2006.02.009&quot;,&quot;ISSN&quot;:&quot;14775131&quot;,&quot;issued&quot;:{&quot;date-parts&quot;:[[2007,2]]},&quot;page&quot;:&quot;32-35&quot;,&quot;abstract&quot;:&quot;Objective: Circumcision is still the most commonly performed surgery in Islamic and Jewish societies. We report the findings of 48 cases referred for serious complications after circumcision that needed secondary surgical interventions. The aim of this study is to emphasize the important problem of circumcision complications. Patients and methods: The 48 cases (mean age 14 years, range 5 months-24 years) with complications of circumcision were reviewed retrospectively. Circumcisions were performed at various medical centers or during religious ceremonies in environments other than health facilities. Results: The most commonly observed complication was preputio-glandular fusion, seen in 25 cases (52%). The other complications were: meatal stenosis in 11 (23%), urethral fistula in five (10.4%), partial glandular amputation in four (8%) and opening distal urethra in three (6%). Adhesion freeing and revision were performed in all cases of preputio-glandular fusion, patients with meatal stenosis underwent meatotomy, urethral fistulae were repaired by simple closure, partial glans amputations were patched with buccal mucosa, and patients with complete open distal urethra were repaired by Mathieu (one patient) and tubularized incised plate urethroplasty techniques. Conclusion: Circumcision may be associated with many serious complications. To prevent these complications, the operation should be performed by educated and experienced personnel. © 2006 Journal of Pediatric Urology Company.&quot;,&quot;issue&quot;:&quot;1&quot;,&quot;volume&quot;:&quot;3&quot;},&quot;isTemporary&quot;:false}],&quot;citationTag&quot;:&quot;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quot;},{&quot;citationID&quot;:&quot;MENDELEY_CITATION_fe687130-1fc6-44cb-9b66-7dddc3c6f047&quot;,&quot;properties&quot;:{&quot;noteIndex&quot;:0},&quot;isEdited&quot;:false,&quot;manualOverride&quot;:{&quot;isManuallyOverridden&quot;:false,&quot;citeprocText&quot;:&quot;(Ahmed et al., 2020)&quot;,&quot;manualOverrideText&quot;:&quot;&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Tag&quot;:&quot;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D&quot;:&quot;MENDELEY_CITATION_228d8b6a-f065-44b9-a1d4-af00a28c03cc&quot;,&quot;properties&quot;:{&quot;noteIndex&quot;:0},&quot;isEdited&quot;:false,&quot;manualOverride&quot;:{&quot;isManuallyOverridden&quot;:false,&quot;citeprocText&quot;:&quot;(Akakpo-Numado et al., 2021)&quot;,&quot;manualOverrideText&quot;:&quot;&quot;},&quot;citationItems&quot;:[{&quot;id&quot;:&quot;0248600b-a855-3524-b6ca-aeacb9f967fa&quot;,&quot;itemData&quot;:{&quot;type&quot;:&quot;article-journal&quot;,&quot;id&quot;:&quot;0248600b-a855-3524-b6ca-aeacb9f967fa&quot;,&quot;title&quot;:&quot;Glans replantation after a penile traumatic amputation during circumcision&quot;,&quot;author&quot;:[{&quot;family&quot;:&quot;Akakpo-Numado&quot;,&quot;given&quot;:&quot;K. G.&quot;,&quot;parse-names&quot;:false,&quot;dropping-particle&quot;:&quot;&quot;,&quot;non-dropping-particle&quot;:&quot;&quot;},{&quot;family&quot;:&quot;Kouevi-Koko&quot;,&quot;given&quot;:&quot;T. E.&quot;,&quot;parse-names&quot;:false,&quot;dropping-particle&quot;:&quot;&quot;,&quot;non-dropping-particle&quot;:&quot;&quot;},{&quot;family&quot;:&quot;Amouzou&quot;,&quot;given&quot;:&quot;K. S.&quot;,&quot;parse-names&quot;:false,&quot;dropping-particle&quot;:&quot;&quot;,&quot;non-dropping-particle&quot;:&quot;&quot;},{&quot;family&quot;:&quot;Dare&quot;,&quot;given&quot;:&quot;S.&quot;,&quot;parse-names&quot;:false,&quot;dropping-particle&quot;:&quot;&quot;,&quot;non-dropping-particle&quot;:&quot;&quot;},{&quot;family&quot;:&quot;Edoh-Bedi&quot;,&quot;given&quot;:&quot;L.&quot;,&quot;parse-names&quot;:false,&quot;dropping-particle&quot;:&quot;&quot;,&quot;non-dropping-particle&quot;:&quot;&quot;},{&quot;family&quot;:&quot;Tengue&quot;,&quot;given&quot;:&quot;K.&quot;,&quot;parse-names&quot;:false,&quot;dropping-particle&quot;:&quot;&quot;,&quot;non-dropping-particle&quot;:&quot;&quot;}],&quot;container-title&quot;:&quot;Journal of Pediatric Surgery Case Reports&quot;,&quot;container-title-short&quot;:&quot;J. Pediatr. Surg. Case Rep.&quot;,&quot;DOI&quot;:&quot;10.1016/j.epsc.2021.102100&quot;,&quot;ISSN&quot;:&quot;22135766&quot;,&quot;issued&quot;:{&quot;date-parts&quot;:[[2021,12,1]]},&quot;abstract&quot;:&quot;Traumatic amputation of the penis is a rare but disabling condition that can occur during self-inflicted injury, felonious assault, accidental trauma, or circumcision. This report aims to access the cosmetic and functional results of a penile replantation without micro-anastomosis after a penile traumatic amputation during circumcision in a limited resource setting. A one-year-old child presented penile amputation located at 2mm below the neck of the glans penis during circumcision. We admitted the child to the theatre of the Campus Teaching Hospital of Lomé (Togo) 3 h after the trauma. Under general anaesthesia, we performed an end-to-end urethra, corpus spongiosum, corpora cavernosa, and skin to mucosa anastomosis. We positioned a Foley catheter for 12 days and established an anticoagulation treatment for a week. During the postoperative course, there was progressive necrosis of the skin and the glans mucosa. We performed debridement. The glans and corpora cavernosa were viable. Non-microsurgical anastomosis of the glans showed to preserve the cosmetic and genital function of the victim.&quot;,&quot;publisher&quot;:&quot;Elsevier Inc.&quot;,&quot;volume&quot;:&quot;75&quot;},&quot;isTemporary&quot;:false}],&quot;citationTag&quot;:&quot;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quot;},{&quot;citationID&quot;:&quot;MENDELEY_CITATION_83796f21-a757-4e06-a0ee-4d94ab831add&quot;,&quot;properties&quot;:{&quot;noteIndex&quot;:0},&quot;isEdited&quot;:false,&quot;manualOverride&quot;:{&quot;isManuallyOverridden&quot;:false,&quot;citeprocText&quot;:&quot;(Andaloussi et al., 2025)&quot;,&quot;manualOverrideText&quot;:&quot;&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citationTag&quot;:&quot;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quot;},{&quot;citationID&quot;:&quot;MENDELEY_CITATION_edb6a05f-b760-4df1-8472-f1a3464bdb31&quot;,&quot;properties&quot;:{&quot;noteIndex&quot;:0},&quot;isEdited&quot;:false,&quot;manualOverride&quot;:{&quot;isManuallyOverridden&quot;:false,&quot;citeprocText&quot;:&quot;(Ayalew et al., 2025)&quot;,&quot;manualOverrideText&quot;:&quot;&quot;},&quot;citationItems&quot;:[{&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Tag&quot;:&quot;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D&quot;:&quot;MENDELEY_CITATION_577884a4-7d64-4b9b-9f21-5bf131c39050&quot;,&quot;properties&quot;:{&quot;noteIndex&quot;:0},&quot;isEdited&quot;:false,&quot;manualOverride&quot;:{&quot;isManuallyOverridden&quot;:false,&quot;citeprocText&quot;:&quot;(Banihani et al., 2014)&quot;,&quot;manualOverrideText&quot;:&quot;&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Tag&quot;:&quot;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D&quot;:&quot;MENDELEY_CITATION_76e42bd7-ded8-4f2a-bd32-379ba48b849e&quot;,&quot;properties&quot;:{&quot;noteIndex&quot;:0},&quot;isEdited&quot;:false,&quot;manualOverride&quot;:{&quot;isManuallyOverridden&quot;:false,&quot;citeprocText&quot;:&quot;(Elmi et al., 2026)&quot;,&quot;manualOverrideText&quot;:&quot;&quot;},&quot;citationItems&quot;:[{&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citationTag&quot;:&quot;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quot;},{&quot;citationID&quot;:&quot;MENDELEY_CITATION_dd4c3443-1853-4af3-a9db-8909d96b8c92&quot;,&quot;properties&quot;:{&quot;noteIndex&quot;:0},&quot;isEdited&quot;:false,&quot;manualOverride&quot;:{&quot;isManuallyOverridden&quot;:false,&quot;citeprocText&quot;:&quot;(Garrido-Abad &amp;#38; Suarez-Fonseca, 2015)&quot;,&quot;manualOverrideText&quot;:&quot;&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Tag&quot;:&quot;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D&quot;:&quot;MENDELEY_CITATION_f9c529b8-aa34-4200-a33d-b6fb06bfd2d9&quot;,&quot;properties&quot;:{&quot;noteIndex&quot;:0},&quot;isEdited&quot;:false,&quot;manualOverride&quot;:{&quot;isManuallyOverridden&quot;:false,&quot;citeprocText&quot;:&quot;(M. B. I. Hakim et al., 2023)&quot;,&quot;manualOverrideText&quot;:&quot;&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Tag&quot;:&quot;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D&quot;:&quot;MENDELEY_CITATION_1f29a167-46c9-4de2-9232-3fd767e2eb15&quot;,&quot;properties&quot;:{&quot;noteIndex&quot;:0},&quot;isEdited&quot;:false,&quot;manualOverride&quot;:{&quot;isManuallyOverridden&quot;:false,&quot;citeprocText&quot;:&quot;(Lucas et al., 2020)&quot;,&quot;manualOverrideText&quot;:&quot;&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Tag&quot;:&quot;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D&quot;:&quot;MENDELEY_CITATION_edb2e039-5705-47de-825b-de42e585ae39&quot;,&quot;properties&quot;:{&quot;noteIndex&quot;:0},&quot;isEdited&quot;:false,&quot;manualOverride&quot;:{&quot;isManuallyOverridden&quot;:false,&quot;citeprocText&quot;:&quot;(Nafatalewa et al., 2022)&quot;,&quot;manualOverrideText&quot;:&quot;&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citationTag&quot;:&quot;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quot;},{&quot;citationID&quot;:&quot;MENDELEY_CITATION_c57bbedf-210f-45e8-9929-da0a9f8e1a1b&quot;,&quot;properties&quot;:{&quot;noteIndex&quot;:0},&quot;isEdited&quot;:false,&quot;manualOverride&quot;:{&quot;isManuallyOverridden&quot;:false,&quot;citeprocText&quot;:&quot;(Soltani et al., 2020)&quot;,&quot;manualOverrideText&quot;:&quot;&quot;},&quot;citationItems&quot;:[{&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Tag&quot;:&quot;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D&quot;:&quot;MENDELEY_CITATION_497cb5da-47d1-43aa-b96a-83349e702ea5&quot;,&quot;properties&quot;:{&quot;noteIndex&quot;:0},&quot;isEdited&quot;:false,&quot;manualOverride&quot;:{&quot;isManuallyOverridden&quot;:false,&quot;citeprocText&quot;:&quot;(Shah &amp;#38; Shah, 2023)&quot;,&quot;manualOverrideText&quot;:&quot;&quot;},&quot;citationItems&quot;:[{&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Tag&quot;:&quot;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quot;},{&quot;citationID&quot;:&quot;MENDELEY_CITATION_719dc604-4eb1-4831-983d-dc87b628ef4f&quot;,&quot;properties&quot;:{&quot;noteIndex&quot;:0},&quot;isEdited&quot;:false,&quot;manualOverride&quot;:{&quot;isManuallyOverridden&quot;:false,&quot;citeprocText&quot;:&quot;(Sharma et al., 2022)&quot;,&quot;manualOverrideText&quot;:&quot;&quot;},&quot;citationItems&quot;:[{&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citationTag&quot;:&quot;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quot;},{&quot;citationID&quot;:&quot;MENDELEY_CITATION_ef48085e-f658-45b7-bc68-ad0470241490&quot;,&quot;properties&quot;:{&quot;noteIndex&quot;:0},&quot;isEdited&quot;:false,&quot;manualOverride&quot;:{&quot;isManuallyOverridden&quot;:false,&quot;citeprocText&quot;:&quot;(Sow et al., 2022)&quot;,&quot;manualOverrideText&quot;:&quot;&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Tag&quot;:&quot;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D&quot;:&quot;MENDELEY_CITATION_d66dfbe2-2fb0-4ce6-830d-8ccd596868c8&quot;,&quot;properties&quot;:{&quot;noteIndex&quot;:0},&quot;isEdited&quot;:false,&quot;manualOverride&quot;:{&quot;isManuallyOverridden&quot;:false,&quot;citeprocText&quot;:&quot;(Tanyi et al., 2023)&quot;,&quot;manualOverrideText&quot;:&quot;&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Tag&quot;:&quot;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D&quot;:&quot;MENDELEY_CITATION_b478c49d-89ab-4ef5-91b7-7bfb715c9ab7&quot;,&quot;properties&quot;:{&quot;noteIndex&quot;:0},&quot;isEdited&quot;:false,&quot;manualOverride&quot;:{&quot;isManuallyOverridden&quot;:false,&quot;citeprocText&quot;:&quot;(Tasci et al., 2020)&quot;,&quot;manualOverrideText&quot;:&quot;&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Tag&quot;:&quot;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D&quot;:&quot;MENDELEY_CITATION_350e60cb-1bc1-464b-88e3-5be0c06cbba2&quot;,&quot;properties&quot;:{&quot;noteIndex&quot;:0},&quot;isEdited&quot;:false,&quot;manualOverride&quot;:{&quot;isManuallyOverridden&quot;:false,&quot;citeprocText&quot;:&quot;(Uzun et al., 2012)&quot;,&quot;manualOverrideText&quot;:&quot;&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citationTag&quot;:&quot;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quot;},{&quot;citationID&quot;:&quot;MENDELEY_CITATION_68c43f05-2f9c-4b2c-a1d5-9d3ff616a179&quot;,&quot;properties&quot;:{&quot;noteIndex&quot;:0},&quot;isEdited&quot;:false,&quot;manualOverride&quot;:{&quot;isManuallyOverridden&quot;:false,&quot;citeprocText&quot;:&quot;(Satyagraha et al., 2020)&quot;,&quot;manualOverrideText&quot;:&quot;&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Tag&quot;:&quot;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D&quot;:&quot;MENDELEY_CITATION_5ee8b1f9-84ea-46f5-88e5-c4096fb2b536&quot;,&quot;properties&quot;:{&quot;noteIndex&quot;:0},&quot;isEdited&quot;:false,&quot;manualOverride&quot;:{&quot;isManuallyOverridden&quot;:false,&quot;citeprocText&quot;:&quot;(Pepe et al., 2015)&quot;,&quot;manualOverrideText&quot;:&quot;&quot;},&quot;citationItems&quot;:[{&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Tag&quot;:&quot;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D&quot;:&quot;MENDELEY_CITATION_0f0492ee-bba1-4901-9bc1-0ef3defc7cd3&quot;,&quot;properties&quot;:{&quot;noteIndex&quot;:0},&quot;isEdited&quot;:false,&quot;manualOverride&quot;:{&quot;isManuallyOverridden&quot;:false,&quot;citeprocText&quot;:&quot;(Ahmed et al., 2020; Ayalew et al., 2025; Elmi et al., 2026; M. B. I. Hakim et al., 2023; Lucas et al., 2020)&quot;,&quot;manualOverrideText&quot;:&quot;&quot;},&quot;citationTag&quot;:&quot;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19e61a0a-d8e2-4211-a3f7-90dfefbbfa0f&quot;,&quot;properties&quot;:{&quot;noteIndex&quot;:0},&quot;isEdited&quot;:false,&quot;manualOverride&quot;:{&quot;isManuallyOverridden&quot;:false,&quot;citeprocText&quot;:&quot;(Sow et al., 2022; Tanyi et al., 2023)&quot;,&quot;manualOverrideText&quot;:&quot;&quot;},&quot;citationTag&quot;:&quot;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baf240cc-2d3f-407c-957b-58d8ad3a2b52&quot;,&quot;properties&quot;:{&quot;noteIndex&quot;:0},&quot;isEdited&quot;:false,&quot;manualOverride&quot;:{&quot;isManuallyOverridden&quot;:false,&quot;citeprocText&quot;:&quot;(Garrido-Abad &amp;#38; Suarez-Fonseca, 2015; Pepe et al., 2015; Soltani et al., 2020; Tasci et al., 2020)&quot;,&quot;manualOverrideText&quot;:&quot;&quot;},&quot;citationTag&quot;:&quot;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91b27ed-04f7-4d0b-86e1-14b9faace69a&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62283f7-3930-460e-bff5-039099ae2d27&quot;,&quot;properties&quot;:{&quot;noteIndex&quot;:0},&quot;isEdited&quot;:false,&quot;manualOverride&quot;:{&quot;isManuallyOverridden&quot;:false,&quot;citeprocText&quot;:&quot;(Banihani et al., 2014; Shah &amp;#38; Shah, 2023; Sharma et al., 2022)&quot;,&quot;manualOverrideText&quot;:&quot;&quot;},&quot;citationTag&quot;:&quot;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106241c0-d27f-462c-8d0f-c73149dbe31d&quot;,&quot;properties&quot;:{&quot;noteIndex&quot;:0},&quot;isEdited&quot;:false,&quot;manualOverride&quot;:{&quot;isManuallyOverridden&quot;:false,&quot;citeprocText&quot;:&quot;(Nafatalewa et al., 2022; Sharma et al., 2022; Soltani et al., 2020; Sow et al., 2022)&quot;,&quot;manualOverrideText&quot;:&quot;&quot;},&quot;citationTag&quot;:&quot;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7ef6d997-5a70-487b-9b13-2b01e29fb1f0&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cd42eb79-9284-4c02-8e89-de56346754eb&quot;,&quot;properties&quot;:{&quot;noteIndex&quot;:0},&quot;isEdited&quot;:false,&quot;manualOverride&quot;:{&quot;isManuallyOverridden&quot;:false,&quot;citeprocText&quot;:&quot;(Andaloussi et al., 2025; Ayalew et al., 2025; Banihani et al., 2014)&quot;,&quot;manualOverrideText&quot;:&quot;&quot;},&quot;citationTag&quot;:&quot;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e2df7d51-796d-47fa-b5d9-24e8ad32583d&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5b3118f5-41f2-4c0f-a0d5-afc39e20b4ef&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9e477e3-ef28-48b4-a96d-4d7f0348f48d&quot;,&quot;properties&quot;:{&quot;noteIndex&quot;:0},&quot;isEdited&quot;:false,&quot;manualOverride&quot;:{&quot;isManuallyOverridden&quot;:false,&quot;citeprocText&quot;:&quot;(Garrido-Abad &amp;#38; Suarez-Fonseca, 2015; Pepe et al., 2015; Uzun et al., 2012)&quot;,&quot;manualOverrideText&quot;:&quot;&quot;},&quot;citationTag&quot;:&quot;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23c27dbd-d558-4f25-a586-0cb5ce4d568e&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b95c4b9-1cb6-4fbb-9980-39da803ce106&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f7f2181e-6d60-4e84-a26b-fe24fb5fda46&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91b98ab6-a013-4e59-99c6-57fcd204e0c1&quot;,&quot;properties&quot;:{&quot;noteIndex&quot;:0},&quot;isEdited&quot;:false,&quot;manualOverride&quot;:{&quot;isManuallyOverridden&quot;:false,&quot;citeprocText&quot;:&quot;(Ahmed et al., 2020; Andaloussi et al., 2025; Ayalew et al., 2025; Tanyi et al., 2023)&quot;,&quot;manualOverrideText&quot;:&quot;&quot;},&quot;citationTag&quot;:&quot;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ae74fb1-be9a-43dd-b54c-2ce948b714f5&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ab66de89-fcbb-4760-9658-33372929ce34&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7fc73b8-ab37-417c-bd1c-24aac8c02205&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f667117-ef46-4eb0-9a6f-edae14bdfec2&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1bcabe4a-87f3-4109-aa0c-faaebd886fb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b496d5e-6cd2-4118-8d15-b9ae538d84cc&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39f6da6-a81d-4db4-bc2b-bb63ebb9d8d2&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8e6e678-4c7c-49d3-90a3-c2127c91bcf1&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6aa96f8c-a5bd-4d3f-8dd5-4c8d59b73830&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269b59df-c020-436d-b46a-422621735173&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fc528f1-0dcc-4f61-8622-858e9e4eb28b&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a5cb39e3-9123-4f67-a4f3-b4b97a6892a1&quot;,&quot;properties&quot;:{&quot;noteIndex&quot;:0},&quot;isEdited&quot;:false,&quot;manualOverride&quot;:{&quot;isManuallyOverridden&quot;:false,&quot;citeprocText&quot;:&quot;(Andaloussi et al., 2025; Ayalew et al., 2025)&quot;,&quot;manualOverrideText&quot;:&quot;&quot;},&quot;citationTag&quot;:&quot;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2d7afeb2-ea3e-4ea2-84f2-30163c82a9a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592dbc02-68cd-4beb-a192-50b0bb8c6313&quot;,&quot;properties&quot;:{&quot;noteIndex&quot;:0},&quot;isEdited&quot;:false,&quot;manualOverride&quot;:{&quot;isManuallyOverridden&quot;:false,&quot;citeprocText&quot;:&quot;(Nurhayani et al., 2021; Pane &amp;#38; Suminar, 2023; Sahari, 2022)&quot;,&quot;manualOverrideText&quot;:&quot;&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isTemporary&quot;:false}],&quot;citationTag&quot;:&quot;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n0sImlzVGVtcG9yYXJ5IjpmYWxzZX1dfQ==&quot;},{&quot;citationID&quot;:&quot;MENDELEY_CITATION_ca04a82e-86f9-4d0f-9059-3c79df1b7982&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13f3f8be-31a4-4cc9-8283-85693df2911e&quot;,&quot;properties&quot;:{&quot;noteIndex&quot;:0},&quot;isEdited&quot;:false,&quot;manualOverride&quot;:{&quot;isManuallyOverridden&quot;:false,&quot;citeprocText&quot;:&quot;(L. Hakim et al., 2025; Nurhayani et al., 2021; Tri Wulandari et al., 2024)&quot;,&quot;manualOverrideText&quot;:&quot;&quot;},&quot;citationTag&quot;:&quot;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eea0aa39-2fe0-33fe-adb5-72d83d75e7bb&quot;,&quot;itemData&quot;:{&quot;type&quot;:&quot;article-journal&quot;,&quot;id&quot;:&quot;eea0aa39-2fe0-33fe-adb5-72d83d75e7bb&quot;,&quot;title&quot;:&quot;Pertanggungjawaban Tindak Pidana Malpraktik Sirkumsisi pada Praktik Mandiri&quot;,&quot;author&quot;:[{&quot;family&quot;:&quot;Hakim&quot;,&quot;given&quot;:&quot;Lukman&quot;,&quot;parse-names&quot;:false,&quot;dropping-particle&quot;:&quot;&quot;,&quot;non-dropping-particle&quot;:&quot;&quot;},{&quot;family&quot;:&quot;Soekorini&quot;,&quot;given&quot;:&quot;Noenik&quot;,&quot;parse-names&quot;:false,&quot;dropping-particle&quot;:&quot;&quot;,&quot;non-dropping-particle&quot;:&quot;&quot;},{&quot;family&quot;:&quot;Astutik&quot;,&quot;given&quot;:&quot;Sri&quot;,&quot;parse-names&quot;:false,&quot;dropping-particle&quot;:&quot;&quot;,&quot;non-dropping-particle&quot;:&quot;&quot;}],&quot;container-title&quot;:&quot;COURT REVIEW: Jurnal Penelitian Hukum&quot;,&quot;issued&quot;:{&quot;date-parts&quot;:[[2025,7,4]]},&quot;page&quot;:&quot;155-165&quot;,&quot;issue&quot;:&quot;4&quot;,&quot;volume&quot;:&quot;5&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660262b2-2d00-417e-bc36-52b985a25b8b&quot;,&quot;properties&quot;:{&quot;noteIndex&quot;:0},&quot;isEdited&quot;:false,&quot;manualOverride&quot;:{&quot;isManuallyOverridden&quot;:false,&quot;citeprocText&quot;:&quot;(Li et al., 2022; Sahari, 2022)&quot;,&quot;manualOverrideText&quot;:&quot;&quot;},&quot;citationTag&quot;:&quot;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358d6177-8891-40df-9443-9b85951b525c&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2dd86f6d-6613-4928-acd3-12ce6c5132bc&quot;,&quot;properties&quot;:{&quot;noteIndex&quot;:0},&quot;isEdited&quot;:false,&quot;manualOverride&quot;:{&quot;isManuallyOverridden&quot;:false,&quot;citeprocText&quot;:&quot;(Nurhayani et al., 2021; Pane &amp;#38; Suminar, 2023; Sahari, 2022; Tri Wulandari et al., 2024)&quot;,&quot;manualOverrideText&quot;:&quot;&quot;},&quot;citationTag&quot;:&quot;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bfd78aac-48a7-4ff0-b9ce-5d07bf82becb&quot;,&quot;properties&quot;:{&quot;noteIndex&quot;:0},&quot;isEdited&quot;:false,&quot;manualOverride&quot;:{&quot;isManuallyOverridden&quot;:false,&quot;citeprocText&quot;:&quot;(Iacob et al., 2022; Weiss et al., 2010)&quot;,&quot;manualOverrideText&quot;:&quot;&quot;},&quot;citationTag&quot;:&quot;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quot;,&quot;citationItems&quot;:[{&quot;id&quot;:&quot;fa8d6b9d-4769-3ade-b420-2f6d8555c255&quot;,&quot;itemData&quot;:{&quot;type&quot;:&quot;article-journal&quot;,&quot;id&quot;:&quot;fa8d6b9d-4769-3ade-b420-2f6d8555c255&quot;,&quot;title&quot;:&quot;Systematic review of complications arising from male circumcision&quot;,&quot;author&quot;:[{&quot;family&quot;:&quot;Iacob&quot;,&quot;given&quot;:&quot;Stanca Iris&quot;,&quot;parse-names&quot;:false,&quot;dropping-particle&quot;:&quot;&quot;,&quot;non-dropping-particle&quot;:&quot;&quot;},{&quot;family&quot;:&quot;Feinn&quot;,&quot;given&quot;:&quot;Richard S&quot;,&quot;parse-names&quot;:false,&quot;dropping-particle&quot;:&quot;&quot;,&quot;non-dropping-particle&quot;:&quot;&quot;},{&quot;family&quot;:&quot;Sardi&quot;,&quot;given&quot;:&quot;Lauren&quot;,&quot;parse-names&quot;:false,&quot;dropping-particle&quot;:&quot;&quot;,&quot;non-dropping-particle&quot;:&quot;&quot;}],&quot;container-title&quot;:&quot;BJUI Compass&quot;,&quot;container-title-short&quot;:&quot;BJUI Compass&quot;,&quot;DOI&quot;:&quot;https://doi.org/10.1002/bco2.123&quot;,&quot;URL&quot;:&quot;https://doi.org/10.1002/bco2.123&quot;,&quot;issued&quot;:{&quot;date-parts&quot;:[[2022,3,1]]},&quot;page&quot;:&quot;99-123&quot;,&quot;abstract&quot;:&quot;Abstract Background Neonatal male circumcision is the most common procedure performed on paediatric patients (Simpson et al., 2014) and one of the most common surgical procedures in the world (American Academy of Pediatrics, 2012). Methods A search was conducted for articles about complications arising from male circumcision surgeries by entering the term ?male circumcision? into PubMed on June 16, 2020. Six thousand six hundred forty-one articles published from 1945 to 2020 were found. Seventy-eight articles were ultimately selected for the systematic review. Results The 78 articles selected from the literature search were entered into one of three tables. The first table includes 15 articles pertaining to chart reviews and cohort studies and report complication rates. The second table reports specific complications from 51 case reports and case series, and the third table is a summary from 12 articles regarding physician questionnaires and society recommendations. Additionally, the 78 articles were used to compile a list of 47 specific complications arising from male circumcision surgeries. Conclusions Complications from neonatal male circumcisions are common and healthcare providers need to be better informed of the potential complications of the surgery so that they can more effectively counsel their patients about potential risks, likelihood of complications and what can be done to prevent them. While experienced providers who practice in sterile settings have better outcomes with fewer complications, encouraging parents to take into account who is performing their son's circumcision, what was their training, how clean is their practice and how much experience they have and reminding them they have the option to decline the procedure entirely allow the parents to get a more complete picture and play an essential role in the decision-making process.&quot;,&quot;publisher&quot;:&quot;John Wiley &amp; Sons, Ltd&quot;,&quot;issue&quot;:&quot;2&quot;,&quot;volume&quot;:&quot;3&quot;},&quot;isTemporary&quot;:false},{&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citationID&quot;:&quot;MENDELEY_CITATION_5638d69c-9f8d-4eb7-b3c8-f69055dd9370&quot;,&quot;properties&quot;:{&quot;noteIndex&quot;:0},&quot;isEdited&quot;:false,&quot;manualOverride&quot;:{&quot;isManuallyOverridden&quot;:false,&quot;citeprocText&quot;:&quot;(Nafatalewa et al., 2022; Sharma et al., 2022; Tanyi et al., 2023)&quot;,&quot;manualOverrideText&quot;:&quot;&quot;},&quot;citationTag&quot;:&quot;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ae159d0-6539-4a03-a7d1-1a29b2facd02&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21e3e39b-a0c1-43d3-bb9d-161a20797a0b&quot;,&quot;properties&quot;:{&quot;noteIndex&quot;:0},&quot;isEdited&quot;:false,&quot;manualOverride&quot;:{&quot;isManuallyOverridden&quot;:false,&quot;citeprocText&quot;:&quot;(Garrido-Abad &amp;#38; Suarez-Fonseca, 2015; Pepe et al., 2015; Tasci et al., 2020)&quot;,&quot;manualOverrideText&quot;:&quot;&quot;},&quot;citationTag&quot;:&quot;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9c25705-a696-4d0d-a885-20315b8720cd&quot;,&quot;properties&quot;:{&quot;noteIndex&quot;:0},&quot;isEdited&quot;:false,&quot;manualOverride&quot;:{&quot;isManuallyOverridden&quot;:false,&quot;citeprocText&quot;:&quot;(Chen et al., 2023; Earp et al., 2018; Gologram et al., 2022; Hung et al., 2019; Kim et al., 2019)&quot;,&quot;manualOverrideText&quot;:&quot;&quot;},&quot;citationTag&quot;:&quot;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quot;,&quot;citationItems&quot;:[{&quot;id&quot;:&quot;e5374146-666c-3f76-8cbf-735486d3610b&quot;,&quot;itemData&quot;:{&quot;type&quot;:&quot;article-journal&quot;,&quot;id&quot;:&quot;e5374146-666c-3f76-8cbf-735486d3610b&quot;,&quot;title&quot;:&quot;Assessment of risk factors for surgical complications in neonatal circumcision clinic&quot;,&quot;author&quot;:[{&quot;family&quot;:&quot;Kim&quot;,&quot;given&quot;:&quot;Jin K.&quot;,&quot;parse-names&quot;:false,&quot;dropping-particle&quot;:&quot;&quot;,&quot;non-dropping-particle&quot;:&quot;&quot;},{&quot;family&quot;:&quot;Koyle&quot;,&quot;given&quot;:&quot;Martin A.&quot;,&quot;parse-names&quot;:false,&quot;dropping-particle&quot;:&quot;&quot;,&quot;non-dropping-particle&quot;:&quot;&quot;},{&quot;family&quot;:&quot;Chua&quot;,&quot;given&quot;:&quot;Michael E.&quot;,&quot;parse-names&quot;:false,&quot;dropping-particle&quot;:&quot;&quot;,&quot;non-dropping-particle&quot;:&quot;&quot;},{&quot;family&quot;:&quot;Ming&quot;,&quot;given&quot;:&quot;Jessica M.&quot;,&quot;parse-names&quot;:false,&quot;dropping-particle&quot;:&quot;&quot;,&quot;non-dropping-particle&quot;:&quot;&quot;},{&quot;family&quot;:&quot;Lee&quot;,&quot;given&quot;:&quot;Min Joon&quot;,&quot;parse-names&quot;:false,&quot;dropping-particle&quot;:&quot;&quot;,&quot;non-dropping-particle&quot;:&quot;&quot;},{&quot;family&quot;:&quot;Kesavan&quot;,&quot;given&quot;:&quot;Amre&quot;,&quot;parse-names&quot;:false,&quot;dropping-particle&quot;:&quot;&quot;,&quot;non-dropping-particle&quot;:&quot;&quot;},{&quot;family&quot;:&quot;Saunders&quot;,&quot;given&quot;:&quot;Megan&quot;,&quot;parse-names&quot;:false,&quot;dropping-particle&quot;:&quot;&quot;,&quot;non-dropping-particle&quot;:&quot;&quot;},{&quot;family&quot;:&quot;Santos&quot;,&quot;given&quot;:&quot;Joana&quot;,&quot;parse-names&quot;:false,&quot;dropping-particle&quot;:&quot;Dos&quot;,&quot;non-dropping-particle&quot;:&quot;&quot;}],&quot;container-title&quot;:&quot;Canadian Urological Association Journal&quot;,&quot;DOI&quot;:&quot;10.5489/cuaj.5460&quot;,&quot;ISSN&quot;:&quot;19201214&quot;,&quot;issued&quot;:{&quot;date-parts&quot;:[[2019,4,1]]},&quot;page&quot;:&quot;E108-E112&quot;,&quot;abstract&quot;:&quot;Introduction: Despite the widespread use of circumcision, there is little understanding regarding risk factors associated with its complications. This investigation assesses potential risk factors contributing to complications of circumcision. Methods: A retrospective review of all males who underwent a neonatal circumcision in our institution’s pediatric urology clinic between January 2015 and June 2017 was performed. Continuous variables were dichotomized to determine a clinically relevant cutoff value. Multivariate regression analyses were used to identify risk factors for primary outcomes (early/late complications) and secondary outcomes (emergency room [ER] visitation, return to operating room, post-circumcision communications). Results: A total of 277 patients were identified. The mean age and weight were 28.4 days and 4.3 kg, respectively; 93.1% of cases were elective and 12.3% of patients had comorbidities. Circumcisions were performed using Mogen (61.4%) or Gomco clamps (39.6%) under local anesthesia. Overall, 35 patients experienced complications (12.6%). There were 18 patients (6.5%) with bleeding requiring sutures at time of circumcision. Twenty-six patients (9.4%) experienced long-term complications, with penile adhesions being the majority (84.6%). One (0.4%) of these patients had a Clavien-Dindo 3 complication requiring surgery for a skin bridge that could not be separated. One patient (0.4%) visited the ER due to postoperative bleeding from the circumcised area, which was managed conservatively. Multivariate regression analysis identified weight &gt;5.1 kg as a risk factor for bleeding requiring sutures (odds ratio [OR] 4.145; 95% confidence interval [CI] 1.246–13.799) and long-term complications (OR 3.738; 95% CI 1.356–10.306). No risk factors were identified for other outcomes (return to operating room, ER visitation, post-circumcision email/telephone communications). Conclusions: This investigation of neonatal circumcision revealed that patients weighing &gt;5.1 kg may be at higher risk of bleeding and long-term complications, such as adhesions.&quot;,&quot;publisher&quot;:&quot;Canadian Urological Association&quot;,&quot;issue&quot;:&quot;4&quot;,&quot;volume&quot;:&quot;13&quot;,&quot;container-title-short&quot;:&quot;&quot;},&quot;isTemporary&quot;:false},{&quot;id&quot;:&quot;93206ae6-ed24-3b8c-88f2-9ccaf01be511&quot;,&quot;itemData&quot;:{&quot;type&quot;:&quot;article-journal&quot;,&quot;id&quot;:&quot;93206ae6-ed24-3b8c-88f2-9ccaf01be511&quot;,&quot;title&quot;:&quot;Need for Increased Awareness of International Male Circumcision Variations and Associated Complications: A Contemporary Review&quot;,&quot;author&quot;:[{&quot;family&quot;:&quot;Gologram&quot;,&quot;given&quot;:&quot;Makayla&quot;,&quot;parse-names&quot;:false,&quot;dropping-particle&quot;:&quot;&quot;,&quot;non-dropping-particle&quot;:&quot;&quot;},{&quot;family&quot;:&quot;Margolin&quot;,&quot;given&quot;:&quot;Ryan&quot;,&quot;parse-names&quot;:false,&quot;dropping-particle&quot;:&quot;&quot;,&quot;non-dropping-particle&quot;:&quot;&quot;},{&quot;family&quot;:&quot;Lomiguen&quot;,&quot;given&quot;:&quot;Christine M&quot;,&quot;parse-names&quot;:false,&quot;dropping-particle&quot;:&quot;&quot;,&quot;non-dropping-particle&quot;:&quot;&quot;}],&quot;container-title&quot;:&quot;Cureus&quot;,&quot;container-title-short&quot;:&quot;Cureus&quot;,&quot;DOI&quot;:&quot;10.7759/cureus.24507&quot;,&quot;issued&quot;:{&quot;date-parts&quot;:[[2022,4,26]]},&quot;abstract&quot;:&quot;Male circumcision is a prevalent, straightforward procedure. Cultural, religious,  and/or social factors are the main determinants in the decision to undergo circumcision. The method of circumcision and age of the patient at the time of circumcision varies, dependent on the deciding determinant: cultural or religious tradition, personal hygiene, preventive health, or medical need. While circumcision is a relatively simple operation for a trained medical professional with low rates of adverse events, the safety of the operation varies when performed by non-medically trained (traditional) practitioners. This review aims to inform physicians of international circumcision variations and associated complications and to provide history-taking considerations during the review of the genitourinary system. The review revealed a wide variety in 1) training of practitioners performing circumcisions, 2) methods of circumcision, and 3) sterility during the procedure contributing to differing rates of complications. Findings suggest circumcisions should not be viewed equally, and greater emphasis should be placed on genitourinary history, especially circumcision, with patients from areas where traditional circumcisions are prevalent.&quot;,&quot;publisher&quot;:&quot;Springer Science and Business Media LLC&quot;},&quot;isTemporary&quot;:false},{&quot;id&quot;:&quot;36c327a2-fc36-31d7-a03f-0bf26c78025a&quot;,&quot;itemData&quot;:{&quot;type&quot;:&quot;article-journal&quot;,&quot;id&quot;:&quot;36c327a2-fc36-31d7-a03f-0bf26c78025a&quot;,&quot;title&quot;:&quot;Factors influencing satisfaction with male circumcision in Taiwan&quot;,&quot;author&quot;:[{&quot;family&quot;:&quot;Chen&quot;,&quot;given&quot;:&quot;Chia Hung&quot;,&quot;parse-names&quot;:false,&quot;dropping-particle&quot;:&quot;&quot;,&quot;non-dropping-particle&quot;:&quot;&quot;},{&quot;family&quot;:&quot;Cheng&quot;,&quot;given&quot;:&quot;Wei-Ming&quot;,&quot;parse-names&quot;:false,&quot;dropping-particle&quot;:&quot;&quot;,&quot;non-dropping-particle&quot;:&quot;&quot;},{&quot;family&quot;:&quot;Fan&quot;,&quot;given&quot;:&quot;Yu-Hua&quot;,&quot;parse-names&quot;:false,&quot;dropping-particle&quot;:&quot;&quot;,&quot;non-dropping-particle&quot;:&quot;&quot;},{&quot;family&quot;:&quot;Chang&quot;,&quot;given&quot;:&quot;Tung-Ping&quot;,&quot;parse-names&quot;:false,&quot;dropping-particle&quot;:&quot;&quot;,&quot;non-dropping-particle&quot;:&quot;&quot;}],&quot;container-title&quot;:&quot;Scientific Reports&quot;,&quot;container-title-short&quot;:&quot;Sci. Rep.&quot;,&quot;DOI&quot;:&quot;10.1038/s41598-022-20140-8&quot;,&quot;ISSN&quot;:&quot;2045-2322&quot;,&quot;URL&quot;:&quot;https://doi.org/10.1038/s41598-022-20140-8&quot;,&quot;issued&quot;:{&quot;date-parts&quot;:[[2023]]},&quot;page&quot;:&quot;2313&quot;,&quot;abstract&quot;:&quot;We aimed to investigate patient satisfaction with male circumcision in Taiwan. An online, questionnaire-based, cross-sectional study involving 376 circumcised men 20 to 40 years of age in Taiwan was conducted. Circumcision-related satisfaction was defined as a visual analogue scale score ≥ 6 (range, 1–10). Pearson’s chi-square test was performed to compare differences between satisfied and unsatisfied participants. Factors predictive of participant satisfaction were analysed using multivariate logistic regression. Statistical significance was set at P &lt; 0.05. Among 376 circumcised men, 249 (66.2%) reported satisfaction with circumcision. Satisfied participants had higher levels of education, underwent circumcision for phimosis or balanitis, underwent circumcision during adulthood, reported a larger penile size, and had fewer long-term complaints. Furthermore, 89.4% had various long-term complaints, including skin colour mismatch, changes in masturbation methods, hypertrophic scarring, excessive shortening of the prepuce, and redundant prepuce. Multivariate analysis revealed that adult circumcision and the absence of long-term conditions were predictive of satisfaction. Two-thirds of participants were satisfied with their circumcision outcome, especially those who underwent circumcision for phimosis or balanitis during adulthood. Proper preoperative patient selection and postoperative symptom prevention would improve patient satisfaction.&quot;,&quot;issue&quot;:&quot;1&quot;,&quot;volume&quot;:&quot;13&quot;},&quot;isTemporary&quot;:false},{&quot;id&quot;:&quot;fb8f7dc9-96a2-3ab1-b81b-090deefd230f&quot;,&quot;itemData&quot;:{&quot;type&quot;:&quot;article-journal&quot;,&quot;id&quot;:&quot;fb8f7dc9-96a2-3ab1-b81b-090deefd230f&quot;,&quot;title&quot;:&quot;Factors Associated With Early Deaths Following Neonatal Male Circumcision in the United States, 2001 to 2010&quot;,&quot;author&quot;:[{&quot;family&quot;:&quot;Earp&quot;,&quot;given&quot;:&quot; Brian D&quot;,&quot;parse-names&quot;:false,&quot;dropping-particle&quot;:&quot;&quot;,&quot;non-dropping-particle&quot;:&quot;&quot;},{&quot;family&quot;:&quot;Allareddy&quot;,&quot;given&quot;:&quot; Veerajalandhar&quot;,&quot;parse-names&quot;:false,&quot;dropping-particle&quot;:&quot;&quot;,&quot;non-dropping-particle&quot;:&quot;&quot;},{&quot;family&quot;:&quot;Allareddy&quot;,&quot;given&quot;:&quot; Veerasathpurush&quot;,&quot;parse-names&quot;:false,&quot;dropping-particle&quot;:&quot;&quot;,&quot;non-dropping-particle&quot;:&quot;&quot;},{&quot;family&quot;:&quot;Rotta&quot;,&quot;given&quot;:&quot; Alexandre T&quot;,&quot;parse-names&quot;:false,&quot;dropping-particle&quot;:&quot;&quot;,&quot;non-dropping-particle&quot;:&quot;&quot;}],&quot;container-title&quot;:&quot;Clinical Pediatrics&quot;,&quot;container-title-short&quot;:&quot;Clin. Pediatr. (Phila).&quot;,&quot;DOI&quot;:&quot;10.1177/0009922818790060&quot;,&quot;ISSN&quot;:&quot;0009-9228&quot;,&quot;URL&quot;:&quot;https://doi.org/10.1177/0009922818790060&quot;,&quot;issued&quot;:{&quot;date-parts&quot;:[[2018,11,1]]},&quot;page&quot;:&quot;1532-1540&quot;,&quot;abstract&quot;:&quot;We sought to quantify early deaths following neonatal circumcision (same hospital admission) and to identify factors associated with such mortality. We performed a retrospective analysis of all infants who underwent circumcision in an inpatient hospital setting during the first 30 days of life from 2001 to 2010 using the National Inpatient Sample. Over 10 years, 200 early deaths were recorded among 9 833 110 subjects (1 death per 49 166 circumcisions). Note: this figure should not be interpreted as causal but correlational as it may include both undercounting and overcounting of deaths attributable to circumcision. Compared with survivors, subjects who died following newborn circumcision were more likely to have associated comorbid conditions, such as cardiac disease (odds ratio [OR] = 697.8 [378.5-1286.6]; P &lt; .001), coagulopathy (OR = 159.6 [95.6-266.2]; P &lt; .001), fluid and electrolyte disorders (OR = 68.2 [49.1-94.6]; P &lt; .001), or pulmonary circulatory disorders (OR = 169.5 [69.7-412.5]; P &lt; .001). Recognizing these factors could inform clinical and parental decisions, potentially reducing associated risks.&quot;,&quot;publisher&quot;:&quot;SAGE Publications Inc&quot;,&quot;issue&quot;:&quot;13&quot;,&quot;volume&quot;:&quot;57&quot;},&quot;isTemporary&quot;:false},{&quot;id&quot;:&quot;b490677d-a636-316f-baa5-6887e545dc8b&quot;,&quot;itemData&quot;:{&quot;type&quot;:&quot;article-journal&quot;,&quot;id&quot;:&quot;b490677d-a636-316f-baa5-6887e545dc8b&quot;,&quot;title&quot;:&quot;A Longitudinal Population Analysis of Cumulative Risks of Circumcision&quot;,&quot;author&quot;:[{&quot;family&quot;:&quot;Hung&quot;,&quot;given&quot;:&quot;Ya-Ching&quot;,&quot;parse-names&quot;:false,&quot;dropping-particle&quot;:&quot;&quot;,&quot;non-dropping-particle&quot;:&quot;&quot;},{&quot;family&quot;:&quot;Chang&quot;,&quot;given&quot;:&quot;David C&quot;,&quot;parse-names&quot;:false,&quot;dropping-particle&quot;:&quot;&quot;,&quot;non-dropping-particle&quot;:&quot;&quot;},{&quot;family&quot;:&quot;Westfal&quot;,&quot;given&quot;:&quot;Maggie L&quot;,&quot;parse-names&quot;:false,&quot;dropping-particle&quot;:&quot;&quot;,&quot;non-dropping-particle&quot;:&quot;&quot;},{&quot;family&quot;:&quot;Marks&quot;,&quot;given&quot;:&quot;Isobel H&quot;,&quot;parse-names&quot;:false,&quot;dropping-particle&quot;:&quot;&quot;,&quot;non-dropping-particle&quot;:&quot;&quot;},{&quot;family&quot;:&quot;Masiakos&quot;,&quot;given&quot;:&quot;Peter T&quot;,&quot;parse-names&quot;:false,&quot;dropping-particle&quot;:&quot;&quot;,&quot;non-dropping-particle&quot;:&quot;&quot;},{&quot;family&quot;:&quot;Kelleher&quot;,&quot;given&quot;:&quot;Cassandra M&quot;,&quot;parse-names&quot;:false,&quot;dropping-particle&quot;:&quot;&quot;,&quot;non-dropping-particle&quot;:&quot;&quot;}],&quot;container-title&quot;:&quot;Journal of Surgical Research&quot;,&quot;DOI&quot;:&quot;https://doi.org/10.1016/j.jss.2018.07.069&quot;,&quot;ISSN&quot;:&quot;0022-4804&quot;,&quot;URL&quot;:&quot;https://www.sciencedirect.com/science/article/pii/S002248041830547X&quot;,&quot;issued&quot;:{&quot;date-parts&quot;:[[2019]]},&quot;page&quot;:&quot;111-117&quot;,&quot;abstract&quot;:&quot;Background\nCircumcision is widely accepted for newborns in the United States. However, circumcision carries a risk of complications, the rates of which are not well described in the contemporary era.\nMethods\nWe performed a longitudinal population analysis of the California Office of Statewide Health Planning and Development database between 2005 and 2010. Using International Classification of Procedures, Ninth Revision, Clinical Modification and Current Procedural Terminology codes, we calculated early and late complication rates by Kaplan–Meier survival estimates. Late complications were defined as those that occurred between 30 d and 5 y after circumcision. Descriptive analysis of complications was obtained by analysis of variance, chi-square test, or log-rank test. On adjusted analysis, a Cox proportional hazard model was performed to determine the risk of early and late complications, adjusting for patient demographics.\nResults\nA total of 24,432 circumcised children under age 5 y were analyzed. Overall, cumulative complication rates over 5 y were 1.5% in neonates, 0.5% of which were early, and 2.9% in non-neonates, 2.2% of which were early. On adjusted analysis, non-neonates had a higher risk of early complications (OR 18.5). In both neonates and non-neonates, the majority of patients with late complications underwent circumcision revision.\nConclusions\nCircumcision has a complication rate higher than previously recognized. Most patients with late complications after circumcision received an operative circumcision revision. Clinicians should weigh the surgical risks against the reported medical benefits of circumcision when counseling parents about circumcision.&quot;,&quot;volume&quot;:&quot;233&quot;,&quot;container-title-short&quot;:&quot;&quot;},&quot;isTemporary&quot;:false}]},{&quot;citationID&quot;:&quot;MENDELEY_CITATION_8671af20-9251-407b-b14a-6ce78a8d15a4&quot;,&quot;properties&quot;:{&quot;noteIndex&quot;:0},&quot;isEdited&quot;:false,&quot;manualOverride&quot;:{&quot;isManuallyOverridden&quot;:false,&quot;citeprocText&quot;:&quot;(Lucas et al., 2020; Satyagraha et al., 2020)&quot;,&quot;manualOverrideText&quot;:&quot;&quot;},&quot;citationTag&quot;:&quot;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6a608f43-d2e1-4199-9477-e80e9334a16e&quot;,&quot;properties&quot;:{&quot;noteIndex&quot;:0},&quot;isEdited&quot;:false,&quot;manualOverride&quot;:{&quot;isManuallyOverridden&quot;:false,&quot;citeprocText&quot;:&quot;(Aman et al., 2023; Kowalczyk &amp;#38; Majewski, 2021; Vorobev et al., 2021)&quot;,&quot;manualOverrideText&quot;:&quot;&quot;},&quot;citationTag&quot;:&quot;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quot;,&quot;citationItems&quot;:[{&quot;id&quot;:&quot;dbd9858f-d79c-3e10-9944-c1efba531b14&quot;,&quot;itemData&quot;:{&quot;type&quot;:&quot;article-journal&quot;,&quot;id&quot;:&quot;dbd9858f-d79c-3e10-9944-c1efba531b14&quot;,&quot;title&quot;:&quot;Urinary System Iatrogenic Injuries: Problem Review&quot;,&quot;author&quot;:[{&quot;family&quot;:&quot;Vorobev&quot;,&quot;given&quot;:&quot;Vladimir&quot;,&quot;parse-names&quot;:false,&quot;dropping-particle&quot;:&quot;&quot;,&quot;non-dropping-particle&quot;:&quot;&quot;},{&quot;family&quot;:&quot;Beloborodov&quot;,&quot;given&quot;:&quot;Vladimir&quot;,&quot;parse-names&quot;:false,&quot;dropping-particle&quot;:&quot;&quot;,&quot;non-dropping-particle&quot;:&quot;&quot;},{&quot;family&quot;:&quot;Golub&quot;,&quot;given&quot;:&quot;Igor&quot;,&quot;parse-names&quot;:false,&quot;dropping-particle&quot;:&quot;&quot;,&quot;non-dropping-particle&quot;:&quot;&quot;},{&quot;family&quot;:&quot;Frolov&quot;,&quot;given&quot;:&quot;Aleksandr&quot;,&quot;parse-names&quot;:false,&quot;dropping-particle&quot;:&quot;&quot;,&quot;non-dropping-particle&quot;:&quot;&quot;},{&quot;family&quot;:&quot;Kelchevskaya&quot;,&quot;given&quot;:&quot;Elena&quot;,&quot;parse-names&quot;:false,&quot;dropping-particle&quot;:&quot;&quot;,&quot;non-dropping-particle&quot;:&quot;&quot;},{&quot;family&quot;:&quot;Tsoktoev&quot;,&quot;given&quot;:&quot;Darizhab&quot;,&quot;parse-names&quot;:false,&quot;dropping-particle&quot;:&quot;&quot;,&quot;non-dropping-particle&quot;:&quot;&quot;},{&quot;family&quot;:&quot;Maksikova&quot;,&quot;given&quot;:&quot;Tatyana&quot;,&quot;parse-names&quot;:false,&quot;dropping-particle&quot;:&quot;&quot;,&quot;non-dropping-particle&quot;:&quot;&quot;}],&quot;container-title&quot;:&quot;Urologia Internationalis&quot;,&quot;container-title-short&quot;:&quot;Urol. Int.&quot;,&quot;DOI&quot;:&quot;10.1159/000512882&quot;,&quot;ISSN&quot;:&quot;0042-1138&quot;,&quot;URL&quot;:&quot;https://doi.org/10.1159/000512882&quot;,&quot;issued&quot;:{&quot;date-parts&quot;:[[2021,2,3]]},&quot;page&quot;:&quot;460-469&quot;,&quot;abstract&quot;:&quot;Introduction: From May to December 2019, a literature review of the urinary system iatrogenic injury problem was performed. The most cited, representative articles in PubMed, Scopus, and WoS databases dedicated to this problem were selected. Urinary system iatrogenic injuries include ureter, bladder, urethra, and kidney traumas. It is widely thought that the main causes of such injuries are urological, obstetric, gynecological, and surgical operations on the retroperitoneal space, pelvis, or perineum. Methods: The purpose of the study is to describe all aspects of the iatrogenic injure problem, under the established scheme and for each of the most damaged organs: the urethra, bladder, kidney, and ureter. The treatment of confirmed iatrogenic injuries largely depends on the period of its detection. Modern medical procedures provide conservative or minimally invasive treatment. An untimely diagnosis worsens the treatment prognosis. “Overlooked” urinary system trauma is a serious threat to society and a particular patient. Thus, incorrect or traumatic catheterization can lead to infection (RR 95%) and urethral stricture (RR ≥11–36%), and percutaneous puncture nephrostomy can cause the risk of functional renal parenchyma loss (median 5%), urinary congestion (7%), or sepsis (0.6–1.5%). Results: Lost gain, profits, long-term and expensive, possibly multistage treatment, stress and depression, and the risks of suicide put a heavy financial, moral, and ethical burden on a person and society. Also, iatrogenic injury might have legal consequences. Discussion/Conclusion: Thus, the significant problem of urinary tract iatrogenic injuries is still difficult to solve. There is a need to implement mandatory examining algorithms for patients at risk, as well as the multidisciplinary principle for all pelvic surgery.&quot;,&quot;issue&quot;:&quot;5-6&quot;,&quot;volume&quot;:&quot;105&quot;},&quot;isTemporary&quot;:false},{&quot;id&quot;:&quot;38f77b54-1a21-3923-8981-de13f7b7952b&quot;,&quot;itemData&quot;:{&quot;type&quot;:&quot;article-journal&quot;,&quot;id&quot;:&quot;38f77b54-1a21-3923-8981-de13f7b7952b&quot;,&quot;title&quot;:&quot;Analysis of surgical errors associated with anatomical variations clinically relevant in general surgery. Review of the literature&quot;,&quot;author&quot;:[{&quot;family&quot;:&quot;Kowalczyk&quot;,&quot;given&quot;:&quot;Katarzyna A&quot;,&quot;parse-names&quot;:false,&quot;dropping-particle&quot;:&quot;&quot;,&quot;non-dropping-particle&quot;:&quot;&quot;},{&quot;family&quot;:&quot;Majewski&quot;,&quot;given&quot;:&quot;Adrianna&quot;,&quot;parse-names&quot;:false,&quot;dropping-particle&quot;:&quot;&quot;,&quot;non-dropping-particle&quot;:&quot;&quot;}],&quot;container-title&quot;:&quot;Translational Research in Anatomy&quot;,&quot;DOI&quot;:&quot;https://doi.org/10.1016/j.tria.2020.100107&quot;,&quot;ISSN&quot;:&quot;2214-854X&quot;,&quot;URL&quot;:&quot;https://www.sciencedirect.com/science/article/pii/S2214854X20300467&quot;,&quot;issued&quot;:{&quot;date-parts&quot;:[[2021]]},&quot;page&quot;:&quot;100107&quot;,&quot;abstract&quot;:&quot;Anatomic variations have a significant impact in general and oncological surgery, often necessitating modification of surgical techniques or leading to intraoperative complications. Difficult or variant anatomy is often cited as a significant contributing factor to injuries attributed to surgical errors. In order to investigate the influence of anatomical variations on surgical procedures, a literature search was conducted based on key words and potentially eligible articles were assessed for relevance and quality of data. In this review, we attempt to highlight some major and clinically significant abnormal anatomy that can influence the outcome of a surgical procedure, including cholecystectomy, hepatobiliary, breast and axillary, pancreatic, spleen, gastric, colon, and thyroid surgery, as well as hernia repair.&quot;,&quot;volume&quot;:&quot;23&quot;,&quot;container-title-short&quot;:&quot;&quot;},&quot;isTemporary&quot;:false},{&quot;id&quot;:&quot;e6716f4e-a050-3b84-a8b3-df1d8b82635f&quot;,&quot;itemData&quot;:{&quot;type&quot;:&quot;article-journal&quot;,&quot;id&quot;:&quot;e6716f4e-a050-3b84-a8b3-df1d8b82635f&quot;,&quot;title&quot;:&quot;Mechanisms, interventions at risk and clinical presentation of iatrogenic nerve lesions in trauma patients&quot;,&quot;author&quot;:[{&quot;family&quot;:&quot;Aman&quot;,&quot;given&quot;:&quot;Martin&quot;,&quot;parse-names&quot;:false,&quot;dropping-particle&quot;:&quot;&quot;,&quot;non-dropping-particle&quot;:&quot;&quot;},{&quot;family&quot;:&quot;Zimmermann&quot;,&quot;given&quot;:&quot;Kim S&quot;,&quot;parse-names&quot;:false,&quot;dropping-particle&quot;:&quot;&quot;,&quot;non-dropping-particle&quot;:&quot;&quot;},{&quot;family&quot;:&quot;Pennekamp&quot;,&quot;given&quot;:&quot;Anna&quot;,&quot;parse-names&quot;:false,&quot;dropping-particle&quot;:&quot;&quot;,&quot;non-dropping-particle&quot;:&quot;&quot;},{&quot;family&quot;:&quot;Thielen&quot;,&quot;given&quot;:&quot;Mirjam&quot;,&quot;parse-names&quot;:false,&quot;dropping-particle&quot;:&quot;&quot;,&quot;non-dropping-particle&quot;:&quot;&quot;},{&quot;family&quot;:&quot;Falkner&quot;,&quot;given&quot;:&quot;Florian&quot;,&quot;parse-names&quot;:false,&quot;dropping-particle&quot;:&quot;&quot;,&quot;non-dropping-particle&quot;:&quot;&quot;},{&quot;family&quot;:&quot;Eisa&quot;,&quot;given&quot;:&quot;Amr&quot;,&quot;parse-names&quot;:false,&quot;dropping-particle&quot;:&quot;&quot;,&quot;non-dropping-particle&quot;:&quot;&quot;},{&quot;family&quot;:&quot;Boecker&quot;,&quot;given&quot;:&quot;Arne H&quot;,&quot;parse-names&quot;:false,&quot;dropping-particle&quot;:&quot;&quot;,&quot;non-dropping-particle&quot;:&quot;&quot;},{&quot;family&quot;:&quot;Harhaus&quot;,&quot;given&quot;:&quot;Leila&quot;,&quot;parse-names&quot;:false,&quot;dropping-particle&quot;:&quot;&quot;,&quot;non-dropping-particle&quot;:&quot;&quot;}],&quot;container-title&quot;:&quot;Archives of Orthopaedic and Trauma Surgery&quot;,&quot;container-title-short&quot;:&quot;Arch. Orthop. Trauma Surg.&quot;,&quot;DOI&quot;:&quot;10.1007/s00402-023-05009-3&quot;,&quot;ISSN&quot;:&quot;1434-3916&quot;,&quot;URL&quot;:&quot;https://doi.org/10.1007/s00402-023-05009-3&quot;,&quot;issued&quot;:{&quot;date-parts&quot;:[[2023]]},&quot;page&quot;:&quot;7245-7253&quot;,&quot;abstract&quot;:&quot;Iatrogenic nerve lesions during surgical interventions are avoidable complications that may cause severe functional impairment. Hereby, awareness of physicians and knowledge of structures and interventions at risk is of utmost importance for prevention. As current literature is scarce, we evaluated all patients treated surgically due to peripheral nerve injuries in our specialized nerve center for the presence of iatrogenic nerve lesions.&quot;,&quot;issue&quot;:&quot;12&quot;,&quot;volume&quot;:&quot;143&quot;},&quot;isTemporary&quot;:false}]},{&quot;citationID&quot;:&quot;MENDELEY_CITATION_9e0bbc3d-d3e9-42e1-8f07-15d5e338972a&quot;,&quot;properties&quot;:{&quot;noteIndex&quot;:0},&quot;isEdited&quot;:false,&quot;manualOverride&quot;:{&quot;isManuallyOverridden&quot;:false,&quot;citeprocText&quot;:&quot;(Ahmed et al., 2020; Andaloussi et al., 2025; Tanyi et al., 2023)&quot;,&quot;manualOverrideText&quot;:&quot;&quot;},&quot;citationTag&quot;:&quot;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07f3361-e689-4781-bd43-946b37eca6c8&quot;,&quot;properties&quot;:{&quot;noteIndex&quot;:0},&quot;isEdited&quot;:false,&quot;manualOverride&quot;:{&quot;isManuallyOverridden&quot;:false,&quot;citeprocText&quot;:&quot;(Atikeler et al., 2005; Boakye &amp;#38; Obeng, 2025)&quot;,&quot;manualOverrideText&quot;:&quot;&quot;},&quot;citationTag&quot;:&quot;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quot;,&quot;citationItems&quot;:[{&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id&quot;:&quot;29715307-9750-3acb-bd5d-cdeed0de9621&quot;,&quot;itemData&quot;:{&quot;type&quot;:&quot;article-journal&quot;,&quot;id&quot;:&quot;29715307-9750-3acb-bd5d-cdeed0de9621&quot;,&quot;title&quot;:&quot;Complications of Circumcision Performed within and Outside the Hospital&quot;,&quot;author&quot;:[{&quot;family&quot;:&quot;Atikeler&quot;,&quot;given&quot;:&quot;M K&quot;,&quot;parse-names&quot;:false,&quot;dropping-particle&quot;:&quot;&quot;,&quot;non-dropping-particle&quot;:&quot;&quot;},{&quot;family&quot;:&quot;Geçit&quot;,&quot;given&quot;:&quot;I&quot;,&quot;parse-names&quot;:false,&quot;dropping-particle&quot;:&quot;&quot;,&quot;non-dropping-particle&quot;:&quot;&quot;},{&quot;family&quot;:&quot;Yüzgeç&quot;,&quot;given&quot;:&quot;V&quot;,&quot;parse-names&quot;:false,&quot;dropping-particle&quot;:&quot;&quot;,&quot;non-dropping-particle&quot;:&quot;&quot;},{&quot;family&quot;:&quot;Yalçın&quot;,&quot;given&quot;:&quot;O&quot;,&quot;parse-names&quot;:false,&quot;dropping-particle&quot;:&quot;&quot;,&quot;non-dropping-particle&quot;:&quot;&quot;}],&quot;container-title&quot;:&quot;International Urology and Nephrology&quot;,&quot;container-title-short&quot;:&quot;Int. Urol. Nephrol.&quot;,&quot;DOI&quot;:&quot;10.1007/s11255-004-6077-2&quot;,&quot;ISSN&quot;:&quot;1573-2584&quot;,&quot;URL&quot;:&quot;https://doi.org/10.1007/s11255-004-6077-2&quot;,&quot;issued&quot;:{&quot;date-parts&quot;:[[2005]]},&quot;page&quot;:&quot;97-99&quot;,&quot;abstract&quot;:&quot;Objective: Comparison of incidence of complications observed in circumcisions performed by traditional unlicensed individuals outside the hospital under the non-sterile conditions and in those performed by surgeons within hospital under surgical procedures. Patients and methods: This is a retrospective study to determine the sort of complications and their incidence in 407 cases performed in two towns in our region by unlicenced traditional circumcisers (group 1) and 782 circumcision cases performed in Urology clinic by licenced surgeons (group 2) between April 1999 and August 2002. The complications were proportionally and statistically compared. Correlation between groups was assassed by Pearson correlation test and to compare the complication parameters chi-square test was used (p &amp;#60; 0.05 was considered statistically significant). Results: The incidence of complications was higher in group 1. All complication parameters were found high in group 1 at a statistically significant extent. Conclusion: We could conclude that if the circumcision is performed by unlicensed traditional circumcisers instead of surgeons at the sterile hospital conditions it could result in severe early phase complications such as life-threatening or some late phase disorders with life long negative influences.&quot;,&quot;issue&quot;:&quot;1&quot;,&quot;volume&quot;:&quot;37&quot;},&quot;isTemporary&quot;:false}]},{&quot;citationID&quot;:&quot;MENDELEY_CITATION_6dcc912c-571a-4a28-927e-c6359ef7964a&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7a928b8-6ab6-403d-a72c-8548e7148409&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2ce3777b-a1fb-43ea-940a-6c8da9424868&quot;,&quot;properties&quot;:{&quot;noteIndex&quot;:0},&quot;isEdited&quot;:false,&quot;manualOverride&quot;:{&quot;isManuallyOverridden&quot;:false,&quot;citeprocText&quot;:&quot;(Kalyenci et al., 2025)&quot;,&quot;manualOverrideText&quot;:&quot;&quot;},&quot;citationTag&quot;:&quot;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quot;,&quot;citationItems&quot;:[{&quot;id&quot;:&quot;e8367be2-70e7-3cd3-abdd-99fb05d698d5&quot;,&quot;itemData&quot;:{&quot;type&quot;:&quot;article-journal&quot;,&quot;id&quot;:&quot;e8367be2-70e7-3cd3-abdd-99fb05d698d5&quot;,&quot;title&quot;:&quot;Retrospective analysis of clinical outcomes and early complications of conventional circumcision techniques and thermocautery-assisted circumcision&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container-title&quot;:&quot;Scientific Reports&quot;,&quot;container-title-short&quot;:&quot;Sci. Rep.&quot;,&quot;DOI&quot;:&quot;10.1038/s41598-025-91730-5&quot;,&quot;ISSN&quot;:&quot;2045-2322&quot;,&quot;URL&quot;:&quot;https://doi.org/10.1038/s41598-025-91730-5&quot;,&quot;issued&quot;:{&quot;date-parts&quot;:[[2025]]},&quot;page&quot;:&quot;7139&quot;,&quot;abstract&quot;:&quot;This study compared various circumcision techniques, specifically the dorsal slit (DS), sleeve resection (SR), and forceps-guided (FG) techniques, which fall under the category of conventional circumcision techniques, with the thermocautery-assisted circumcision (TAC) technique. The aim was to investigate the safety and efficacy of these circumcision methods by focusing on clinical outcomes and early complications, categorizing the associated complications using the Clavien-Dindo classification system (CDCS). A total of 7041 circumcised patients were retrospectively analyzed and grouped according to the applied techniques: DS, SR, FG, and TAC. Factors such as age, duration of the procedure, bleeding, edema, infection, recovery time, and local anesthetic technique parameters were compared. Complications were classified according to the modified CDCS. The duration of the procedure was 4.7 min (range 4.5–5.2), and bleeding (hematoma) was significantly lower in the TAC group with seven cases (0.3%) (p &lt; 0.001). The recovery time of 5 days (range 5–7 days) and the incidence of edema were longer in TAC compared to other techniques (p &lt; 0.001). Additionally, the recovery time in the SR group was shorter than that of the FG and DS groups (p &lt; 0.001). After adjusting for confounding factors such as age, duration of the procedure, and local anesthetic techniques, the likelihood of perioperative bleeding was observed to statistically significantly increase in the FG (odds ratio [OR] = 61.663, 95% confidence interval [CI] 42.764–88.913, p &lt; 0.001), DS (OR = 59.249, 95% CI 39.382–89.141, p &lt; 0.001), and SR (OR = 161.952, 95% CI 96.100–272.930, p &lt; 0.001), in that order, compared to the TAC group. Furthermore, compared to the TAC group, the likelihood of severe edema statistically significantly decreased in the FG (OR = 0.010, 95% CI 0.004–0.027, p &lt; 0.001), DS (OR = 0.040, 95% CI 0.017–0.092, p &lt; 0.001), and SR (OR = 0.043, 95% CI 0.015–0.124, p &lt; 0.001) groups, in that order. There was no significant difference between the surgical techniques according to the CDCS evaluation. TAC demonstrated advantages over the remaining techniques in terms of less bleeding and shorter duration of the procedure. However, it also presented with disadvantages such as postoperative edema and longer recovery time.&quot;,&quot;issue&quot;:&quot;1&quot;,&quot;volume&quot;:&quot;15&quot;},&quot;isTemporary&quot;:false}]},{&quot;citationID&quot;:&quot;MENDELEY_CITATION_68677080-93b6-47ed-9811-debb06842564&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735abae0-3a0b-452a-8195-81df38cf65b0&quot;,&quot;properties&quot;:{&quot;noteIndex&quot;:0},&quot;isEdited&quot;:false,&quot;manualOverride&quot;:{&quot;isManuallyOverridden&quot;:false,&quot;citeprocText&quot;:&quot;(Harris et al., 2025; Smith et al., 2022)&quot;,&quot;manualOverrideText&quot;:&quot;&quot;},&quot;citationTag&quot;:&quot;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quot;,&quot;citationItems&quot;:[{&quot;id&quot;:&quot;7e6e8a54-723b-3112-aa9c-6f75b020dc61&quot;,&quot;itemData&quot;:{&quot;type&quot;:&quot;article-journal&quot;,&quot;id&quot;:&quot;7e6e8a54-723b-3112-aa9c-6f75b020dc61&quot;,&quot;title&quot;:&quot;Comparative Analysis of Local Versus General Anesthesia and Its Impact on Erectile Dysfunction Risk Following Penile Surgery&quot;,&quot;author&quot;:[{&quot;family&quot;:&quot;Harris&quot;,&quot;given&quot;:&quot;Marek&quot;,&quot;parse-names&quot;:false,&quot;dropping-particle&quot;:&quot;&quot;,&quot;non-dropping-particle&quot;:&quot;&quot;},{&quot;family&quot;:&quot;Taylor&quot;,&quot;given&quot;:&quot;Shay&quot;,&quot;parse-names&quot;:false,&quot;dropping-particle&quot;:&quot;&quot;,&quot;non-dropping-particle&quot;:&quot;&quot;},{&quot;family&quot;:&quot;McMillan&quot;,&quot;given&quot;:&quot;Elijah&quot;,&quot;parse-names&quot;:false,&quot;dropping-particle&quot;:&quot;&quot;,&quot;non-dropping-particle&quot;:&quot;&quot;},{&quot;family&quot;:&quot;Zinabu&quot;,&quot;given&quot;:&quot;Samrawit W&quot;,&quot;parse-names&quot;:false,&quot;dropping-particle&quot;:&quot;&quot;,&quot;non-dropping-particle&quot;:&quot;&quot;},{&quot;family&quot;:&quot;Wheaton&quot;,&quot;given&quot;:&quot;Noah&quot;,&quot;parse-names&quot;:false,&quot;dropping-particle&quot;:&quot;&quot;,&quot;non-dropping-particle&quot;:&quot;&quot;},{&quot;family&quot;:&quot;Monroe&quot;,&quot;given&quot;:&quot;Da'Jhai&quot;,&quot;parse-names&quot;:false,&quot;dropping-particle&quot;:&quot;&quot;,&quot;non-dropping-particle&quot;:&quot;&quot;},{&quot;family&quot;:&quot;Kim&quot;,&quot;given&quot;:&quot;Sarah&quot;,&quot;parse-names&quot;:false,&quot;dropping-particle&quot;:&quot;&quot;,&quot;non-dropping-particle&quot;:&quot;&quot;},{&quot;family&quot;:&quot;Ocampo&quot;,&quot;given&quot;:&quot;Emmanual&quot;,&quot;parse-names&quot;:false,&quot;dropping-particle&quot;:&quot;&quot;,&quot;non-dropping-particle&quot;:&quot;&quot;},{&quot;family&quot;:&quot;Ogbutor&quot;,&quot;given&quot;:&quot;Kamdili&quot;,&quot;parse-names&quot;:false,&quot;dropping-particle&quot;:&quot;&quot;,&quot;non-dropping-particle&quot;:&quot;&quot;},{&quot;family&quot;:&quot;Michael&quot;,&quot;given&quot;:&quot;Miriam B&quot;,&quot;parse-names&quot;:false,&quot;dropping-particle&quot;:&quot;&quot;,&quot;non-dropping-particle&quot;:&quot;&quot;}],&quot;container-title&quot;:&quot;Cureus&quot;,&quot;container-title-short&quot;:&quot;Cureus&quot;,&quot;DOI&quot;:&quot;10.7759/cureus.85931&quot;,&quot;issued&quot;:{&quot;date-parts&quot;:[[2025,6,13]]},&quot;publisher&quot;:&quot;Springer Science and Business Media LLC&quot;},&quot;isTemporary&quot;:false},{&quot;id&quot;:&quot;b4b6c47c-be1e-3e51-8839-b79ae50ea584&quot;,&quot;itemData&quot;:{&quot;type&quot;:&quot;article-journal&quot;,&quot;id&quot;:&quot;b4b6c47c-be1e-3e51-8839-b79ae50ea584&quot;,&quot;title&quot;:&quot;Safety and effectiveness of regional anesthesia compared with anesthetic techniques not using regional anesthesia on outcomes after free tissue flap surgery: a systematic review protocol&quot;,&quot;author&quot;:[{&quot;family&quot;:&quot;Smith&quot;,&quot;given&quot;:&quot;Avery&quot;,&quot;parse-names&quot;:false,&quot;dropping-particle&quot;:&quot;&quot;,&quot;non-dropping-particle&quot;:&quot;&quot;},{&quot;family&quot;:&quot;Weigand&quot;,&quot;given&quot;:&quot;Jean&quot;,&quot;parse-names&quot;:false,&quot;dropping-particle&quot;:&quot;&quot;,&quot;non-dropping-particle&quot;:&quot;&quot;},{&quot;family&quot;:&quot;Greenwood&quot;,&quot;given&quot;:&quot;Jennifer&quot;,&quot;parse-names&quot;:false,&quot;dropping-particle&quot;:&quot;&quot;,&quot;non-dropping-particle&quot;:&quot;&quot;},{&quot;family&quot;:&quot;Tierney&quot;,&quot;given&quot;:&quot;Kristine&quot;,&quot;parse-names&quot;:false,&quot;dropping-particle&quot;:&quot;&quot;,&quot;non-dropping-particle&quot;:&quot;&quot;}],&quot;container-title&quot;:&quot;JBI Evidence Synthesis&quot;,&quot;container-title-short&quot;:&quot;JBI Evid. Synth.&quot;,&quot;ISSN&quot;:&quot;2689-8381&quot;,&quot;URL&quot;:&quot;https://journals.lww.com/jbisrir/fulltext/2022/10000/safety_and_effectiveness_of_regional_anesthesia.15.aspx&quot;,&quot;issued&quot;:{&quot;date-parts&quot;:[[2022]]},&quot;abstract&quot;:&quot;Objective: \n\nThis systematic review will aim to evaluate the evidence on the effectiveness of regional anesthesia, when compared with general anesthesia alone, on the outcomes of free flap surgeries.\n\nIntroduction: \n\nFree flap procedures involve complete separation of a flap of tissue from its native vascular bed, followed by reimplantation to a recipient site on the body. Optimal perfusion and successful neovascularization are crucial to survival of the grafted flap. Currently, no best-practice recommendations exist regarding the use of regional anesthesia in free flap surgeries. Regional anesthesia techniques have the potential to alter blood flow and neuroendocrine responses to surgical stress, which may impact perfusion and survival of free flap grafts. This potential for augmentation or hindrance of flap perfusion may have a significant impact on patient outcomes, thus meriting systematic review.\n\nInclusion criteria: \n\nThe review will include both experimental and observational (analytical only) study designs that examine the vascular outcomes of regional anesthesia compared with general anesthesia alone in free flap surgery.\n\nMethods: \n\nThe databases to be searched include PubMed, CINAHL, Cochrane Central Register of Controlled Trials (CENTRAL), Web of Science Core Collection, Embase, and gray literature sources. Identified studies will be independently assessed by two reviewers utilizing JBI critical appraisal tools. Data will be extracted using a standardized data matrix. Certainty of findings will be conducted using the Grading of Recommendations Assessment, Development and Evaluation approach. Narrative synthesis will be compiled and meta-analysis completed, where possible.\n\nSystematic review registration number: \n\nPROSPERO CRD42021283584&quot;,&quot;issue&quot;:&quot;10&quot;,&quot;volume&quot;:&quot;20&quot;},&quot;isTemporary&quot;:false}]},{&quot;citationID&quot;:&quot;MENDELEY_CITATION_2714c812-9283-4ea2-b5d6-40ad3bc91084&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5d2a57a-479d-467d-a994-81673822879a&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613fdb4b-0559-4094-b30c-084c218db2bd&quot;,&quot;properties&quot;:{&quot;noteIndex&quot;:0},&quot;isEdited&quot;:false,&quot;manualOverride&quot;:{&quot;isManuallyOverridden&quot;:false,&quot;citeprocText&quot;:&quot;(Arbel et al., 2025; De &amp;#38; Dawar, 2022; Liu et al., 2025)&quot;,&quot;manualOverrideText&quot;:&quot;&quot;},&quot;citationTag&quot;:&quot;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quot;,&quot;citationItems&quot;:[{&quot;id&quot;:&quot;acbba446-20c1-3468-8968-018a7aaac32f&quot;,&quot;itemData&quot;:{&quot;type&quot;:&quot;article-journal&quot;,&quot;id&quot;:&quot;acbba446-20c1-3468-8968-018a7aaac32f&quot;,&quot;title&quot;:&quot;Penile Replantation: A Review of Microsurgical Techniques, Patient Outcomes, and Solutions to Complex Reconstructive Challenges&quot;,&quot;author&quot;:[{&quot;family&quot;:&quot;Arbel&quot;,&quot;given&quot;:&quot; Eylon J&quot;,&quot;parse-names&quot;:false,&quot;dropping-particle&quot;:&quot;&quot;,&quot;non-dropping-particle&quot;:&quot;&quot;},{&quot;family&quot;:&quot;Reese&quot;,&quot;given&quot;:&quot; Alyssa D&quot;,&quot;parse-names&quot;:false,&quot;dropping-particle&quot;:&quot;&quot;,&quot;non-dropping-particle&quot;:&quot;&quot;},{&quot;family&quot;:&quot;Richards&quot;,&quot;given&quot;:&quot; Raymond&quot;,&quot;parse-names&quot;:false,&quot;dropping-particle&quot;:&quot;&quot;,&quot;non-dropping-particle&quot;:&quot;&quot;},{&quot;family&quot;:&quot;Singh&quot;,&quot;given&quot;:&quot; Simran&quot;,&quot;parse-names&quot;:false,&quot;dropping-particle&quot;:&quot;&quot;,&quot;non-dropping-particle&quot;:&quot;&quot;},{&quot;family&quot;:&quot;O’Shea&quot;,&quot;given&quot;:&quot; Aidan W&quot;,&quot;parse-names&quot;:false,&quot;dropping-particle&quot;:&quot;&quot;,&quot;non-dropping-particle&quot;:&quot;&quot;},{&quot;family&quot;:&quot;Hennig&quot;,&quot;given&quot;:&quot; Finn&quot;,&quot;parse-names&quot;:false,&quot;dropping-particle&quot;:&quot;&quot;,&quot;non-dropping-particle&quot;:&quot;&quot;},{&quot;family&quot;:&quot;Abramowitz&quot;,&quot;given&quot;:&quot; David&quot;,&quot;parse-names&quot;:false,&quot;dropping-particle&quot;:&quot;&quot;,&quot;non-dropping-particle&quot;:&quot;&quot;}],&quot;container-title&quot;:&quot;Plastic Surgery&quot;,&quot;DOI&quot;:&quot;10.1177/22925503241265299&quot;,&quot;ISSN&quot;:&quot;2292-5503&quot;,&quot;URL&quot;:&quot;https://doi.org/10.1177/22925503241265299&quot;,&quot;issued&quot;:{&quot;date-parts&quot;:[[2025,11,1]]},&quot;page&quot;:&quot;666-676&quot;,&quot;abstract&quot;:&quot;Introduction: Penile amputation is a rare urological emergency with varying etiologies, ranging from psychiatric disorders to traumatic injuries, and requires precise microsurgical replantation techniques to restore function and appearance. The popularization of microsurgery has greatly improved outcomes by enabling accurate vascular and nerve reattachments, which are crucial for erectile function and sensation. This comprehensive study reviews advancements in microsurgical penile replantation, perioperative, and postoperative care, focusing on the nuances of surgical interventions and potential complications such as ischemia and necrosis. Methods: The PubMed, EMBASE, and Cochrane databases, were queried for studies published between 2015 and 2023 that discussed preoperative conditions, surgical techniques, and postoperative outcomes in penile replantation cases. Resulting studies that reported preoperative and postoperative outcomes of at least one case of penile replantation after amputation were included. Case parameters of interest were then extracted and categorized to determine the most common complications as well as solutions utilized in penile replantation. Results: Our findings from 46 cases across 37 studies revealed a common occurrence of postoperative necrosis (56.5%) and highlighted the importance of timely vascular reconnection and innovative surgical strategies to manage complications. Three cases were complicated by scrotal hematomas and 23 cases reported at least one psychiatric comorbidity. Some innovative solutions mentioned include hyperbaric oxygen therapy, laser angiography, leech therapy, PDE inhibitors, and penile splints. Conclusion: The outcomes suggest a critical need for standardized protocols and further research into optimizing techniques and therapies to enhance the success rates as well as quality of life post-replantation. This review aims to guide future practices and encourage collaborative efforts to refine the complex microsurgical procedures involved in penile replantation.&quot;,&quot;publisher&quot;:&quot;SAGE Publications Inc&quot;,&quot;issue&quot;:&quot;4&quot;,&quot;volume&quot;:&quot;33&quot;,&quot;container-title-short&quot;:&quot;&quot;},&quot;isTemporary&quot;:false},{&quot;id&quot;:&quot;b29af3fb-627d-3ce2-a1e5-d46a1cc48ee9&quot;,&quot;itemData&quot;:{&quot;type&quot;:&quot;article-journal&quot;,&quot;id&quot;:&quot;b29af3fb-627d-3ce2-a1e5-d46a1cc48ee9&quot;,&quot;title&quot;:&quot;The challenges and complications of re-implantation of the penis following amputation&quot;,&quot;author&quot;:[{&quot;family&quot;:&quot;De&quot;,&quot;given&quot;:&quot;Moumita&quot;,&quot;parse-names&quot;:false,&quot;dropping-particle&quot;:&quot;&quot;,&quot;non-dropping-particle&quot;:&quot;&quot;},{&quot;family&quot;:&quot;Dawar&quot;,&quot;given&quot;:&quot;Rakesh&quot;,&quot;parse-names&quot;:false,&quot;dropping-particle&quot;:&quot;&quot;,&quot;non-dropping-particle&quot;:&quot;&quot;}],&quot;container-title&quot;:&quot;Ghana Medical Journal&quot;,&quot;container-title-short&quot;:&quot;Ghana Med. J.&quot;,&quot;chapter-number&quot;:&quot;Articles&quot;,&quot;DOI&quot;:&quot;10.4314/gmj.v56i1.9&quot;,&quot;URL&quot;:&quot;https://www.ajol.info/index.php/gmj/article/view/223819&quot;,&quot;issued&quot;:{&quot;date-parts&quot;:[[2022,3,31]]},&quot;page&quot;:&quot;49-52&quot;,&quot;abstract&quot;:&quot;&amp;lt;p&amp;gt;Amputation of the penis is a rare and devastating injury. The etiologies vary from accidental, self-inflicted to attacks due to sexual jealousy and revenge. In the present era of microvascular surgery, replantation is the standard care. However, replantation of the penis comes with its own set of difficulties and complications. Knowledge of the anatomy and prior knowledge of the possible complications makes the surgeon aware of the course of events after a replantation. It helps in devising strategies to overcome these challenges methodically. We present a case of penile replant with the complications that we encountered, and the measures are taken to counter them on our way to a successful outcome.&amp;lt;/p&amp;gt;&quot;,&quot;issue&quot;:&quot;1&quot;,&quot;volume&quot;:&quot;56&quot;},&quot;isTemporary&quot;:false},{&quot;id&quot;:&quot;56200410-8380-3c9e-b37e-c470741463d5&quot;,&quot;itemData&quot;:{&quot;type&quot;:&quot;article-journal&quot;,&quot;id&quot;:&quot;56200410-8380-3c9e-b37e-c470741463d5&quot;,&quot;title&quot;:&quot;Replantation following complete penile amputation: Summary of perioperative experience and treatment strategies&quot;,&quot;author&quot;:[{&quot;family&quot;:&quot;Liu&quot;,&quot;given&quot;:&quot;Hanchao&quot;,&quot;parse-names&quot;:false,&quot;dropping-particle&quot;:&quot;&quot;,&quot;non-dropping-particle&quot;:&quot;&quot;},{&quot;family&quot;:&quot;Dong&quot;,&quot;given&quot;:&quot;Biao&quot;,&quot;parse-names&quot;:false,&quot;dropping-particle&quot;:&quot;&quot;,&quot;non-dropping-particle&quot;:&quot;&quot;},{&quot;family&quot;:&quot;Wu&quot;,&quot;given&quot;:&quot;Xiaolong&quot;,&quot;parse-names&quot;:false,&quot;dropping-particle&quot;:&quot;&quot;,&quot;non-dropping-particle&quot;:&quot;&quot;},{&quot;family&quot;:&quot;Hua&quot;,&quot;given&quot;:&quot;Lin&quot;,&quot;parse-names&quot;:false,&quot;dropping-particle&quot;:&quot;&quot;,&quot;non-dropping-particle&quot;:&quot;&quot;},{&quot;family&quot;:&quot;Zhang&quot;,&quot;given&quot;:&quot;Mingxiao&quot;,&quot;parse-names&quot;:false,&quot;dropping-particle&quot;:&quot;&quot;,&quot;non-dropping-particle&quot;:&quot;&quot;},{&quot;family&quot;:&quot;Li&quot;,&quot;given&quot;:&quot;Xiaotao&quot;,&quot;parse-names&quot;:false,&quot;dropping-particle&quot;:&quot;&quot;,&quot;non-dropping-particle&quot;:&quot;&quot;},{&quot;family&quot;:&quot;Liu&quot;,&quot;given&quot;:&quot;Jiaqin&quot;,&quot;parse-names&quot;:false,&quot;dropping-particle&quot;:&quot;&quot;,&quot;non-dropping-particle&quot;:&quot;&quot;},{&quot;family&quot;:&quot;Zhan&quot;,&quot;given&quot;:&quot;Junfeng&quot;,&quot;parse-names&quot;:false,&quot;dropping-particle&quot;:&quot;&quot;,&quot;non-dropping-particle&quot;:&quot;&quot;},{&quot;family&quot;:&quot;Gao&quot;,&quot;given&quot;:&quot;Xintao&quot;,&quot;parse-names&quot;:false,&quot;dropping-particle&quot;:&quot;&quot;,&quot;non-dropping-particle&quot;:&quot;&quot;},{&quot;family&quot;:&quot;Chen&quot;,&quot;given&quot;:&quot;Rui&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Zhenqing&quot;,&quot;parse-names&quot;:false,&quot;dropping-particle&quot;:&quot;&quot;,&quot;non-dropping-particle&quot;:&quot;&quot;},{&quot;family&quot;:&quot;Sun&quot;,&quot;given&quot;:&quot;Zhuolun&quot;,&quot;parse-names&quot;:false,&quot;dropping-particle&quot;:&quot;&quot;,&quot;non-dropping-particle&quot;:&quot;&quot;},{&quot;family&quot;:&quot;Xie&quot;,&quot;given&quot;:&quot;Chong&quot;,&quot;parse-names&quot;:false,&quot;dropping-particle&quot;:&quot;&quot;,&quot;non-dropping-particle&quot;:&quot;&quot;},{&quot;family&quot;:&quot;Jiang&quot;,&quot;given&quot;:&quot;Zhuanxin&quot;,&quot;parse-names&quot;:false,&quot;dropping-particle&quot;:&quot;&quot;,&quot;non-dropping-particle&quot;:&quot;&quot;}],&quot;container-title&quot;:&quot;Andrology&quot;,&quot;container-title-short&quot;:&quot;Andrology&quot;,&quot;DOI&quot;:&quot;https://doi.org/10.1111/andr.13783&quot;,&quot;ISSN&quot;:&quot;2047-2919&quot;,&quot;URL&quot;:&quot;https://doi.org/10.1111/andr.13783&quot;,&quot;issued&quot;:{&quot;date-parts&quot;:[[2025,9,1]]},&quot;page&quot;:&quot;1469-1483&quot;,&quot;abstract&quot;:&quot;Abstract Introduction To date, there are only case reports of penile amputation, a rare urological emergency with a low-treatment successful rate, and there are still no advanced, detailed surgical or perioperative treatment plans. Effective treatments for these rare diseases are urgently needed. Method The researchers summarized the perioperative experience of 20 patients who underwent replantation after complete penile amputation at several hospitals over the past 5 years and shared experience in detail. Results Only 1 of the 20 surgeries failed, and both urinary and erectile functions were successfully restored in other cases, indicating that the surgical methods and perioperative treatments summarized by researchers are feasible and highly successful for replantation following complete penile amputation. Conclusion Researchers have summarized the method and perioperative plan for replantation following penile amputation based on a summary of 20 cases, thereby providing guidance for urologists and andrologists.&quot;,&quot;publisher&quot;:&quot;John Wiley &amp; Sons, Ltd&quot;,&quot;issue&quot;:&quot;6&quot;,&quot;volume&quot;:&quot;13&quot;},&quot;isTemporary&quot;:false}]},{&quot;citationID&quot;:&quot;MENDELEY_CITATION_98814dc7-9152-4249-b1e0-fbf13c13d549&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ecb44bd3-70d3-4a04-b47a-ac460d513c5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894f56b4-0594-424b-8047-eafcc2458a6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d560198-201e-4a9a-9e33-67205bd2ae21&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f906bed6-e081-41e2-8295-50f8dc8a2521&quot;,&quot;properties&quot;:{&quot;noteIndex&quot;:0},&quot;isEdited&quot;:false,&quot;manualOverride&quot;:{&quot;isManuallyOverridden&quot;:false,&quot;citeprocText&quot;:&quot;(Kulkarni et al., 2025; B. Morris et al., 2024; Nergül et al., 2026)&quot;,&quot;manualOverrideText&quot;:&quot;&quot;},&quot;citationTag&quot;:&quot;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quot;,&quot;citationItems&quot;:[{&quot;id&quot;:&quot;b526015b-2b1f-3df3-96b9-73e1187573ba&quot;,&quot;itemData&quot;:{&quot;type&quot;:&quot;report&quot;,&quot;id&quot;:&quot;b526015b-2b1f-3df3-96b9-73e1187573ba&quot;,&quot;title&quot;:&quot;Legal Implications of Surgical Malpractice: An Analytical Approach&quot;,&quot;author&quot;:[{&quot;family&quot;:&quot;Kulkarni&quot;,&quot;given&quot;:&quot;Ram&quot;,&quot;parse-names&quot;:false,&quot;dropping-particle&quot;:&quot;&quot;,&quot;non-dropping-particle&quot;:&quot;&quot;},{&quot;family&quot;:&quot;Khare&quot;,&quot;given&quot;:&quot;Abhilasha&quot;,&quot;parse-names&quot;:false,&quot;dropping-particle&quot;:&quot;&quot;,&quot;non-dropping-particle&quot;:&quot;&quot;},{&quot;family&quot;:&quot;Cherian&quot;,&quot;given&quot;:&quot;Iype&quot;,&quot;parse-names&quot;:false,&quot;dropping-particle&quot;:&quot;&quot;,&quot;non-dropping-particle&quot;:&quot;&quot;},{&quot;family&quot;:&quot;Chougule&quot;,&quot;given&quot;:&quot;Umesh&quot;,&quot;parse-names&quot;:false,&quot;dropping-particle&quot;:&quot;&quot;,&quot;non-dropping-particle&quot;:&quot;&quot;},{&quot;family&quot;:&quot;Lal Soni&quot;,&quot;given&quot;:&quot;Shankar&quot;,&quot;parse-names&quot;:false,&quot;dropping-particle&quot;:&quot;&quot;,&quot;non-dropping-particle&quot;:&quot;&quot;},{&quot;family&quot;:&quot;Kiran Wani&quot;,&quot;given&quot;:&quot;Lalita&quot;,&quot;parse-names&quot;:false,&quot;dropping-particle&quot;:&quot;&quot;,&quot;non-dropping-particle&quot;:&quot;&quot;},{&quot;family&quot;:&quot;Professor&quot;,&quot;given&quot;:&quot;Asst&quot;,&quot;parse-names&quot;:false,&quot;dropping-particle&quot;:&quot;&quot;,&quot;non-dropping-particle&quot;:&quot;&quot;},{&quot;family&quot;:&quot;Vidyapeeth&quot;,&quot;given&quot;:&quot;Bharati&quot;,&quot;parse-names&quot;:false,&quot;dropping-particle&quot;:&quot;&quot;,&quot;non-dropping-particle&quot;:&quot;&quot;}],&quot;container-title&quot;:&quot;Journal of Neonatal Surgery ISSN&quot;,&quot;URL&quot;:&quot;https://www.jneonatalsurg.compg.1&quot;,&quot;issued&quot;:{&quot;date-parts&quot;:[[2025]]},&quot;number-of-pages&quot;:&quot;1-11&quot;,&quot;abstract&quot;:&quot;A major issue in the medical industry, surgical fraud might cause lawsuits against organisations and personnel. The kind of analysis used in this work clarifies the legal consequences of medical misconduct. It examines the primary causes of surgical errors, including procedural errors, poor communication, and insufficient patient monitoring, including This paper examines case studies and past rulings to demonstrate how courts determine who is liable in surgical malpractice claims and the difficulties proving negligence or breach of duty. The research also examines how libel insurance supports the protection of those in the healthcare sector. The article also discusses how informed consent, patient rights, and how the legislation is evolving as recording is progressively becoming more and more crucial in reducing the possibility of litigation. The findings make it very evident that we need tougher legislation to handle medical fraud, more training, and better means of communication. According to the findings, healthcare professionals must be well-versed in both the medical and legal domains if they are to keep patients safe, lower risks, and guard themselves from any legal issues.&quot;,&quot;issue&quot;:&quot;2s&quot;,&quot;volume&quot;:&quot;14&quot;,&quot;container-title-short&quot;:&quot;&quot;},&quot;isTemporary&quot;:false},{&quot;id&quot;:&quot;5ebd44c8-73af-3c89-95ec-a44076bbabf3&quot;,&quot;itemData&quot;:{&quot;type&quot;:&quot;article-journal&quot;,&quot;id&quot;:&quot;5ebd44c8-73af-3c89-95ec-a44076bbabf3&quot;,&quot;title&quot;:&quot;Neonatal Male Circumcision: Clearly Beneficial for Public Health or an Ethical Dilemma? A Systematic Review&quot;,&quot;author&quot;:[{&quot;family&quot;:&quot;Morris&quot;,&quot;given&quot;:&quot;Brian&quot;,&quot;parse-names&quot;:false,&quot;dropping-particle&quot;:&quot;&quot;,&quot;non-dropping-particle&quot;:&quot;&quot;},{&quot;family&quot;:&quot;Rivin&quot;,&quot;given&quot;:&quot;Beth E&quot;,&quot;parse-names&quot;:false,&quot;dropping-particle&quot;:&quot;&quot;,&quot;non-dropping-particle&quot;:&quot;&quot;},{&quot;family&quot;:&quot;Sheldon&quot;,&quot;given&quot;:&quot;Mark&quot;,&quot;parse-names&quot;:false,&quot;dropping-particle&quot;:&quot;&quot;,&quot;non-dropping-particle&quot;:&quot;&quot;},{&quot;family&quot;:&quot;Krieger&quot;,&quot;given&quot;:&quot;John N&quot;,&quot;parse-names&quot;:false,&quot;dropping-particle&quot;:&quot;&quot;,&quot;non-dropping-particle&quot;:&quot;&quot;}],&quot;container-title&quot;:&quot;Cureus&quot;,&quot;container-title-short&quot;:&quot;Cureus&quot;,&quot;DOI&quot;:&quot;10.7759/cureus.54772&quot;,&quot;issued&quot;:{&quot;date-parts&quot;:[[2024,2,23]]},&quot;abstract&quot;:&quot;Contrasting ethical and legal arguments have been made concerning neonatal male circumcision (NMC) that merit the first systematic review on this topic. We performed PRISMA-compliant keyword searches of PubMed, EMBASE, SCOPUS, LexisNexis, and other databases and identified 61 articles that met the inclusion criteria. In the bibliographies of these articles, we identified 58 more relevant articles and 28 internet items. We found high-quality evidence that NMC is a low-risk procedure that provides immediate and lifetime medical and health benefits and only rarely leads to later adverse effects on sexual function or pleasure. Given this evidence, we conclude that discouraging or denying NMC is unethical from the perspective of the United Nations Convention on the Rights of the Child, which emphasizes the right to health. Further, case law supports the legality of NMC. We found, conversely, that the ethical arguments against NMC rely on distortions of the medical evidence. Thus, NMC, by experienced operators using available safety precautions, appears to be both legal and ethical. Consistent with this conclusion, all of the evidence-based pediatric policies that we reviewed describe NMC as low-risk and beneficial to public health. We calculated that a reduction in NMC in the United States from 80% to 10% would substantially increase the cases of adverse medical conditions. The present findings thus support the evidence-based NMC policy statements and are inconsistent with the non-evidence-based policies that discourage NMC. On balance, the arguments and evidence reviewed here indicate that NMC is a medically beneficial and ethical public health intervention early in life because it reduces suffering, deaths, cases, and costs of treating adverse medical conditions throughout the lifetimes of circumcised individuals.&quot;,&quot;publisher&quot;:&quot;Springer Science and Business Media LLC&quot;},&quot;isTemporary&quot;:false},{&quot;id&quot;:&quot;13009110-544a-39a0-b543-714b895b8cd5&quot;,&quot;itemData&quot;:{&quot;type&quot;:&quot;article-journal&quot;,&quot;id&quot;:&quot;13009110-544a-39a0-b543-714b895b8cd5&quot;,&quot;title&quot;:&quot;Medical malpractice in pediatric surgery: an analysis of Supreme Court decisions involving physicians&quot;,&quot;author&quot;:[{&quot;family&quot;:&quot;Nergül&quot;,&quot;given&quot;:&quot;Çördük&quot;,&quot;parse-names&quot;:false,&quot;dropping-particle&quot;:&quot;&quot;,&quot;non-dropping-particle&quot;:&quot;&quot;},{&quot;family&quot;:&quot;Abdülkadir&quot;,&quot;given&quot;:&quot;İzci&quot;,&quot;parse-names&quot;:false,&quot;dropping-particle&quot;:&quot;&quot;,&quot;non-dropping-particle&quot;:&quot;&quot;},{&quot;family&quot;:&quot;Kurtulus&quot;,&quot;given&quot;:&quot;Dereli Ayse&quot;,&quot;parse-names&quot;:false,&quot;dropping-particle&quot;:&quot;&quot;,&quot;non-dropping-particle&quot;:&quot;&quot;},{&quot;family&quot;:&quot;Kemalettin&quot;,&quot;given&quot;:&quot;Acar&quot;,&quot;parse-names&quot;:false,&quot;dropping-particle&quot;:&quot;&quot;,&quot;non-dropping-particle&quot;:&quot;&quot;}],&quot;container-title&quot;:&quot;Annals of Saudi Medicine&quot;,&quot;container-title-short&quot;:&quot;Ann. Saudi Med.&quot;,&quot;DOI&quot;:&quot;10.5144/0256-4947.2026.1&quot;,&quot;URL&quot;:&quot;https://doi.org/10.5144/0256-4947.2026.1&quot;,&quot;issued&quot;:{&quot;date-parts&quot;:[[2026,1,1]]},&quot;page&quot;:&quot;1-8&quot;,&quot;publisher&quot;:&quot;King Faisal Specialist Hospital &amp; Research Centre&quot;,&quot;issue&quot;:&quot;1&quot;,&quot;volume&quot;:&quot;46&quot;},&quot;isTemporary&quot;:false}]},{&quot;citationID&quot;:&quot;MENDELEY_CITATION_2fc147fd-34da-466c-a8ee-f8af5722b575&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d42f28e6-083b-4c85-920d-5c45021e6f2a&quot;,&quot;properties&quot;:{&quot;noteIndex&quot;:0},&quot;isEdited&quot;:false,&quot;manualOverride&quot;:{&quot;isManuallyOverridden&quot;:false,&quot;citeprocText&quot;:&quot;(Emond et al., 2022; Labrague, 2024)&quot;,&quot;manualOverrideText&quot;:&quot;&quot;},&quot;citationTag&quot;:&quot;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quot;,&quot;citationItems&quot;:[{&quot;id&quot;:&quot;d31fa201-098d-3299-979e-b939ee05c6df&quot;,&quot;itemData&quot;:{&quot;type&quot;:&quot;article-journal&quot;,&quot;id&quot;:&quot;d31fa201-098d-3299-979e-b939ee05c6df&quot;,&quot;title&quot;:&quot;Increased adherence to perioperative safety guidelines associated with improved patient safety outcomes: a stepped-wedge, cluster-randomised multicentre trial&quot;,&quot;author&quot;:[{&quot;family&quot;:&quot;Emond&quot;,&quot;given&quot;:&quot;Yvette E.J.J.M.&quot;,&quot;parse-names&quot;:false,&quot;dropping-particle&quot;:&quot;&quot;,&quot;non-dropping-particle&quot;:&quot;&quot;},{&quot;family&quot;:&quot;Calsbeek&quot;,&quot;given&quot;:&quot;Hiske&quot;,&quot;parse-names&quot;:false,&quot;dropping-particle&quot;:&quot;&quot;,&quot;non-dropping-particle&quot;:&quot;&quot;},{&quot;family&quot;:&quot;Peters&quot;,&quot;given&quot;:&quot;Yvonne A S&quot;,&quot;parse-names&quot;:false,&quot;dropping-particle&quot;:&quot;&quot;,&quot;non-dropping-particle&quot;:&quot;&quot;},{&quot;family&quot;:&quot;Bloo&quot;,&quot;given&quot;:&quot;Gerrit J A&quot;,&quot;parse-names&quot;:false,&quot;dropping-particle&quot;:&quot;&quot;,&quot;non-dropping-particle&quot;:&quot;&quot;},{&quot;family&quot;:&quot;Teerenstra&quot;,&quot;given&quot;:&quot;Steven&quot;,&quot;parse-names&quot;:false,&quot;dropping-particle&quot;:&quot;&quot;,&quot;non-dropping-particle&quot;:&quot;&quot;},{&quot;family&quot;:&quot;Westert&quot;,&quot;given&quot;:&quot;Gert P&quot;,&quot;parse-names&quot;:false,&quot;dropping-particle&quot;:&quot;&quot;,&quot;non-dropping-particle&quot;:&quot;&quot;},{&quot;family&quot;:&quot;Damen&quot;,&quot;given&quot;:&quot;Johan&quot;,&quot;parse-names&quot;:false,&quot;dropping-particle&quot;:&quot;&quot;,&quot;non-dropping-particle&quot;:&quot;&quot;},{&quot;family&quot;:&quot;Wollersheim&quot;,&quot;given&quot;:&quot;Hub C&quot;,&quot;parse-names&quot;:false,&quot;dropping-particle&quot;:&quot;&quot;,&quot;non-dropping-particle&quot;:&quot;&quot;},{&quot;family&quot;:&quot;Wolff&quot;,&quot;given&quot;:&quot;André P&quot;,&quot;parse-names&quot;:false,&quot;dropping-particle&quot;:&quot;&quot;,&quot;non-dropping-particle&quot;:&quot;&quot;}],&quot;container-title&quot;:&quot;British Journal of Anaesthesia&quot;,&quot;container-title-short&quot;:&quot;Br. J. Anaesth.&quot;,&quot;DOI&quot;:&quot;https://doi.org/10.1016/j.bja.2021.12.019&quot;,&quot;ISSN&quot;:&quot;0007-0912&quot;,&quot;URL&quot;:&quot;https://www.sciencedirect.com/science/article/pii/S0007091221008345&quot;,&quot;issued&quot;:{&quot;date-parts&quot;:[[2022]]},&quot;page&quot;:&quot;562-573&quot;,&quot;abstract&quot;:&quot;Background\nNational Dutch guidelines have been introduced to improve suboptimal perioperative care. A multifaceted implementation programme (IMPlementatie Richtlijnen Operatieve VEiligheid [IMPROVE]) has been developed to support hospitals in applying these guidelines. This study evaluated the effectiveness of IMPROVE on guideline adherence and the association between guideline adherence and patient safety.\nMethods\nNine hospitals participated in this unblinded, superiority, stepped-wedge, cluster RCT in patients with major noncardiac surgery (mortality risk ≥1%). IMPROVE consisted of educational activities, audit and feedback, reminders, organisational, team-directed, and patient-mediated activities. The primary outcome of the study was guideline adherence measured by nine patient safety indicators on the process (stop moments from the composite STOP bundle, and timely administration of antibiotics) and on the structure of perioperative care. Secondary safety outcomes included in-hospital complications, postoperative wound infections, mortality, length of hospital stay, and unplanned care.\nResults\nData were analysed for 1934 patients. The IMPROVE programme improved one stop moment: ‘discharge from recovery room’ (+16%; 95% confidence interval [CI], 9–23%). This stop moment was related to decreased mortality (–3%; 95% CI, –4% to –1%), fewer complications (–8%; 95% CI, –13% to –3%), and fewer unscheduled transfers to the ICU (–6%; 95% CI, –9% to –3%). IMPROVE negatively affected one other stop moment – ‘discharge from the hospital’ – possibly because of the limited resources of hospitals to improve all stop moments together.\nConclusions\nMixed implementation effects of IMPROVE were found. We found some positive associations between guideline adherence and patient safety (i.e. mortality, complications, and unscheduled transfers to the ICU) except for the timely administration of antibiotics.\nClinical trial registration\nNTR3568 (Dutch Trial Registry).&quot;,&quot;issue&quot;:&quot;3&quot;,&quot;volume&quot;:&quot;128&quot;},&quot;isTemporary&quot;:false},{&quot;id&quot;:&quot;1dfe204a-dc73-3dd3-8daf-ac8819db7ecb&quot;,&quot;itemData&quot;:{&quot;type&quot;:&quot;article-journal&quot;,&quot;id&quot;:&quot;1dfe204a-dc73-3dd3-8daf-ac8819db7ecb&quot;,&quot;title&quot;:&quot;Nurses' adherence to patient safety protocols and its relationship with adverse patient events&quot;,&quot;author&quot;:[{&quot;family&quot;:&quot;Labrague&quot;,&quot;given&quot;:&quot;Leodoro J&quot;,&quot;parse-names&quot;:false,&quot;dropping-particle&quot;:&quot;&quot;,&quot;non-dropping-particle&quot;:&quot;&quot;}],&quot;container-title&quot;:&quot;Journal of Nursing Scholarship&quot;,&quot;DOI&quot;:&quot;https://doi.org/10.1111/jnu.12942&quot;,&quot;ISSN&quot;:&quot;1527-6546&quot;,&quot;URL&quot;:&quot;https://doi.org/10.1111/jnu.12942&quot;,&quot;issued&quot;:{&quot;date-parts&quot;:[[2024,3,1]]},&quot;page&quot;:&quot;282-290&quot;,&quot;abstract&quot;:&quot;Abstract Introduction Ensuring patient safety is a critical component of healthcare delivery, and nurses play a vital role in adhering to patient safety protocols to prevent adverse events. However, studies linking nurses' adherence to these protocols with patient outcomes is scarce. This study has two-fold purposes: (1) to examine determinants of nurses' adherence to patient safety protocols, and (2) to investigate the relationship between nurses' adherence to patient safety protocols and adverse patient events. Design A cross-sectional design. Methods A total of 343 clinical nurses from five hospitals in the Philippines were included in this study. Two standardized scales were used to collect data, including the Patient Safety Adherence Scale and the Adverse Patient Events Scale. Data collection took place from April 2022 to August 2022. Results Adherence to patient safety protocols was generally moderate to high (M?=?4.483), while nurse-reported adverse events occurred at a lower frequency (M?=?1.150). Lower adherence rates were identified in areas such as reporting safety errors (M?=?3.950), conducting fall risk assessments (M?=?4.299), and adhering to pressure ulcer prevention guidelines (M?=?3.979). Patients' and their families' complaints (M?=?2.129) and abuses (M?=?1.475) were the most frequently reported adverse events. Increased adherence to safety protocols was associated with higher reporting of adverse patient events (??=?0.115, p?&lt;?0.001). Conclusion Higher adherence to patient safety protocols resulted in an increased reporting of adverse patient events. The factors identified that contributed to nurses' adherence to patient safety protocols can be utilized in the development of strategies aimed at improving compliance, especially in areas where adherence is currently low. Clinical Relevance Healthcare organizations should prioritize efforts to enhance adherence to patient safety protocols, particularly in areas with lower compliance rates, through relevant trainings, resource provision, and support systems. Promoting a culture of open communication and reporting can significantly contribute to reducing adverse events and improving patient safety.&quot;,&quot;publisher&quot;:&quot;John Wiley &amp; Sons, Ltd&quot;,&quot;issue&quot;:&quot;2&quot;,&quot;volume&quot;:&quot;56&quot;,&quot;container-title-short&quot;:&quot;&quot;},&quot;isTemporary&quot;:false}]},{&quot;citationID&quot;:&quot;MENDELEY_CITATION_7d68c028-cf6a-4001-b2bb-a23dfa1a7af1&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quot;,&quot;citationItems&quot;:[{&quot;id&quot;:&quot;88fbeb88-1a69-34f1-94ee-63763afee9e4&quot;,&quot;itemData&quot;:{&quot;type&quot;:&quot;article-journal&quot;,&quot;id&quot;:&quot;88fbeb88-1a69-34f1-94ee-63763afee9e4&quot;,&quot;title&quot;:&quot;Analysis of related factors between the occurrence of secondary epidermoid cyst of penis and circumcision&quot;,&quot;author&quot;:[{&quot;family&quot;:&quot;Yu&quot;,&quot;given&quot;:&quot;JiangFan&quot;,&quot;parse-names&quot;:false,&quot;dropping-particle&quot;:&quot;&quot;,&quot;non-dropping-particle&quot;:&quot;&quot;},{&quot;family&quot;:&quot;Tang&quot;,&quot;given&quot;:&quot;Rui&quot;,&quot;parse-names&quot;:false,&quot;dropping-particle&quot;:&quot;&quot;,&quot;non-dropping-particle&quot;:&quot;&quot;},{&quot;family&quot;:&quot;Ding&quot;,&quot;given&quot;:&quot;Ke&quot;,&quot;parse-names&quot;:false,&quot;dropping-particle&quot;:&quot;&quot;,&quot;non-dropping-particle&quot;:&quot;&quot;}],&quot;container-title&quot;:&quot;Scientific Reports&quot;,&quot;container-title-short&quot;:&quot;Sci. Rep.&quot;,&quot;DOI&quot;:&quot;10.1038/s41598-022-16876-y&quot;,&quot;ISSN&quot;:&quot;2045-2322&quot;,&quot;URL&quot;:&quot;https://doi.org/10.1038/s41598-022-16876-y&quot;,&quot;issued&quot;:{&quot;date-parts&quot;:[[2022]]},&quot;page&quot;:&quot;13563&quot;,&quot;abstract&quot;:&quot;Secondary epidermoid cyst of the penis is a very rare epidermoid cyst that occurs in the penis. The purpose of this study was to investigate the relationship between the occurrence of secondary epidermoid cyst of penis and circumcision-related factors, and to provide possible reasonable and effective suggestions for circumcision. The data of all patients who visited the clinic for epidermoid cysts of the penis from September 2000 to September 2021 in Xiangya Hospital were collected. A retrospective study was carried out on whether the patients had been circumcised and the surgical method, anesthesia method, cyst location, surgical age, postoperative wound infection, whether they were phimosis patients, and the level of the surgeon. Among the 24 patients followed up, 95.8% had a history of circumcision, and only 4.2% had no history of circumcision, and the more traumatic surgical methods developed secondary epidermoid cyst of the penis after surgery the higher the probability. Injecting anesthesia at the base of the penis increases the chances of developing a secondary epidermoid cyst of the penis. Postoperative secondary epidermoid cyst of the penis were mainly located in the anterior segment and posterior segment, and the anterior segment had a higher proportion, followed by the posterior segment. Secondary epidermoid cyst of the penis occur mainly in adults. Postoperative wound infection accelerates the appearance of secondary epidermoid cyst of the penis. Patients with phimosis have an increased probability of developing secondary epidermoid cysts of the penis after surgery. The incidence of secondary epidermoid cysts and postoperative infection after manual circumcision by the attending physician was higher than that of the chief physician. Circumcision, injection of anesthesia at the base of the penis, ligation of the penis, and postoperative wound infection may be the etiologies and triggers of secondary epidermoid cysts of the penis. Adults and phimosis patients may be high-risk groups. Lower-level surgeons may increase the odds of postoperative secondary epidermoid cysts of the penis, and it is recommended that surgery be performed by a clinically-experienced, higher-level surgeon. The indications for circumcision should be strictly evaluated and the operation should be performed as soon as possible, and the less invasive surgical method and anesthesia method should be selected. Reduce irrelevant operations during surgery and avoid wound infection after surgery.&quot;,&quot;issue&quot;:&quot;1&quot;,&quot;volume&quot;:&quot;12&quot;},&quot;isTemporary&quot;:false}]},{&quot;citationID&quot;:&quot;MENDELEY_CITATION_c010fe24-f728-47ae-b255-aa8df4b89c6b&quot;,&quot;properties&quot;:{&quot;noteIndex&quot;:0},&quot;isEdited&quot;:false,&quot;manualOverride&quot;:{&quot;isManuallyOverridden&quot;:false,&quot;citeprocText&quot;:&quot;(Tye &amp;#38; Sardi, 2023)&quot;,&quot;manualOverrideText&quot;:&quot;&quot;},&quot;citationTag&quot;:&quot;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quot;,&quot;citationItems&quot;:[{&quot;id&quot;:&quot;19e1292f-047f-3ec2-a100-ec61d240143f&quot;,&quot;itemData&quot;:{&quot;type&quot;:&quot;article-journal&quot;,&quot;id&quot;:&quot;19e1292f-047f-3ec2-a100-ec61d240143f&quot;,&quot;title&quot;:&quot;Psychological, psychosocial, and psychosexual aspects of penilecircumcision&quot;,&quot;author&quot;:[{&quot;family&quot;:&quot;Tye&quot;,&quot;given&quot;:&quot;Marcus C&quot;,&quot;parse-names&quot;:false,&quot;dropping-particle&quot;:&quot;&quot;,&quot;non-dropping-particle&quot;:&quot;&quot;},{&quot;family&quot;:&quot;Sardi&quot;,&quot;given&quot;:&quot;Lauren M&quot;,&quot;parse-names&quot;:false,&quot;dropping-particle&quot;:&quot;&quot;,&quot;non-dropping-particle&quot;:&quot;&quot;}],&quot;container-title&quot;:&quot;International Journal of Impotence Research&quot;,&quot;container-title-short&quot;:&quot;Int. J. Impot. Res.&quot;,&quot;DOI&quot;:&quot;10.1038/s41443-022-00553-9&quot;,&quot;ISSN&quot;:&quot;1476-5489&quot;,&quot;URL&quot;:&quot;https://doi.org/10.1038/s41443-022-00553-9&quot;,&quot;issued&quot;:{&quot;date-parts&quot;:[[2023]]},&quot;page&quot;:&quot;242-248&quot;,&quot;abstract&quot;:&quot;Policy statements on penile circumcision have focused primarily ondisease, dysfunction, or sensation, with relatively little consideration ofpsychological and psychosocial implications of the procedure. There has also beenminimal consideration of potential qualitative changes in the subjective experienceof sexual activity following changes in penile anatomy (foreskin removal) orassociated sexual biomechanics. We present a critical overview of literature on thepsychological, psychosocial, and psychosexual implications of penile circumcision.We give consideration to differences among circumcisions performed in infancy,childhood, or adulthood. We also discuss potential psychosocial effects on parentselecting, or failing to elect, circumcision for their children. We propose aframework for policy considerations and future research, recognizing that culturalcontext is particularly salient for the narratives individuals construct aroundpenile circumcision, including both affected individuals and medical professionalswho perform the surgeries. We argue that additional attention should be paid to thepotential for long-term effects of the procedure that may not be properly consideredwhen the patient is an infant or child.&quot;,&quot;issue&quot;:&quot;3&quot;,&quot;volume&quot;:&quot;3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51AC7-1397-44A7-BCDB-EF1296CAA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9718</Words>
  <Characters>55395</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Dr. Mubarak</cp:lastModifiedBy>
  <cp:revision>3</cp:revision>
  <dcterms:created xsi:type="dcterms:W3CDTF">2026-04-12T22:22:00Z</dcterms:created>
  <dcterms:modified xsi:type="dcterms:W3CDTF">2026-04-12T22:22:00Z</dcterms:modified>
</cp:coreProperties>
</file>