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2"/>
        </w:rPr>
        <w:t>20 August 2026</w:t>
      </w:r>
    </w:p>
    <w:p>
      <w:pPr>
        <w:spacing w:after="0"/>
      </w:pPr>
      <w:r>
        <w:rPr>
          <w:rFonts w:ascii="Times New Roman" w:hAnsi="Times New Roman"/>
          <w:sz w:val="22"/>
        </w:rPr>
        <w:t>Editor-in-Chief</w:t>
      </w:r>
    </w:p>
    <w:p>
      <w:pPr>
        <w:spacing w:after="0"/>
      </w:pPr>
      <w:r>
        <w:rPr>
          <w:rFonts w:ascii="Times New Roman" w:hAnsi="Times New Roman"/>
          <w:sz w:val="22"/>
        </w:rPr>
        <w:t>Annals of Laboratory Medicine</w:t>
      </w:r>
    </w:p>
    <w:p>
      <w:pPr>
        <w:spacing w:before="200"/>
      </w:pPr>
      <w:r>
        <w:rPr>
          <w:rFonts w:ascii="Times New Roman" w:hAnsi="Times New Roman"/>
          <w:sz w:val="22"/>
        </w:rPr>
        <w:t>Dear Editor-in-Chief,</w:t>
      </w:r>
    </w:p>
    <w:p>
      <w:pPr>
        <w:spacing w:line="276" w:lineRule="auto" w:after="160"/>
        <w:jc w:val="both"/>
      </w:pPr>
      <w:r>
        <w:rPr>
          <w:rFonts w:ascii="Times New Roman" w:hAnsi="Times New Roman"/>
          <w:sz w:val="22"/>
        </w:rPr>
        <w:t>We are pleased to submit our Original Article entitled “Low frequency of TCF7L2 rs12255372 and its relationship with C-peptide, insulin resistance, and type 2 diabetes in Indonesian adults” for consideration for publication in Annals of Laboratory Medicine, under the specific area of Diagnostic Genetics.</w:t>
      </w:r>
    </w:p>
    <w:p>
      <w:pPr>
        <w:spacing w:line="276" w:lineRule="auto" w:after="160"/>
        <w:jc w:val="both"/>
      </w:pPr>
      <w:r>
        <w:rPr>
          <w:rFonts w:ascii="Times New Roman" w:hAnsi="Times New Roman"/>
          <w:sz w:val="22"/>
        </w:rPr>
        <w:t>This study evaluated the association of the TCF7L2 rs12255372 variant with type 2 diabetes mellitus (T2DM), C-peptide concentrations, and insulin resistance in an Indonesian adult cohort. Genotyping was performed by PCR amplification followed by Sanger sequencing. The rs12255372 T allele was uncommon in the study population, and no detectable association with T2DM, C-peptide, or HOMA-IR was identified. These findings provide population-specific genetic data from Indonesia and underscore the importance of ancestry-informed validation of diabetes-associated variants.</w:t>
      </w:r>
    </w:p>
    <w:p>
      <w:pPr>
        <w:spacing w:line="276" w:lineRule="auto" w:after="160"/>
        <w:jc w:val="both"/>
      </w:pPr>
      <w:r>
        <w:rPr>
          <w:rFonts w:ascii="Times New Roman" w:hAnsi="Times New Roman"/>
          <w:sz w:val="22"/>
        </w:rPr>
        <w:t>We believe the manuscript is relevant to the readership of Annals of Laboratory Medicine because it combines diagnostic genetic testing with biochemical phenotyping and addresses an underrepresented Southeast Asian population in diabetes genetics.</w:t>
      </w:r>
    </w:p>
    <w:p>
      <w:pPr>
        <w:spacing w:line="276" w:lineRule="auto" w:after="160"/>
        <w:jc w:val="both"/>
      </w:pPr>
      <w:r>
        <w:rPr>
          <w:rFonts w:ascii="Times New Roman" w:hAnsi="Times New Roman"/>
          <w:sz w:val="22"/>
        </w:rPr>
        <w:t>The study was conducted in accordance with the Declaration of Helsinki and received approval from the institutional research ethics committee. Written informed consent was obtained from all participants.</w:t>
      </w:r>
    </w:p>
    <w:p>
      <w:pPr>
        <w:spacing w:line="276" w:lineRule="auto" w:after="160"/>
        <w:jc w:val="both"/>
      </w:pPr>
      <w:r>
        <w:rPr>
          <w:rFonts w:ascii="Times New Roman" w:hAnsi="Times New Roman"/>
          <w:sz w:val="22"/>
        </w:rPr>
        <w:t>This manuscript has not been published previously and is not under consideration for publication elsewhere. All authors have reviewed and approved the final manuscript and agree with its submission to Annals of Laboratory Medicine.</w:t>
      </w:r>
    </w:p>
    <w:p>
      <w:pPr>
        <w:spacing w:line="276" w:lineRule="auto" w:after="160"/>
        <w:jc w:val="both"/>
      </w:pPr>
      <w:r>
        <w:rPr>
          <w:rFonts w:ascii="Times New Roman" w:hAnsi="Times New Roman"/>
          <w:sz w:val="22"/>
        </w:rPr>
        <w:t>Generative AI tools were used to assist with language editing, structural organization, and formatting of the manuscript. All scientific content, data, statistical results, interpretations, and references were reviewed and verified by the authors, who take full responsibility for the final manuscript.</w:t>
      </w:r>
    </w:p>
    <w:p>
      <w:pPr>
        <w:spacing w:line="276" w:lineRule="auto" w:after="160"/>
        <w:jc w:val="both"/>
      </w:pPr>
      <w:r>
        <w:rPr>
          <w:rFonts w:ascii="Times New Roman" w:hAnsi="Times New Roman"/>
          <w:sz w:val="22"/>
        </w:rPr>
        <w:t>Thank you for considering our manuscript. We appreciate the opportunity to submit our work to Annals of Laboratory Medicine and look forward to your consideration.</w:t>
      </w:r>
    </w:p>
    <w:p>
      <w:pPr>
        <w:spacing w:before="160"/>
      </w:pPr>
      <w:r>
        <w:rPr>
          <w:rFonts w:ascii="Times New Roman" w:hAnsi="Times New Roman"/>
          <w:sz w:val="22"/>
        </w:rPr>
        <w:t>Sincerely,</w:t>
      </w:r>
    </w:p>
    <w:p>
      <w:pPr>
        <w:spacing w:after="0"/>
      </w:pPr>
      <w:r>
        <w:rPr>
          <w:rFonts w:ascii="Times New Roman" w:hAnsi="Times New Roman"/>
          <w:b/>
          <w:sz w:val="22"/>
        </w:rPr>
        <w:t>Liong Boy Kurniawan, MD, Sp.PK, E.M.(K)</w:t>
      </w:r>
    </w:p>
    <w:p>
      <w:pPr>
        <w:spacing w:after="0"/>
      </w:pPr>
      <w:r>
        <w:rPr>
          <w:rFonts w:ascii="Times New Roman" w:hAnsi="Times New Roman"/>
          <w:b w:val="0"/>
          <w:sz w:val="22"/>
        </w:rPr>
        <w:t>Corresponding Author</w:t>
      </w:r>
    </w:p>
    <w:p>
      <w:pPr>
        <w:spacing w:after="0"/>
      </w:pPr>
      <w:r>
        <w:rPr>
          <w:rFonts w:ascii="Times New Roman" w:hAnsi="Times New Roman"/>
          <w:b w:val="0"/>
          <w:sz w:val="22"/>
        </w:rPr>
        <w:t>Department of Clinical Pathology, Faculty of Medicine, Hasanuddin University</w:t>
      </w:r>
    </w:p>
    <w:p>
      <w:pPr>
        <w:spacing w:after="0"/>
      </w:pPr>
      <w:r>
        <w:rPr>
          <w:rFonts w:ascii="Times New Roman" w:hAnsi="Times New Roman"/>
          <w:b w:val="0"/>
          <w:sz w:val="22"/>
        </w:rPr>
        <w:t>Makassar, Indonesia</w:t>
      </w:r>
    </w:p>
    <w:p>
      <w:pPr>
        <w:spacing w:after="0"/>
      </w:pPr>
      <w:r>
        <w:rPr>
          <w:rFonts w:ascii="Times New Roman" w:hAnsi="Times New Roman"/>
          <w:b w:val="0"/>
          <w:sz w:val="22"/>
        </w:rPr>
        <w:t>Email: liongboykurniawan@yahoo.com</w:t>
      </w:r>
    </w:p>
    <w:p>
      <w:pPr>
        <w:spacing w:after="0"/>
      </w:pPr>
      <w:r>
        <w:rPr>
          <w:rFonts w:ascii="Times New Roman" w:hAnsi="Times New Roman"/>
          <w:b w:val="0"/>
          <w:sz w:val="22"/>
        </w:rPr>
        <w:t>Tel: +62 812 4173 8007</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Annals of Laboratory Medicine</dc:title>
  <dc:subject>Original Article Submission</dc:subject>
  <dc:creator/>
  <cp:keywords/>
  <dc:description/>
  <cp:lastModifiedBy/>
  <cp:revision>1</cp:revision>
  <dcterms:created xsi:type="dcterms:W3CDTF">2013-12-23T23:15:00Z</dcterms:created>
  <dcterms:modified xsi:type="dcterms:W3CDTF">2013-12-23T23:15:00Z</dcterms:modified>
  <cp:category/>
</cp:coreProperties>
</file>