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2DAF1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Sequencing-based genotyping revealed a very low frequency of the TCF7L2 rs12255372 T allele in Indonesians, with no significant association with type 2 diabetes susceptibility, C-peptide levels, or insulin resistance, highlighting the importance of population-specific validation 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</w:rPr>
        <w:t>of genetic risk variants.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A63B76"/>
    <w:rsid w:val="18A6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2026-07-13T15:37:00Z</dcterms:created>
  <dc:creator>Prince saputra.ATL17</dc:creator>
  <cp:lastModifiedBy>Prince saputra.ATL17</cp:lastModifiedBy>
  <dcterms:modified xsi:type="dcterms:W3CDTF">2026-07-13T15:40:32Z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F397E89826C843E9A31BA11ED7110822_11</vt:lpwstr>
  </property>
  <property fmtid="{D5CDD505-2E9C-101B-9397-08002B2CF9AE}" pid="4" name="KSOTemplateDocerSaveRecord">
    <vt:lpwstr>eyJoZGlkIjoiNDM2YTVmYTY5NzEwM2MwOGMyZDZlM2Q5YWM3MTIzMTgiLCJ1c2VySWQiOiI4ODEzNDU0NzM2Nzc3In0=</vt:lpwstr>
  </property>
</Properties>
</file>