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E6944" w14:textId="77777777" w:rsidR="00F567A8" w:rsidRDefault="00000000">
      <w:pPr>
        <w:jc w:val="center"/>
        <w:rPr>
          <w:b/>
        </w:rPr>
      </w:pPr>
      <w:r>
        <w:rPr>
          <w:b/>
        </w:rPr>
        <w:t>Resilience of services preventing vertical human immunodeficiency virus transmission during COVID-19 in Indonesia</w:t>
      </w:r>
    </w:p>
    <w:p w14:paraId="0AD914A5" w14:textId="77777777" w:rsidR="00F567A8" w:rsidRDefault="00000000">
      <w:pPr>
        <w:jc w:val="center"/>
      </w:pPr>
      <w:r>
        <w:t>Resiliência na prevenção da transmissão vertical do vírus da imunodeficiência humana durante a COVID-19 na Indonésia</w:t>
      </w:r>
    </w:p>
    <w:p w14:paraId="44F9C799" w14:textId="77777777" w:rsidR="00F567A8" w:rsidRDefault="00000000">
      <w:pPr>
        <w:jc w:val="center"/>
      </w:pPr>
      <w:r>
        <w:t>Resiliencia ante la transmisión vertical del virus de la inmunodeficiencia humana durante COVID-19 en Indonesia</w:t>
      </w:r>
    </w:p>
    <w:p w14:paraId="3D6B0143" w14:textId="77777777" w:rsidR="00F567A8" w:rsidRDefault="00F567A8">
      <w:pPr>
        <w:jc w:val="center"/>
      </w:pPr>
    </w:p>
    <w:p w14:paraId="596ABA1E" w14:textId="77777777" w:rsidR="00FB66D6" w:rsidRDefault="00000000">
      <w:pPr>
        <w:jc w:val="both"/>
      </w:pPr>
      <w:r>
        <w:t xml:space="preserve">Abstract: </w:t>
      </w:r>
      <w:r w:rsidR="00FB66D6" w:rsidRPr="00FB66D6">
        <w:t>This study examined how services for preventing mother-to-child transmission of human immunodeficiency virus were implemented in a decentralized health system during COVID-19. A qualitative health policy and systems research design, informed by descriptive phenomenology, combined eight semi-structured interviews and a hybrid focus group with 18 cross-sectoral participants in Sleman District, Indonesia. Data were analysed using an adapted Colaizzi framework and interpreted through health policy implementation and health-system resilience perspectives. Implementation was constrained by delayed local policy translation, weak accountability, fragmented HIV–antenatal service integration, referral and laboratory limitations, staff turnover, separate reporting systems and stigma. Intersectoral collaboration often depended on individual initiative, while continuity of antiretroviral therapy showed adaptive capacity. Clear local operational rules, integrated referral and information systems, recurrent workforce development and formal cross-sectoral coordination may strengthen resilient and equitable maternal HIV services</w:t>
      </w:r>
      <w:r>
        <w:t xml:space="preserve">. </w:t>
      </w:r>
    </w:p>
    <w:p w14:paraId="4D1C4885" w14:textId="4CFCBFCB" w:rsidR="00F567A8" w:rsidRDefault="00000000">
      <w:pPr>
        <w:jc w:val="both"/>
      </w:pPr>
      <w:r>
        <w:t>Keywords: HIV Infections; Infectious Disease Transmission; Health Policy; Health Services; COVID-19</w:t>
      </w:r>
    </w:p>
    <w:p w14:paraId="38AC6222" w14:textId="77777777" w:rsidR="00DA35E2" w:rsidRDefault="00000000">
      <w:pPr>
        <w:jc w:val="both"/>
      </w:pPr>
      <w:r>
        <w:t xml:space="preserve">Resumo: </w:t>
      </w:r>
      <w:r w:rsidR="00DA35E2" w:rsidRPr="00DA35E2">
        <w:t xml:space="preserve">Este estudo examinou como serviços de prevenção da transmissão vertical do vírus da imunodeficiência humana foram implementados em um sistema de saúde descentralizado durante </w:t>
      </w:r>
      <w:r w:rsidR="00DA35E2" w:rsidRPr="00DA35E2">
        <w:lastRenderedPageBreak/>
        <w:t xml:space="preserve">a COVID-19. Um estudo qualitativo de políticas e sistemas de saúde, informado pela fenomenologia descritiva, combinou oito entrevistas semiestruturadas e um grupo focal híbrido com 18 participantes intersetoriais em Sleman, Indonésia. Os dados foram analisados com um referencial adaptado de Colaizzi e interpretados pelas perspectivas de implementação de políticas de saúde e resiliência dos sistemas de saúde. A implementação foi limitada pela tradução tardia de políticas locais, fraca responsabilização, integração fragmentada entre HIV e atenção pré-natal, limitações de encaminhamento e laboratório, rotatividade de pessoal, sistemas de informação separados e estigma. A colaboração intersetorial frequentemente dependeu da iniciativa individual, enquanto a continuidade da terapia antirretroviral mostrou capacidade adaptativa. Regras operacionais locais claras, encaminhamento e informação integrados, desenvolvimento contínuo da força de trabalho e coordenação intersetorial formal podem fortalecer serviços maternos de HIV resilientes e equitativos. </w:t>
      </w:r>
    </w:p>
    <w:p w14:paraId="511706B5" w14:textId="561D2F4C" w:rsidR="00F567A8" w:rsidRDefault="00DA35E2">
      <w:pPr>
        <w:jc w:val="both"/>
      </w:pPr>
      <w:r w:rsidRPr="00DA35E2">
        <w:t>Palavras-chave: Infecções por HIV; Transmissão Vertical de Doenças Infecciosas; Política de Saúde; Serviços de Saúde; COVID-19</w:t>
      </w:r>
    </w:p>
    <w:p w14:paraId="2F3137B6" w14:textId="77777777" w:rsidR="00DA35E2" w:rsidRDefault="00000000">
      <w:pPr>
        <w:jc w:val="both"/>
      </w:pPr>
      <w:r>
        <w:t xml:space="preserve">Resumen: </w:t>
      </w:r>
      <w:r w:rsidR="00DA35E2" w:rsidRPr="00DA35E2">
        <w:t xml:space="preserve">Este estudio examinó cómo se implementaron los servicios para prevenir la transmisión vertical del virus de la inmunodeficiencia humana en un sistema de salud descentralizado durante la COVID-19. Un estudio cualitativo de políticas y sistemas de salud, informado por la fenomenología descriptiva, combinó ocho entrevistas semiestructuradas y un grupo focal híbrido con 18 participantes intersectoriales en Sleman, Indonesia. Los datos se analizaron con un marco de Colaizzi adaptado y se interpretaron según las perspectivas de implementación de políticas de salud y resiliencia de los sistemas de salud. La implementación estuvo limitada por la traducción tardía de políticas locales, débil rendición de cuentas, integración fragmentada entre VIH y atención prenatal, limitaciones de derivación y laboratorio, rotación de personal, sistemas de información separados y estigma. La colaboración intersectorial </w:t>
      </w:r>
      <w:r w:rsidR="00DA35E2" w:rsidRPr="00DA35E2">
        <w:lastRenderedPageBreak/>
        <w:t xml:space="preserve">dependió a menudo de iniciativas individuales, mientras que la continuidad de la terapia antirretroviral mostró capacidad adaptativa. Reglas operativas locales claras, derivación e información integradas, desarrollo continuo del personal y coordinación intersectorial formal pueden fortalecer servicios maternos de VIH resilientes y equitativos. </w:t>
      </w:r>
    </w:p>
    <w:p w14:paraId="7B693946" w14:textId="4452952A" w:rsidR="00F567A8" w:rsidRDefault="00DA35E2">
      <w:pPr>
        <w:jc w:val="both"/>
      </w:pPr>
      <w:r w:rsidRPr="00DA35E2">
        <w:t>Palabras clave: Infecciones por VIH; Transmisión Vertical de Enfermedad Infecciosa; Política de Salud; Servicios de Salud; COVID-19</w:t>
      </w:r>
    </w:p>
    <w:p w14:paraId="0EC7255F" w14:textId="77777777" w:rsidR="00F567A8" w:rsidRDefault="00000000">
      <w:pPr>
        <w:spacing w:before="120"/>
      </w:pPr>
      <w:r>
        <w:rPr>
          <w:b/>
        </w:rPr>
        <w:t>Introduction</w:t>
      </w:r>
    </w:p>
    <w:p w14:paraId="08F17991" w14:textId="77777777" w:rsidR="00F567A8" w:rsidRDefault="00000000">
      <w:pPr>
        <w:ind w:firstLine="709"/>
        <w:jc w:val="both"/>
      </w:pPr>
      <w:r>
        <w:t>Prevention of mother-to-child transmission (PMTCT) of human immunodeficiency virus (HIV) depends on more than the availability of clinical interventions. Effective delivery requires antenatal HIV testing, counselling, confirmatory diagnosis, antiretroviral therapy (ART), referral and infant follow-up to function as a connected continuum of care. In Indonesia, uneven health-system readiness, testing coverage, treatment initiation and service integration continue to limit PMTCT delivery.</w:t>
      </w:r>
      <w:r>
        <w:rPr>
          <w:sz w:val="20"/>
          <w:vertAlign w:val="superscript"/>
        </w:rPr>
        <w:t>1-3</w:t>
      </w:r>
    </w:p>
    <w:p w14:paraId="32D1712A" w14:textId="77777777" w:rsidR="00F567A8" w:rsidRDefault="00000000">
      <w:pPr>
        <w:ind w:firstLine="709"/>
        <w:jc w:val="both"/>
      </w:pPr>
      <w:r>
        <w:t>Indonesia has progressively integrated HIV testing into antenatal care and expanded this approach through the triple-elimination strategy for HIV, syphilis and hepatitis B. These national commitments are implemented within a decentralized health system in which provincial and district governments translate national guidance into local regulations, budgets, organizational responsibilities, referral arrangements and operating procedures. Decentralization may enable context-responsive action, but variation in local capacity, financing, political commitment and coordination can also create uneven implementation.</w:t>
      </w:r>
      <w:r>
        <w:rPr>
          <w:sz w:val="20"/>
          <w:vertAlign w:val="superscript"/>
        </w:rPr>
        <w:t>4-6</w:t>
      </w:r>
    </w:p>
    <w:p w14:paraId="27EF28A8" w14:textId="77777777" w:rsidR="00F567A8" w:rsidRDefault="00000000">
      <w:pPr>
        <w:ind w:firstLine="709"/>
        <w:jc w:val="both"/>
      </w:pPr>
      <w:r>
        <w:t xml:space="preserve">From a health policy and systems perspective, implementation is not a linear transfer of technical guidance from national to local levels. Walt and Gilson's policy analysis framework emphasizes the interaction of policy content, actors, processes and context, providing a useful </w:t>
      </w:r>
      <w:r>
        <w:lastRenderedPageBreak/>
        <w:t>lens for examining how decentralized authority and organizational relationships shape implementation.</w:t>
      </w:r>
      <w:r>
        <w:rPr>
          <w:sz w:val="20"/>
          <w:vertAlign w:val="superscript"/>
        </w:rPr>
        <w:t>7</w:t>
      </w:r>
      <w:r>
        <w:t xml:space="preserve"> COVID-19 adds a second analytical dimension: health-system resilience, understood as the capacity of health actors and institutions to maintain core functions, respond to disruption and reorganize when conditions require.</w:t>
      </w:r>
      <w:r>
        <w:rPr>
          <w:sz w:val="20"/>
          <w:vertAlign w:val="superscript"/>
        </w:rPr>
        <w:t>8</w:t>
      </w:r>
      <w:r>
        <w:t xml:space="preserve"> These perspectives are complementary because they connect the routine processes through which policy is translated into services with the system's capacity to adapt under shock.</w:t>
      </w:r>
    </w:p>
    <w:p w14:paraId="1CF78B0D" w14:textId="77777777" w:rsidR="00F567A8" w:rsidRDefault="00000000">
      <w:pPr>
        <w:ind w:firstLine="709"/>
        <w:jc w:val="both"/>
      </w:pPr>
      <w:r>
        <w:t>Existing evidence shows that PMTCT implementation is affected by workforce preparation, test availability, integration between maternal health and HIV programmes, referral and reporting arrangements, and community acceptance.</w:t>
      </w:r>
      <w:r>
        <w:rPr>
          <w:sz w:val="20"/>
          <w:vertAlign w:val="superscript"/>
        </w:rPr>
        <w:t>9-13</w:t>
      </w:r>
      <w:r>
        <w:t xml:space="preserve"> Fear of disclosure, moral judgement and stigma can further discourage testing and continued engagement with care.</w:t>
      </w:r>
      <w:r>
        <w:rPr>
          <w:sz w:val="20"/>
          <w:vertAlign w:val="superscript"/>
        </w:rPr>
        <w:t>11-13</w:t>
      </w:r>
      <w:r>
        <w:t xml:space="preserve"> During COVID-19, restrictions, competing priorities and supply disruptions intensified these vulnerabilities and threatened continuity of antenatal and HIV services.</w:t>
      </w:r>
      <w:r>
        <w:rPr>
          <w:sz w:val="20"/>
          <w:vertAlign w:val="superscript"/>
        </w:rPr>
        <w:t>14,15</w:t>
      </w:r>
    </w:p>
    <w:p w14:paraId="5F9E3947" w14:textId="77777777" w:rsidR="00F567A8" w:rsidRDefault="00000000">
      <w:pPr>
        <w:ind w:firstLine="709"/>
        <w:jc w:val="both"/>
      </w:pPr>
      <w:r>
        <w:t xml:space="preserve">Most Indonesian studies have focused on service coverage, patient-level barriers or programme outcomes. Less is known about how a district health system translates a national PMTCT mandate into local rules, inter-organizational arrangements and frontline service routines when routine delivery is disrupted. By linking decentralized policy implementation with health-system resilience, this study addresses that gap by examining how governance arrangements shape the continuity and equity of maternal HIV services under system shock, rather than treating implementation barriers as isolated service-level problems. This study therefore examines PMTCT implementation in Sleman District during the COVID-19 pandemic. It asks how the national mandate was translated into district-level service arrangements, how PMTCT was integrated with routine antenatal care, and which institutional, workforce, coordination and sociocultural conditions enabled or constrained implementation. The case is interpreted through </w:t>
      </w:r>
      <w:r>
        <w:lastRenderedPageBreak/>
        <w:t>the complementary perspectives of decentralized health-policy implementation and health-system resilience to identify lessons relevant to collective health beyond the study district.</w:t>
      </w:r>
    </w:p>
    <w:p w14:paraId="5408448A" w14:textId="77777777" w:rsidR="00F567A8" w:rsidRDefault="00000000">
      <w:pPr>
        <w:spacing w:before="120"/>
      </w:pPr>
      <w:r>
        <w:rPr>
          <w:b/>
        </w:rPr>
        <w:t>Methods</w:t>
      </w:r>
    </w:p>
    <w:p w14:paraId="5C3A439D" w14:textId="77777777" w:rsidR="00F567A8" w:rsidRDefault="00000000">
      <w:pPr>
        <w:spacing w:before="60"/>
      </w:pPr>
      <w:r>
        <w:rPr>
          <w:b/>
        </w:rPr>
        <w:t>Research design and theoretical positioning</w:t>
      </w:r>
    </w:p>
    <w:p w14:paraId="4240C3F0" w14:textId="77777777" w:rsidR="00F567A8" w:rsidRDefault="00000000">
      <w:pPr>
        <w:ind w:firstLine="709"/>
        <w:jc w:val="both"/>
      </w:pPr>
      <w:r>
        <w:t>This qualitative health policy and systems research study was informed by descriptive phenomenology to examine stakeholders' experiences of PMTCT policy implementation. The study focused on local policy and governance, implementation and coordination across the district health system, and integration of PMTCT services within antenatal care. Descriptive phenomenology supported systematic attention to participants' accounts, while health-policy implementation and resilience perspectives were used at the interpretive stage rather than as predetermined coding categories.</w:t>
      </w:r>
      <w:r>
        <w:rPr>
          <w:sz w:val="20"/>
          <w:vertAlign w:val="superscript"/>
        </w:rPr>
        <w:t>7,8,16</w:t>
      </w:r>
      <w:r>
        <w:t xml:space="preserve"> Reporting was guided by the Consolidated Criteria for Reporting Qualitative Research (COREQ). The implementation period of interest was 2020-2022. Individual interviews were conducted in Sleman District, Yogyakarta, in October and November 2023, followed by a cross-sectoral focus group discussion on 11 November 2024.</w:t>
      </w:r>
    </w:p>
    <w:p w14:paraId="49A9A93A" w14:textId="77777777" w:rsidR="00F567A8" w:rsidRDefault="00000000">
      <w:pPr>
        <w:spacing w:before="60"/>
      </w:pPr>
      <w:r>
        <w:rPr>
          <w:b/>
        </w:rPr>
        <w:t>Participants and recruitment</w:t>
      </w:r>
    </w:p>
    <w:p w14:paraId="0CCDE426" w14:textId="77777777" w:rsidR="00F567A8" w:rsidRDefault="00000000">
      <w:pPr>
        <w:ind w:firstLine="709"/>
        <w:jc w:val="both"/>
      </w:pPr>
      <w:r>
        <w:t>Participants were selected purposively to represent policy, programme-management, frontline service and service-user perspectives. Eligibility criteria were: (1) involvement in the planning, implementation, supervision, delivery or use of PMTCT-related services during 2020-2022; (2) affiliation with institutions central to PMTCT governance or service delivery, including district or sub-district health authorities, primary health-care centres (puskesmas), HIV programmes or relevant community partners; and (3) willingness to provide informed consent. Individuals without direct experience of HIV-related policy or services, or who were unavailable during data collection, were excluded.</w:t>
      </w:r>
    </w:p>
    <w:p w14:paraId="51B6439F" w14:textId="77777777" w:rsidR="00F567A8" w:rsidRDefault="00000000">
      <w:pPr>
        <w:ind w:firstLine="709"/>
        <w:jc w:val="both"/>
      </w:pPr>
      <w:r>
        <w:lastRenderedPageBreak/>
        <w:t>Eight informants participated in individual interviews: two district health officials, two HIV programme coordinators, two midwives and two pregnant women who had accessed antenatal and HIV-related services. In addition, 18 stakeholders participated in one hybrid focus group discussion to provide cross-sectoral perspectives on HIV/AIDS policy and PMTCT governance. Eleven participants attended in person and seven joined remotely via Zoom. Recruitment for the individual interviews continued until the final interviews were no longer generating substantively new information relevant to the study objectives, consistent with thematic saturation.</w:t>
      </w:r>
      <w:r>
        <w:rPr>
          <w:sz w:val="20"/>
          <w:vertAlign w:val="superscript"/>
        </w:rPr>
        <w:t>17,18</w:t>
      </w:r>
    </w:p>
    <w:p w14:paraId="584CFEFB" w14:textId="77777777" w:rsidR="00F567A8" w:rsidRDefault="00000000">
      <w:pPr>
        <w:spacing w:before="60"/>
      </w:pPr>
      <w:r>
        <w:rPr>
          <w:b/>
        </w:rPr>
        <w:t>Data collection</w:t>
      </w:r>
    </w:p>
    <w:p w14:paraId="1CDEC352" w14:textId="77777777" w:rsidR="00F567A8" w:rsidRDefault="00000000">
      <w:pPr>
        <w:ind w:firstLine="709"/>
        <w:jc w:val="both"/>
      </w:pPr>
      <w:r>
        <w:t>Data were collected through semi-structured in-depth interviews and one focus group discussion. The interview and focus-group guides were developed from the national PMTCT policy framework and reviewed by subject-matter experts. Topics included policy clarity, implementation of local regulations, integration with antenatal care, referral arrangements, intersectoral collaboration, workforce preparedness, monitoring, public awareness, stigma, COVID-19-related disruptions and adaptive responses. Individual interviews were conducted in Indonesian at the District Health Office and at Kalasan and Minggir puskesmas, or online, depending on participant preferences and logistical feasibility.</w:t>
      </w:r>
    </w:p>
    <w:p w14:paraId="28F7D5FD" w14:textId="77777777" w:rsidR="00F567A8" w:rsidRDefault="00000000">
      <w:pPr>
        <w:ind w:firstLine="709"/>
        <w:jc w:val="both"/>
      </w:pPr>
      <w:r>
        <w:t>The focus group was conducted in a hybrid format with 18 cross-sectoral participants; 11 attended in person and seven joined via Zoom. The discussion was moderated by the principal investigator. Each individual interview and the focus group lasted approximately 60-90 minutes. With participants' consent, all sessions were audio-recorded and transcribed verbatim. Interview and focus-group transcripts were analysed using the same analytical procedure and integrated into a single thematic framework.</w:t>
      </w:r>
    </w:p>
    <w:p w14:paraId="46D92366" w14:textId="77777777" w:rsidR="00F567A8" w:rsidRDefault="00000000">
      <w:pPr>
        <w:spacing w:before="60"/>
      </w:pPr>
      <w:r>
        <w:rPr>
          <w:b/>
        </w:rPr>
        <w:lastRenderedPageBreak/>
        <w:t>Data analysis and trustworthiness</w:t>
      </w:r>
    </w:p>
    <w:p w14:paraId="132FEDC1" w14:textId="77777777" w:rsidR="00F567A8" w:rsidRDefault="00000000">
      <w:pPr>
        <w:ind w:firstLine="709"/>
        <w:jc w:val="both"/>
      </w:pPr>
      <w:r>
        <w:t>Interview and focus-group transcripts were analysed using an adapted Colaizzi framework, including repeated reading of transcripts, extraction of significant statements, formulation of meanings, clustering of meanings into themes, development of an exhaustive description and identification of the fundamental structure of the phenomenon.</w:t>
      </w:r>
      <w:r>
        <w:rPr>
          <w:sz w:val="20"/>
          <w:vertAlign w:val="superscript"/>
        </w:rPr>
        <w:t>16</w:t>
      </w:r>
      <w:r>
        <w:t xml:space="preserve"> NVivo 12 was used to organise transcripts and codes. The principal investigator conducted the coding process, while emerging interpretations were critically examined through peer debriefing. A reflexive journal was maintained throughout the study.</w:t>
      </w:r>
    </w:p>
    <w:p w14:paraId="30C0B598" w14:textId="77777777" w:rsidR="00F567A8" w:rsidRDefault="00000000">
      <w:pPr>
        <w:ind w:firstLine="709"/>
        <w:jc w:val="both"/>
      </w:pPr>
      <w:r>
        <w:t>Trustworthiness was strengthened through cross-verification with relevant policy documents, participant transcript verification and follow-up clarification.</w:t>
      </w:r>
      <w:r>
        <w:rPr>
          <w:sz w:val="20"/>
          <w:vertAlign w:val="superscript"/>
        </w:rPr>
        <w:t>19</w:t>
      </w:r>
      <w:r>
        <w:t xml:space="preserve"> All individual interview participants were provided with their transcripts for review and confirmed their accuracy without requesting corrections. Brief follow-up contacts were conducted through WhatsApp when responses required clarification or further detail. As the interviews and focus group were conducted in Indonesian, illustrative quotations were translated into English and cross-checked to preserve equivalence of meaning.</w:t>
      </w:r>
    </w:p>
    <w:p w14:paraId="6C034FB3" w14:textId="77777777" w:rsidR="00F567A8" w:rsidRDefault="00000000">
      <w:pPr>
        <w:ind w:firstLine="709"/>
        <w:jc w:val="both"/>
      </w:pPr>
      <w:r>
        <w:t>Themes were generated inductively from the interview and focus-group material. After theme development, the analytical synthesis examined how the findings reflected interactions among policy content, actors, implementation processes and local context, and how service responses during COVID-19 demonstrated or constrained health-system resilience.</w:t>
      </w:r>
      <w:r>
        <w:rPr>
          <w:sz w:val="20"/>
          <w:vertAlign w:val="superscript"/>
        </w:rPr>
        <w:t>7,8</w:t>
      </w:r>
      <w:r>
        <w:t xml:space="preserve"> This interpretive step was used to connect the district-level findings with broader questions in collective health without changing the inductively derived themes.</w:t>
      </w:r>
    </w:p>
    <w:p w14:paraId="56156ACE" w14:textId="77777777" w:rsidR="00F567A8" w:rsidRDefault="00000000">
      <w:pPr>
        <w:ind w:firstLine="709"/>
        <w:jc w:val="both"/>
      </w:pPr>
      <w:r>
        <w:t xml:space="preserve">Use of artificial intelligence: ChatGPT (OpenAI) was used during manuscript preparation to assist with English-language editing, organization and restructuring of author-provided manuscript text. It was not used for data collection, coding or primary-data analysis, and it did </w:t>
      </w:r>
      <w:r>
        <w:lastRenderedPageBreak/>
        <w:t>not generate the study findings. All AI-assisted suggestions were critically reviewed by the authors, who take full responsibility for the manuscript.</w:t>
      </w:r>
    </w:p>
    <w:p w14:paraId="0EAF4684" w14:textId="77777777" w:rsidR="00F567A8" w:rsidRDefault="00000000">
      <w:pPr>
        <w:ind w:firstLine="709"/>
        <w:jc w:val="both"/>
      </w:pPr>
      <w:r>
        <w:rPr>
          <w:rFonts w:eastAsia="Times New Roman"/>
        </w:rPr>
        <w:t>Ethical considerations: The individual interview component, conducted in October and November 2023, received ethical approval from the Health Research Ethics Committee of [institution blinded for peer review] in 2023 (approval details blinded for review). The subsequent cross-sectoral policy-analysis component, including the focus group discussion conducted in November 2024, received separate ethical approval from the same committee in 2024 (approval details blinded for review). All participants received study information and provided informed consent before participation and audio recording. Participation was voluntary, and identifying information was omitted to protect confidentiality.</w:t>
      </w:r>
    </w:p>
    <w:p w14:paraId="7530FC15" w14:textId="77777777" w:rsidR="00F567A8" w:rsidRDefault="00000000">
      <w:pPr>
        <w:spacing w:before="120"/>
      </w:pPr>
      <w:r>
        <w:rPr>
          <w:b/>
        </w:rPr>
        <w:t>Results</w:t>
      </w:r>
    </w:p>
    <w:p w14:paraId="7343B26E" w14:textId="77777777" w:rsidR="00F567A8" w:rsidRDefault="00000000">
      <w:pPr>
        <w:ind w:firstLine="709"/>
        <w:jc w:val="both"/>
      </w:pPr>
      <w:r>
        <w:t>The analysis identified four interconnected dimensions of district-level implementation: policy translation and accountability; administrative integration of testing, care and referral; workforce and inter-organizational capacity; and citizen-facing communication, stigma and adaptive delivery. Together, these dimensions show where the implementation chain between the national mandate and local service outcomes was interrupted.</w:t>
      </w:r>
    </w:p>
    <w:p w14:paraId="07210918" w14:textId="77777777" w:rsidR="00F567A8" w:rsidRDefault="00000000">
      <w:pPr>
        <w:spacing w:before="60"/>
      </w:pPr>
      <w:r>
        <w:rPr>
          <w:b/>
        </w:rPr>
        <w:t>Participant profile</w:t>
      </w:r>
    </w:p>
    <w:p w14:paraId="19669D30" w14:textId="77777777" w:rsidR="00F567A8" w:rsidRDefault="00000000">
      <w:pPr>
        <w:ind w:firstLine="709"/>
        <w:jc w:val="both"/>
      </w:pPr>
      <w:r>
        <w:t>The study included eight individual interview informants and 18 participants in one hybrid focus group. The interview informants comprised two district health officials, two HIV programme coordinators, two midwives and two pregnant women who had accessed antenatal and HIV-related services. The focus group involved cross-sectoral stakeholders engaged in HIV/AIDS policy and PMTCT governance. To protect confidentiality, all participants are described only by broad role category.</w:t>
      </w:r>
    </w:p>
    <w:p w14:paraId="10A8E826" w14:textId="77777777" w:rsidR="00F567A8" w:rsidRDefault="00000000">
      <w:pPr>
        <w:spacing w:before="60"/>
      </w:pPr>
      <w:r>
        <w:rPr>
          <w:b/>
        </w:rPr>
        <w:lastRenderedPageBreak/>
        <w:t>Policy translation, regulatory authority and accountability</w:t>
      </w:r>
    </w:p>
    <w:p w14:paraId="3ADEA5A3" w14:textId="77777777" w:rsidR="00F567A8" w:rsidRDefault="00000000">
      <w:pPr>
        <w:ind w:firstLine="709"/>
        <w:jc w:val="both"/>
      </w:pPr>
      <w:r>
        <w:t>Participants described the PMTCT policy environment for 2020-2022 as being shaped by Minister of Health Regulation No. 52/2017, Minister of Health Regulation No. 21/2021 and, from September 2022, Minister of Health Regulation No. 23/2022, alongside Sleman Regency Regulation No. 9/2021 on the prevention and control of communicable diseases and the then-applicable Special Region of Yogyakarta Regulation No. 12/2010 on HIV/AIDS control. During the 2024 focus group, participants also referred to Special Region of Yogyakarta Regulation No. 3/2023, which replaced the 2010 provincial regulation.</w:t>
      </w:r>
      <w:r>
        <w:rPr>
          <w:vertAlign w:val="superscript"/>
        </w:rPr>
        <w:t>20-25</w:t>
      </w:r>
      <w:r>
        <w:t xml:space="preserve"> These instruments provided a formal basis for integrating HIV prevention into maternal health services. Nevertheless, local operationalization was perceived as delayed and incomplete. Earlier local regulations addressed infectious-disease control more broadly but did not provide detailed PMTCT responsibilities, enforcement mechanisms or accountability procedures. As one district programme coordinator explained:</w:t>
      </w:r>
    </w:p>
    <w:p w14:paraId="0A854206" w14:textId="77777777" w:rsidR="00F567A8" w:rsidRDefault="00000000">
      <w:pPr>
        <w:ind w:left="709" w:right="425"/>
        <w:jc w:val="both"/>
      </w:pPr>
      <w:r>
        <w:t>“As for the regulations, there is one referring to PPIA, and the HIV Law No. 23 of 2022 on HIV control for DIY, but Sleman itself does not yet have its own Perda or Pergub; we still refer to the DIY provincial regulation on HIV/AIDS control.” (District Health Office participant)</w:t>
      </w:r>
    </w:p>
    <w:p w14:paraId="3542918F" w14:textId="77777777" w:rsidR="00F567A8" w:rsidRDefault="00000000">
      <w:pPr>
        <w:ind w:firstLine="709"/>
        <w:jc w:val="both"/>
      </w:pPr>
      <w:r>
        <w:t>Funding was drawn mainly from Bantuan Operasional Kesehatan (BOK), but participants reported that resources were not always sufficient for outreach, workforce development and sustained community communication. Limited dedicated financing, weak enforcement and uneven institutional readiness meant that implementation depended heavily on local initiative. The absence of formal sanctions was described as a structural weakness rather than an oversight:</w:t>
      </w:r>
    </w:p>
    <w:p w14:paraId="55D6E953" w14:textId="77777777" w:rsidR="00F567A8" w:rsidRDefault="00000000">
      <w:pPr>
        <w:ind w:left="709" w:right="425"/>
        <w:jc w:val="both"/>
      </w:pPr>
      <w:r>
        <w:t xml:space="preserve">“Legally, if there is a regulation, there should be a responsibility to carry out socialization. But if that responsibility isn't fulfilled, sanctions could be applied. But </w:t>
      </w:r>
      <w:r>
        <w:lastRenderedPageBreak/>
        <w:t>nowadays, even sanctions can be negotiated … so sanctions that should create a deterrent effect don't really function that way anymore.” (SU1, service user)</w:t>
      </w:r>
    </w:p>
    <w:p w14:paraId="30C1EED8" w14:textId="77777777" w:rsidR="00F567A8" w:rsidRDefault="00000000">
      <w:pPr>
        <w:ind w:firstLine="709"/>
        <w:jc w:val="both"/>
      </w:pPr>
      <w:r>
        <w:t>Participants therefore viewed district-specific technical guidance, clear assignment of responsibility and routine accountability mechanisms as necessary to convert national policy into consistent practice.</w:t>
      </w:r>
    </w:p>
    <w:p w14:paraId="1AF49835" w14:textId="77777777" w:rsidR="00F567A8" w:rsidRDefault="00000000">
      <w:pPr>
        <w:spacing w:before="60"/>
      </w:pPr>
      <w:r>
        <w:rPr>
          <w:b/>
        </w:rPr>
        <w:t>Administrative integration of testing, care and referral services</w:t>
      </w:r>
    </w:p>
    <w:p w14:paraId="347FE486" w14:textId="77777777" w:rsidR="00F567A8" w:rsidRDefault="00000000">
      <w:pPr>
        <w:ind w:firstLine="709"/>
        <w:jc w:val="both"/>
      </w:pPr>
      <w:r>
        <w:t>Routine HIV screening was reported across 25 puskesmas and 23 hospitals, with pregnant women identified as a priority group and a target coverage of 95%. Participants indicated that women who declined testing were asked to sign a refusal form. Premarital HIV screening had also been introduced, although some informants described cultural resistance. Integration of family-planning counselling with antenatal and HIV services remained inconsistent. As one of the informants explained:</w:t>
      </w:r>
    </w:p>
    <w:p w14:paraId="296EB628" w14:textId="77777777" w:rsidR="00F567A8" w:rsidRDefault="00000000">
      <w:pPr>
        <w:ind w:left="709" w:right="425"/>
        <w:jc w:val="both"/>
      </w:pPr>
      <w:r>
        <w:t>“For PPIA activities, there is integration between the second and third components; for example, if HIV is found in a pregnant woman, we coordinate with the relevant programme, or if someone with HIV becomes pregnant, we coordinate with the Family Health Program (Kesga).” (PH1, physician)</w:t>
      </w:r>
    </w:p>
    <w:p w14:paraId="174EEF54" w14:textId="77777777" w:rsidR="00F567A8" w:rsidRDefault="00000000">
      <w:pPr>
        <w:ind w:firstLine="709"/>
        <w:jc w:val="both"/>
      </w:pPr>
      <w:r>
        <w:t>The referral system was operational but varied between facilities. Midwives commonly acted as the first point of counselling and referral, with district-level clinical support available for ART initiation and further management. Bureaucratic communication, limited local laboratory capacity and occasional shortages or delays in diagnostic commodities could slow confirmatory testing and referral:</w:t>
      </w:r>
    </w:p>
    <w:p w14:paraId="4A403857" w14:textId="77777777" w:rsidR="00F567A8" w:rsidRDefault="00000000">
      <w:pPr>
        <w:ind w:left="709" w:right="425"/>
        <w:jc w:val="both"/>
      </w:pPr>
      <w:r>
        <w:t xml:space="preserve">“Syphilis without complications can already be treated and followed up in several Puskesmas, but those without the medication or titer examination are usually referred </w:t>
      </w:r>
      <w:r>
        <w:lastRenderedPageBreak/>
        <w:t>to the hospital, or referred horizontally from a Puskesmas without PDP [HIV care] services to one with more complete reagents and medication for follow-up treatment.” (PH1, physician)</w:t>
      </w:r>
    </w:p>
    <w:p w14:paraId="1CBE3EBE" w14:textId="77777777" w:rsidR="00F567A8" w:rsidRDefault="00000000">
      <w:pPr>
        <w:ind w:firstLine="709"/>
        <w:jc w:val="both"/>
      </w:pPr>
      <w:r>
        <w:t>Some facilities relied on Dr. Sutomo Hospital, Surabaya, as an external reference laboratory for early infant diagnosis. Infection-prevention supplies and general safety procedures were reportedly available, but PMTCT-specific operational guidance was not consistently integrated with broader maternal and child health protocols.</w:t>
      </w:r>
    </w:p>
    <w:p w14:paraId="4979D065" w14:textId="77777777" w:rsidR="00F567A8" w:rsidRDefault="00000000">
      <w:pPr>
        <w:spacing w:before="60"/>
      </w:pPr>
      <w:r>
        <w:rPr>
          <w:b/>
        </w:rPr>
        <w:t>Workforce capacity, inter-organizational coordination and monitoring</w:t>
      </w:r>
    </w:p>
    <w:p w14:paraId="613C9692" w14:textId="77777777" w:rsidR="00F567A8" w:rsidRDefault="00000000">
      <w:pPr>
        <w:ind w:firstLine="709"/>
        <w:jc w:val="both"/>
      </w:pPr>
      <w:r>
        <w:t>Training was conducted periodically, particularly for the triple-elimination programme covering HIV, syphilis and hepatitis B. Coordinating midwives served as training multipliers within puskesmas, while annual refresher sessions were supported by local non-governmental organisations and academic partners. Participants nevertheless reported that staff turnover and uneven skill levels limited continuity and standardisation of service quality.</w:t>
      </w:r>
    </w:p>
    <w:p w14:paraId="6C693DBF" w14:textId="77777777" w:rsidR="00F567A8" w:rsidRDefault="00000000">
      <w:pPr>
        <w:ind w:left="709" w:right="425"/>
        <w:jc w:val="both"/>
      </w:pPr>
      <w:r>
        <w:t>“If we were to give every single midwife at every Puskesmas training or technical guidance, one Puskesmas alone has eight midwives, and we have 25 Puskesmas … in practice we can only reach the Bikor, the coordinating midwife, at the start of the programme.” (District Health Office participant)</w:t>
      </w:r>
    </w:p>
    <w:p w14:paraId="1C72B902" w14:textId="77777777" w:rsidR="00F567A8" w:rsidRDefault="00000000">
      <w:pPr>
        <w:ind w:firstLine="709"/>
        <w:jc w:val="both"/>
      </w:pPr>
      <w:r>
        <w:t xml:space="preserve">Coordination between health, social affairs, women's empowerment, education, maternal-child health, infectious-disease control and community organisations was described as improving. Youth information centres and collaborative awareness activities provided useful entry points. However, collaboration remained dependent on personal relationships and individual commitment rather than formal institutional arrangements. Participants identified formal </w:t>
      </w:r>
      <w:r>
        <w:lastRenderedPageBreak/>
        <w:t>memoranda of understanding, clear division of roles and regular cross-sector coordination as necessary for continuity, as stated by one of the informants:</w:t>
      </w:r>
    </w:p>
    <w:p w14:paraId="78303580" w14:textId="77777777" w:rsidR="00F567A8" w:rsidRDefault="00000000">
      <w:pPr>
        <w:ind w:left="709" w:right="425"/>
        <w:jc w:val="both"/>
      </w:pPr>
      <w:r>
        <w:t>“Regarding HIV/AIDS activities, coordination was actually somewhat lacking; most of the collaborative activities were mainly carried out by the District Health Office, since we tend to focus on our own core responsibilities.” (CS1, cross-sectoral stakeholder)</w:t>
      </w:r>
    </w:p>
    <w:p w14:paraId="6C815D0B" w14:textId="77777777" w:rsidR="00F567A8" w:rsidRDefault="00000000">
      <w:pPr>
        <w:ind w:firstLine="709"/>
        <w:jc w:val="both"/>
      </w:pPr>
      <w:r>
        <w:t>Monitoring was undertaken through monthly reporting in SIHA 2.1 and maternal audit meetings. Although reporting had become more systematic, participants identified incomplete data, limited identification of key populations and weak feedback from collected data into programme adjustment. These gaps constrained accountability and the use of evidence for local decision-making.</w:t>
      </w:r>
    </w:p>
    <w:p w14:paraId="39DB5E6A" w14:textId="77777777" w:rsidR="00F567A8" w:rsidRDefault="00000000">
      <w:pPr>
        <w:ind w:left="709" w:right="425"/>
        <w:jc w:val="both"/>
      </w:pPr>
      <w:r>
        <w:t>“For HIV we use SIHA, for hepatitis we have SIHEPI, and there is also Sintia Sembada. Even though they all target the same group of pregnant women, the reporting systems remain separate from one another.” (District Health Office participant)</w:t>
      </w:r>
    </w:p>
    <w:p w14:paraId="2FC1E63F" w14:textId="77777777" w:rsidR="00F567A8" w:rsidRDefault="00000000">
      <w:pPr>
        <w:spacing w:before="60"/>
      </w:pPr>
      <w:r>
        <w:rPr>
          <w:b/>
        </w:rPr>
        <w:t>Citizen-facing communication, stigma and adaptive service delivery</w:t>
      </w:r>
    </w:p>
    <w:p w14:paraId="3CAABB48" w14:textId="77777777" w:rsidR="00F567A8" w:rsidRDefault="00000000">
      <w:pPr>
        <w:ind w:firstLine="709"/>
        <w:jc w:val="both"/>
      </w:pPr>
      <w:r>
        <w:t>Community knowledge of HIV and PMTCT was described as uneven. Pregnant participants reported that routine maternal-health communication more often emphasized nutrition, stunting, contraception and immunisation than HIV. Community organisations had conducted empowerment and awareness activities, but outreach was sporadic and often dependent on donor or partner support. Digital communication was also limited and social media was used mainly for general maternal and child health messages rather than sustained PMTCT education:</w:t>
      </w:r>
    </w:p>
    <w:p w14:paraId="7CDF7C10" w14:textId="77777777" w:rsidR="00F567A8" w:rsidRDefault="00000000">
      <w:pPr>
        <w:ind w:left="709" w:right="425"/>
        <w:jc w:val="both"/>
      </w:pPr>
      <w:r>
        <w:lastRenderedPageBreak/>
        <w:t>“For HIV, we mostly just use flyers, ma'am... We do have social media accounts like Instagram and Facebook, but it's not as actively promoted as our maternal-nutrition or Healthy Living Movement campaigns, because there's still this perception that HIV is a disease that belongs somewhere far away... People still regard it as taboo, so it hasn't been fully accepted including the stigma so during counselling sessions we mostly just hand out leaflets.” (MW1, midwife)</w:t>
      </w:r>
    </w:p>
    <w:p w14:paraId="24A779E2" w14:textId="77777777" w:rsidR="00F567A8" w:rsidRDefault="00000000">
      <w:pPr>
        <w:ind w:firstLine="709"/>
        <w:jc w:val="both"/>
      </w:pPr>
      <w:r>
        <w:t>Persistent stigma toward people living with HIV influenced testing, disclosure and care-seeking. Participants associated stigma with moral judgement, fear of gossip and misconceptions about transmission:</w:t>
      </w:r>
    </w:p>
    <w:p w14:paraId="47FBA78C" w14:textId="77777777" w:rsidR="00F567A8" w:rsidRDefault="00000000">
      <w:pPr>
        <w:ind w:firstLine="709"/>
        <w:jc w:val="both"/>
      </w:pPr>
      <w:r>
        <w:t>District Health Office participants described stigma as being reinforced by moral judgement, intrusive questioning, fear of gossip and assumptions about how HIV was acquired. These social responses were perceived as barriers to disclosure, testing and continued engagement with care.</w:t>
      </w:r>
    </w:p>
    <w:p w14:paraId="1C577489" w14:textId="77777777" w:rsidR="00F567A8" w:rsidRDefault="00000000">
      <w:pPr>
        <w:ind w:firstLine="709"/>
        <w:jc w:val="both"/>
      </w:pPr>
      <w:r>
        <w:t>Although gradual attitudinal change was observed among some younger groups, participants considered continuing education and stigma-sensitive provider training necessary for inclusive service delivery.</w:t>
      </w:r>
    </w:p>
    <w:p w14:paraId="621E7AF8" w14:textId="77777777" w:rsidR="00F567A8" w:rsidRDefault="00000000">
      <w:pPr>
        <w:ind w:firstLine="709"/>
        <w:jc w:val="both"/>
      </w:pPr>
      <w:r>
        <w:t>COVID-19 intensified operational pressure through competing priorities, supply constraints and administrative workload. Despite these pressures, facilities used ad hoc coordination and individual initiative to maintain essential services. Participants specifically noted continuity of ART for people already engaged in care. This continuity indicated adaptive capacity, although the response was not yet supported by a fully institutionalised contingency system.</w:t>
      </w:r>
    </w:p>
    <w:p w14:paraId="466055B5" w14:textId="77777777" w:rsidR="00F567A8" w:rsidRDefault="00000000">
      <w:pPr>
        <w:ind w:firstLine="709"/>
        <w:jc w:val="both"/>
      </w:pPr>
      <w:r>
        <w:t>The relationships among reported inputs, activities, expected changes and contextual assumptions are summarized in Figure 1.</w:t>
      </w:r>
    </w:p>
    <w:p w14:paraId="78C4E3E2" w14:textId="77777777" w:rsidR="00F567A8" w:rsidRDefault="00000000">
      <w:pPr>
        <w:jc w:val="center"/>
      </w:pPr>
      <w:r>
        <w:rPr>
          <w:noProof/>
        </w:rPr>
        <w:lastRenderedPageBreak/>
        <w:drawing>
          <wp:inline distT="0" distB="0" distL="0" distR="0" wp14:anchorId="689F7900" wp14:editId="48F1EC83">
            <wp:extent cx="5212080" cy="65127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mtct_services_logic_model_flowchart.png"/>
                    <pic:cNvPicPr/>
                  </pic:nvPicPr>
                  <pic:blipFill>
                    <a:blip r:embed="rId6"/>
                    <a:stretch>
                      <a:fillRect/>
                    </a:stretch>
                  </pic:blipFill>
                  <pic:spPr>
                    <a:xfrm>
                      <a:off x="0" y="0"/>
                      <a:ext cx="5212080" cy="6512777"/>
                    </a:xfrm>
                    <a:prstGeom prst="rect">
                      <a:avLst/>
                    </a:prstGeom>
                  </pic:spPr>
                </pic:pic>
              </a:graphicData>
            </a:graphic>
          </wp:inline>
        </w:drawing>
      </w:r>
    </w:p>
    <w:p w14:paraId="34673ADB" w14:textId="77777777" w:rsidR="00F567A8" w:rsidRDefault="00000000">
      <w:r>
        <w:rPr>
          <w:rFonts w:eastAsia="Times New Roman"/>
        </w:rPr>
        <w:t>Figure 1. Logic model of PMTCT implementation and health-system resilience in Sleman District.</w:t>
      </w:r>
    </w:p>
    <w:p w14:paraId="7749B0CE" w14:textId="77777777" w:rsidR="00F567A8" w:rsidRDefault="00000000">
      <w:pPr>
        <w:spacing w:before="120"/>
      </w:pPr>
      <w:r>
        <w:rPr>
          <w:b/>
        </w:rPr>
        <w:t>Discussion</w:t>
      </w:r>
    </w:p>
    <w:p w14:paraId="6110D974" w14:textId="77777777" w:rsidR="00F567A8" w:rsidRDefault="00000000">
      <w:pPr>
        <w:spacing w:before="60"/>
      </w:pPr>
      <w:r>
        <w:rPr>
          <w:b/>
        </w:rPr>
        <w:t>Decentralized policy implementation</w:t>
      </w:r>
    </w:p>
    <w:p w14:paraId="5E73127A" w14:textId="77777777" w:rsidR="00F567A8" w:rsidRDefault="00000000">
      <w:pPr>
        <w:ind w:firstLine="709"/>
        <w:jc w:val="both"/>
      </w:pPr>
      <w:r>
        <w:lastRenderedPageBreak/>
        <w:t>The findings demonstrate a persistent gap between Indonesia's national PMTCT framework and the capacity of a district health system to translate that framework into routine service delivery. This gap is consistent with the policy-analysis perspective that implementation is shaped not only by policy content but also by actors, processes and context.</w:t>
      </w:r>
      <w:r>
        <w:rPr>
          <w:sz w:val="20"/>
          <w:vertAlign w:val="superscript"/>
        </w:rPr>
        <w:t>7</w:t>
      </w:r>
      <w:r>
        <w:t xml:space="preserve"> National targets and technical guidance therefore remain contingent on district-level authority, financing, accountability and organizational relationships. Similar Indonesian research has shown that decentralization can produce uneven implementation when local governance and capacity do not adequately support national mandates.</w:t>
      </w:r>
      <w:r>
        <w:rPr>
          <w:sz w:val="20"/>
          <w:vertAlign w:val="superscript"/>
        </w:rPr>
        <w:t>5,6</w:t>
      </w:r>
      <w:r>
        <w:t xml:space="preserve"> In Sleman, delayed local operationalization and weak enforcement meant that implementation often depended on provider initiative, creating vulnerability to changes in leadership, staffing and budget priorities.</w:t>
      </w:r>
    </w:p>
    <w:p w14:paraId="7F98BC44" w14:textId="77777777" w:rsidR="00F567A8" w:rsidRDefault="00000000">
      <w:pPr>
        <w:spacing w:before="60"/>
      </w:pPr>
      <w:r>
        <w:rPr>
          <w:b/>
        </w:rPr>
        <w:t>Service integration as a collective-health system function</w:t>
      </w:r>
    </w:p>
    <w:p w14:paraId="217B76C3" w14:textId="77777777" w:rsidR="00F567A8" w:rsidRDefault="00000000">
      <w:pPr>
        <w:ind w:firstLine="709"/>
        <w:jc w:val="both"/>
      </w:pPr>
      <w:r>
        <w:t>Fragmented service integration represented a second major barrier. Triple-elimination strategies depend on connecting testing, counselling, confirmatory diagnosis, ART linkage, early infant diagnosis and follow-up through routine maternal and reproductive health services.</w:t>
      </w:r>
      <w:r>
        <w:rPr>
          <w:sz w:val="20"/>
          <w:vertAlign w:val="superscript"/>
        </w:rPr>
        <w:t>26</w:t>
      </w:r>
      <w:r>
        <w:t xml:space="preserve"> In Sleman, these functions were not always connected through a standardized pathway. Comparable problems have been documented in Indonesia and other antenatal settings, where testing availability has not consistently translated into timely treatment, follow-up or integrated point-of-care delivery.</w:t>
      </w:r>
      <w:r>
        <w:rPr>
          <w:sz w:val="20"/>
          <w:vertAlign w:val="superscript"/>
        </w:rPr>
        <w:t>4,9,10,27</w:t>
      </w:r>
      <w:r>
        <w:t xml:space="preserve"> Strengthening implementation therefore requires more than expanding screening. District systems need clear referral protocols, reliable commodities, defined responsibility for client tracking, functional links among puskesmas, hospitals and laboratories, and feedback mechanisms that confirm whether referred women enter and remain in care.</w:t>
      </w:r>
    </w:p>
    <w:p w14:paraId="1887ECA3" w14:textId="77777777" w:rsidR="00F567A8" w:rsidRDefault="00000000">
      <w:pPr>
        <w:spacing w:before="60"/>
      </w:pPr>
      <w:r>
        <w:rPr>
          <w:b/>
        </w:rPr>
        <w:t>Workforce continuity and intersectoral governance</w:t>
      </w:r>
    </w:p>
    <w:p w14:paraId="318DDBDE" w14:textId="77777777" w:rsidR="00F567A8" w:rsidRDefault="00000000">
      <w:pPr>
        <w:ind w:firstLine="709"/>
        <w:jc w:val="both"/>
      </w:pPr>
      <w:r>
        <w:lastRenderedPageBreak/>
        <w:t>Workforce development and cross-sector coordination were present but insufficiently institutionalised. Periodic training and training-multiplier arrangements created capacity, while partnerships with non-governmental organisations and academic institutions extended outreach and technical support. However, staff turnover, uneven competence and collaboration based on personal relationships weakened continuity. From a health-policy implementation perspective, these findings show that formal structures and everyday relationships jointly shape what policy becomes in practice. Recurrent competency development, documented roles, routine supervision and formal inter-organizational agreements can reduce dependence on individual office holders. This is consistent with evidence that effective health-policy processes require meaningful and structured stakeholder participation rather than symbolic inclusion.</w:t>
      </w:r>
      <w:r>
        <w:rPr>
          <w:sz w:val="20"/>
          <w:vertAlign w:val="superscript"/>
        </w:rPr>
        <w:t>28</w:t>
      </w:r>
    </w:p>
    <w:p w14:paraId="2A38A566" w14:textId="77777777" w:rsidR="00F567A8" w:rsidRDefault="00000000">
      <w:pPr>
        <w:spacing w:before="60"/>
      </w:pPr>
      <w:r>
        <w:rPr>
          <w:b/>
        </w:rPr>
        <w:t>Stigma, communication and access to care</w:t>
      </w:r>
    </w:p>
    <w:p w14:paraId="5A2DF40C" w14:textId="77777777" w:rsidR="00F567A8" w:rsidRDefault="00000000">
      <w:pPr>
        <w:ind w:firstLine="709"/>
        <w:jc w:val="both"/>
      </w:pPr>
      <w:r>
        <w:t>Limited HIV knowledge and persistent stigma affected both demand for services and the quality of interaction with health institutions. Indonesian studies have documented low HIV knowledge among young women, moralised interpretations of HIV and discriminatory attitudes among health-care workers.</w:t>
      </w:r>
      <w:r>
        <w:rPr>
          <w:sz w:val="20"/>
          <w:vertAlign w:val="superscript"/>
        </w:rPr>
        <w:t>11-13</w:t>
      </w:r>
      <w:r>
        <w:t xml:space="preserve"> Similar qualitative evidence from other settings shows that stigma can obstruct antenatal attendance and PMTCT uptake.</w:t>
      </w:r>
      <w:r>
        <w:rPr>
          <w:sz w:val="20"/>
          <w:vertAlign w:val="superscript"/>
        </w:rPr>
        <w:t>29</w:t>
      </w:r>
      <w:r>
        <w:t xml:space="preserve"> The Sleman findings therefore position stigma not only as an individual attitude but also as a relational and institutional barrier within collective health. HIV communication should be embedded within routine antenatal education rather than rely mainly on occasional campaigns. Peer-supported, community-linked and mobile-health approaches may improve testing, linkage and engagement when supported by stable government-community partnerships.</w:t>
      </w:r>
      <w:r>
        <w:rPr>
          <w:sz w:val="20"/>
          <w:vertAlign w:val="superscript"/>
        </w:rPr>
        <w:t>30-32</w:t>
      </w:r>
      <w:r>
        <w:t xml:space="preserve"> Provider development should also address confidentiality, respectful communication and explicit anti-discrimination standards.</w:t>
      </w:r>
    </w:p>
    <w:p w14:paraId="2FF860D4" w14:textId="77777777" w:rsidR="00F567A8" w:rsidRDefault="00000000">
      <w:pPr>
        <w:spacing w:before="60"/>
      </w:pPr>
      <w:r>
        <w:rPr>
          <w:b/>
        </w:rPr>
        <w:t>Health-system resilience during COVID-19</w:t>
      </w:r>
    </w:p>
    <w:p w14:paraId="66A77124" w14:textId="77777777" w:rsidR="00F567A8" w:rsidRDefault="00000000">
      <w:pPr>
        <w:ind w:firstLine="709"/>
        <w:jc w:val="both"/>
      </w:pPr>
      <w:r>
        <w:lastRenderedPageBreak/>
        <w:t>COVID-19 functioned as a stress test for the district health system. Disruptions exposed weaknesses in supply chains, staffing, coordination and service integration, consistent with evidence from PMTCT services in other settings.</w:t>
      </w:r>
      <w:r>
        <w:rPr>
          <w:sz w:val="20"/>
          <w:vertAlign w:val="superscript"/>
        </w:rPr>
        <w:t>14,15</w:t>
      </w:r>
      <w:r>
        <w:t xml:space="preserve"> At the same time, continuity of ART for patients already engaged in care demonstrated adaptive capacity. In resilience terms, maintaining a core service during disruption is important, but durable resilience also requires learning and the institutionalisation of successful adaptations.</w:t>
      </w:r>
      <w:r>
        <w:rPr>
          <w:sz w:val="20"/>
          <w:vertAlign w:val="superscript"/>
        </w:rPr>
        <w:t>8</w:t>
      </w:r>
      <w:r>
        <w:t xml:space="preserve"> The Sleman response remained heavily dependent on ad hoc coordination and individual initiative. Formal contingency arrangements for commodities, laboratory access, referral communication, workforce backup and information flows would help convert short-term adaptation into preparedness for future disruptions.</w:t>
      </w:r>
    </w:p>
    <w:p w14:paraId="40AC60E6" w14:textId="77777777" w:rsidR="00F567A8" w:rsidRDefault="00000000">
      <w:pPr>
        <w:spacing w:before="60"/>
      </w:pPr>
      <w:r>
        <w:rPr>
          <w:b/>
        </w:rPr>
        <w:t>Contribution to collective health</w:t>
      </w:r>
    </w:p>
    <w:p w14:paraId="300E23D5" w14:textId="77777777" w:rsidR="00F567A8" w:rsidRDefault="00000000">
      <w:pPr>
        <w:ind w:firstLine="709"/>
        <w:jc w:val="both"/>
      </w:pPr>
      <w:r>
        <w:t>Taken together, the findings connect macro-level policy decentralization with meso-level organizational arrangements and citizen-facing care. Their relevance to collective health lies in showing that inequities in access to maternal HIV services may arise not only from individual behaviour or clinical capacity, but also from fragmented authority, referral pathways, information systems and intersectoral relationships. The Sleman case therefore illustrates a broader implementation problem in decentralized health systems: national policies can be formally adopted while local service continuity remains contingent on how institutions coordinate resources, responsibilities and relationships. This interpretation extends the study beyond a local description and highlights implementation and resilience as linked determinants of equitable maternal HIV care.</w:t>
      </w:r>
    </w:p>
    <w:p w14:paraId="298178C6" w14:textId="77777777" w:rsidR="00F567A8" w:rsidRDefault="00000000">
      <w:pPr>
        <w:spacing w:before="60"/>
      </w:pPr>
      <w:r>
        <w:rPr>
          <w:b/>
        </w:rPr>
        <w:t>Policy and practice implications</w:t>
      </w:r>
    </w:p>
    <w:p w14:paraId="670307F6" w14:textId="77777777" w:rsidR="00F567A8" w:rsidRDefault="00000000">
      <w:pPr>
        <w:ind w:firstLine="709"/>
        <w:jc w:val="both"/>
      </w:pPr>
      <w:r>
        <w:t xml:space="preserve">The findings support six priorities for decentralized health systems: detailed operational guidance for PMTCT; protected financing for commodities, outreach and workforce </w:t>
      </w:r>
      <w:r>
        <w:lastRenderedPageBreak/>
        <w:t>development; standardized referral, tracking and feedback processes; recurrent competency development despite staff turnover; formal intersectoral responsibilities and routine coordination; and use of HIV and maternal-health data as management tools rather than solely reporting requirements. These measures address both the implementation conditions identified in the study and the capacities needed for resilient service delivery.</w:t>
      </w:r>
    </w:p>
    <w:p w14:paraId="7A5565DE" w14:textId="77777777" w:rsidR="00F567A8" w:rsidRDefault="00000000">
      <w:pPr>
        <w:spacing w:before="60"/>
      </w:pPr>
      <w:r>
        <w:rPr>
          <w:b/>
        </w:rPr>
        <w:t>Limitations and future research</w:t>
      </w:r>
    </w:p>
    <w:p w14:paraId="3931FF5E" w14:textId="77777777" w:rsidR="00F567A8" w:rsidRDefault="00000000">
      <w:pPr>
        <w:ind w:firstLine="709"/>
        <w:jc w:val="both"/>
      </w:pPr>
      <w:r>
        <w:t>The study was conducted in a single district and involved eight individual interview informants and 18 focus-group participants, which may limit transferability to other settings. Although purposive sampling enabled in-depth exploration of diverse stakeholder perspectives, the study may not fully capture the experiences of women living with HIV, private health-care providers and other community actors. Retrospective accounts of programme implementation during 2020-2022 may also have been affected by recall bias because data collection occurred after the period under review. The study did not include quantitative service indicators. Future multi-district and mixed-method research should include a broader range of service users and private-sector stakeholders and connect qualitative findings with HIV testing coverage, ART initiation, retention in care and infant follow-up.</w:t>
      </w:r>
    </w:p>
    <w:p w14:paraId="4E1E8D98" w14:textId="77777777" w:rsidR="00F567A8" w:rsidRDefault="00000000">
      <w:pPr>
        <w:spacing w:before="120"/>
      </w:pPr>
      <w:r>
        <w:rPr>
          <w:b/>
        </w:rPr>
        <w:t>Conclusion</w:t>
      </w:r>
    </w:p>
    <w:p w14:paraId="052ACEE6" w14:textId="77777777" w:rsidR="00F567A8" w:rsidRDefault="00000000">
      <w:pPr>
        <w:ind w:firstLine="709"/>
        <w:jc w:val="both"/>
      </w:pPr>
      <w:r>
        <w:t xml:space="preserve">PMTCT implementation in Sleman was constrained by incomplete local policy translation, fragmented integration with antenatal care, variable referral and laboratory capacity, workforce turnover, weakly institutionalised intersectoral coordination, separate information systems and persistent stigma. Continuity of ART during COVID-19 demonstrated adaptive capacity, but the response remained dependent on individual initiative and uneven institutional readiness. Interpreted through health-policy implementation and resilience perspectives, the </w:t>
      </w:r>
      <w:r>
        <w:lastRenderedPageBreak/>
        <w:t>findings show that effective maternal HIV prevention in decentralized systems requires more than a national mandate: it depends on aligned local authority, financing, service pathways, workforce capacity, information flows and stigma-sensitive relationships with communities. Strengthening these elements can support more equitable and resilient PMTCT services in Indonesia and other decentralized health systems.</w:t>
      </w:r>
    </w:p>
    <w:p w14:paraId="564FF664" w14:textId="77777777" w:rsidR="00F567A8" w:rsidRDefault="00000000">
      <w:pPr>
        <w:spacing w:before="120"/>
      </w:pPr>
      <w:r>
        <w:rPr>
          <w:b/>
        </w:rPr>
        <w:t>Funding</w:t>
      </w:r>
    </w:p>
    <w:p w14:paraId="54AC33F1" w14:textId="77777777" w:rsidR="00F567A8" w:rsidRDefault="00000000">
      <w:pPr>
        <w:ind w:firstLine="709"/>
        <w:jc w:val="both"/>
      </w:pPr>
      <w:r>
        <w:t>This research received no specific grant from any funding agency in the public, commercial or not-for-profit sectors.</w:t>
      </w:r>
    </w:p>
    <w:p w14:paraId="6D5187AE" w14:textId="77777777" w:rsidR="00F567A8" w:rsidRDefault="00000000">
      <w:pPr>
        <w:spacing w:before="120"/>
      </w:pPr>
      <w:r>
        <w:rPr>
          <w:b/>
        </w:rPr>
        <w:t>Conflict of interest</w:t>
      </w:r>
    </w:p>
    <w:p w14:paraId="6BCF03F6" w14:textId="77777777" w:rsidR="00F567A8" w:rsidRDefault="00000000">
      <w:pPr>
        <w:ind w:firstLine="709"/>
        <w:jc w:val="both"/>
      </w:pPr>
      <w:r>
        <w:t>The authors declare no conflicts of interest.</w:t>
      </w:r>
    </w:p>
    <w:p w14:paraId="7FD7E7FA" w14:textId="77777777" w:rsidR="00F567A8" w:rsidRDefault="00000000">
      <w:pPr>
        <w:spacing w:before="120"/>
      </w:pPr>
      <w:r>
        <w:rPr>
          <w:b/>
        </w:rPr>
        <w:t>Data availability</w:t>
      </w:r>
    </w:p>
    <w:p w14:paraId="18EB6C84" w14:textId="77777777" w:rsidR="00F567A8" w:rsidRDefault="00000000">
      <w:pPr>
        <w:ind w:firstLine="709"/>
        <w:jc w:val="both"/>
      </w:pPr>
      <w:r>
        <w:t>The qualitative interview and focus-group data are not publicly available because they contain sensitive and potentially identifiable information. De-identified supporting materials may be considered upon reasonable request, subject to ethical and confidentiality requirements.</w:t>
      </w:r>
    </w:p>
    <w:p w14:paraId="1AAEBFD3" w14:textId="77777777" w:rsidR="00F567A8" w:rsidRDefault="00000000">
      <w:pPr>
        <w:spacing w:before="120"/>
      </w:pPr>
      <w:r>
        <w:rPr>
          <w:b/>
        </w:rPr>
        <w:t>References</w:t>
      </w:r>
    </w:p>
    <w:p w14:paraId="7DEB9B5B" w14:textId="77777777" w:rsidR="00FB2CEE" w:rsidRDefault="00000000" w:rsidP="00FB2CEE">
      <w:pPr>
        <w:pStyle w:val="ListParagraph"/>
        <w:numPr>
          <w:ilvl w:val="0"/>
          <w:numId w:val="10"/>
        </w:numPr>
        <w:ind w:left="426" w:hanging="426"/>
        <w:jc w:val="both"/>
      </w:pPr>
      <w:r>
        <w:t>Al Adawiyah R, Boettiger D, Applegate TL, Probandari A, Marthias T, Guy R, Wiseman V. Supply-side readiness to deliver HIV testing and treatment services in Indonesia: going the last mile to eliminate mother-to-child transmission of HIV. PLOS Glob Public Health. 2022;2(8):e0000845. doi:10.1371/journal.pgph.0000845.</w:t>
      </w:r>
    </w:p>
    <w:p w14:paraId="04C3D057" w14:textId="77777777" w:rsidR="00FB2CEE" w:rsidRDefault="00000000" w:rsidP="00FB2CEE">
      <w:pPr>
        <w:pStyle w:val="ListParagraph"/>
        <w:numPr>
          <w:ilvl w:val="0"/>
          <w:numId w:val="10"/>
        </w:numPr>
        <w:ind w:left="426" w:hanging="426"/>
        <w:jc w:val="both"/>
      </w:pPr>
      <w:r>
        <w:t>Baker C, Limato R, Tumbelaka P, Rewari BB, Nasir S, Ahmed R, Taegtmeyer M. Antenatal testing for anaemia, HIV and syphilis in Indonesia: a health systems analysis of low coverage. BMC Pregnancy Childbirth. 2020;20:326. doi:10.1186/s12884-020-02993-x.</w:t>
      </w:r>
    </w:p>
    <w:p w14:paraId="03F3D95A" w14:textId="77777777" w:rsidR="00FB2CEE" w:rsidRDefault="00000000" w:rsidP="00FB2CEE">
      <w:pPr>
        <w:pStyle w:val="ListParagraph"/>
        <w:numPr>
          <w:ilvl w:val="0"/>
          <w:numId w:val="10"/>
        </w:numPr>
        <w:ind w:left="426" w:hanging="426"/>
        <w:jc w:val="both"/>
      </w:pPr>
      <w:r>
        <w:lastRenderedPageBreak/>
        <w:t>Ulfah IK, Indrawan RR, Anggraeni N, Hidayati AN, Nasronudin, Khairunisa SQ. Challenges in the implementation of mother-to-child HIV/AIDS prevention programs in Indonesia. GERMS. 2023;13(2):158-167. doi:10.18683/germs.2023.1379.</w:t>
      </w:r>
    </w:p>
    <w:p w14:paraId="549C3FD6" w14:textId="77777777" w:rsidR="00FB2CEE" w:rsidRDefault="00000000" w:rsidP="00FB2CEE">
      <w:pPr>
        <w:pStyle w:val="ListParagraph"/>
        <w:numPr>
          <w:ilvl w:val="0"/>
          <w:numId w:val="10"/>
        </w:numPr>
        <w:ind w:left="426" w:hanging="426"/>
        <w:jc w:val="both"/>
      </w:pPr>
      <w:r>
        <w:t>Wulandari LPL, Lubis DS, Kurniati DPY, Sumintang K, Ardrini DAM, Mariani P, Januraga PP, Camellia A, Laksmi NMDP, Mahmudah L, Ong JJ, Causer L, Liverani M, Guy R, Wiseman V. Challenges to integrating programs for the elimination of mother-to-child transmission of HIV, syphilis, and hepatitis B into antenatal care: experiences from Indonesia. PLOS Glob Public Health. 2024;4(3):e0002977. doi:10.1371/journal.pgph.0002977.</w:t>
      </w:r>
    </w:p>
    <w:p w14:paraId="534A9C02" w14:textId="77777777" w:rsidR="00FB2CEE" w:rsidRDefault="00000000" w:rsidP="00FB2CEE">
      <w:pPr>
        <w:pStyle w:val="ListParagraph"/>
        <w:numPr>
          <w:ilvl w:val="0"/>
          <w:numId w:val="10"/>
        </w:numPr>
        <w:ind w:left="426" w:hanging="426"/>
        <w:jc w:val="both"/>
      </w:pPr>
      <w:r>
        <w:t>McCollum R, Limato R, Otiso L, Theobald S, Taegtmeyer M. Health system governance following devolution: comparing experiences of decentralisation in Kenya and Indonesia. BMJ Glob Health. 2018;3(5):e000939. doi:10.1136/bmjgh-2018-000939.</w:t>
      </w:r>
    </w:p>
    <w:p w14:paraId="2E4022F1" w14:textId="77777777" w:rsidR="00FB2CEE" w:rsidRDefault="00000000" w:rsidP="00FB2CEE">
      <w:pPr>
        <w:pStyle w:val="ListParagraph"/>
        <w:numPr>
          <w:ilvl w:val="0"/>
          <w:numId w:val="10"/>
        </w:numPr>
        <w:ind w:left="426" w:hanging="426"/>
        <w:jc w:val="both"/>
      </w:pPr>
      <w:r>
        <w:t>Siregar KN, Hanifah L, Rikawarastuti, Wahyuniar L. Prevention of HIV transmission from mother to child: challenges to successful program implementation and practice in Indonesia. J Int Assoc Provid AIDS Care. 2021;20:23259582211040701. doi:10.1177/23259582211040701.</w:t>
      </w:r>
    </w:p>
    <w:p w14:paraId="2D522AB5" w14:textId="77777777" w:rsidR="00FB2CEE" w:rsidRDefault="00000000" w:rsidP="00FB2CEE">
      <w:pPr>
        <w:pStyle w:val="ListParagraph"/>
        <w:numPr>
          <w:ilvl w:val="0"/>
          <w:numId w:val="10"/>
        </w:numPr>
        <w:ind w:left="426" w:hanging="426"/>
        <w:jc w:val="both"/>
      </w:pPr>
      <w:r>
        <w:t>Walt G, Gilson L. Reforming the health sector in developing countries: the central role of policy analysis. Health Policy Plan. 1994;9(4):353-370. doi:10.1093/heapol/9.4.353.</w:t>
      </w:r>
    </w:p>
    <w:p w14:paraId="1608DCF5" w14:textId="77777777" w:rsidR="00FB2CEE" w:rsidRDefault="00000000" w:rsidP="00FB2CEE">
      <w:pPr>
        <w:pStyle w:val="ListParagraph"/>
        <w:numPr>
          <w:ilvl w:val="0"/>
          <w:numId w:val="10"/>
        </w:numPr>
        <w:ind w:left="426" w:hanging="426"/>
        <w:jc w:val="both"/>
      </w:pPr>
      <w:r>
        <w:t>Kruk ME, Myers M, Varpilah ST, Dahn BT. What is a resilient health system? Lessons from Ebola. Lancet. 2015;385(9980):1910-1912. doi:10.1016/S0140-6736(15)60755-3.</w:t>
      </w:r>
    </w:p>
    <w:p w14:paraId="0F65489B" w14:textId="77777777" w:rsidR="00FB2CEE" w:rsidRDefault="00000000" w:rsidP="00FB2CEE">
      <w:pPr>
        <w:pStyle w:val="ListParagraph"/>
        <w:numPr>
          <w:ilvl w:val="0"/>
          <w:numId w:val="10"/>
        </w:numPr>
        <w:ind w:left="426" w:hanging="426"/>
        <w:jc w:val="both"/>
      </w:pPr>
      <w:r>
        <w:t>Armini LN, Setiawati EP, Arisanti N, Hilmanto D. Evaluation of process indicators and challenges of the elimination of mother-to-child transmission of HIV, syphilis, and hepatitis B in Bali Province, Indonesia (2019-2022): a mixed-methods study. Trop Med Infect Dis. 2023;8(11):492. doi:10.3390/tropicalmed8110492.</w:t>
      </w:r>
    </w:p>
    <w:p w14:paraId="21A29D96" w14:textId="77777777" w:rsidR="00FB2CEE" w:rsidRDefault="00000000" w:rsidP="00FB2CEE">
      <w:pPr>
        <w:pStyle w:val="ListParagraph"/>
        <w:numPr>
          <w:ilvl w:val="0"/>
          <w:numId w:val="10"/>
        </w:numPr>
        <w:ind w:left="426" w:hanging="426"/>
        <w:jc w:val="both"/>
      </w:pPr>
      <w:r>
        <w:lastRenderedPageBreak/>
        <w:t>Kazibwe A, Olal E, Ojok AM, Kigongo JV, Kafumbe H, Niwampeire MP, Toskin CG, Ondo D, Nabitaka LK, Mwine P, Kagimu D, Lawino A, Etukoit MB. Facilitators, barriers and service availability for delivering integrated care for the triple elimination of HIV, syphilis and hepatitis B vertical transmission in Uganda: a multi-site explanatory mixed methods study. BMC Health Serv Res. 2025;25:626. doi:10.1186/s12913-025-12797-4.</w:t>
      </w:r>
    </w:p>
    <w:p w14:paraId="513009EA" w14:textId="77777777" w:rsidR="00FB2CEE" w:rsidRDefault="00000000" w:rsidP="00FB2CEE">
      <w:pPr>
        <w:pStyle w:val="ListParagraph"/>
        <w:numPr>
          <w:ilvl w:val="0"/>
          <w:numId w:val="10"/>
        </w:numPr>
        <w:ind w:left="426" w:hanging="426"/>
        <w:jc w:val="both"/>
      </w:pPr>
      <w:r>
        <w:t>Arifin H, Ibrahim K, Rahayuwati L, Herliani YK, Kurniawati Y, Pradipta RO, Sari GM, Ko NY, Wiratama BS. HIV-related knowledge, information, and their contribution to stigmatization attitudes among females aged 15-24 years: regional disparities in Indonesia. BMC Public Health. 2022;22:637. doi:10.1186/s12889-022-13046-7.</w:t>
      </w:r>
    </w:p>
    <w:p w14:paraId="34418673" w14:textId="77777777" w:rsidR="00FB2CEE" w:rsidRDefault="00000000" w:rsidP="00FB2CEE">
      <w:pPr>
        <w:pStyle w:val="ListParagraph"/>
        <w:numPr>
          <w:ilvl w:val="0"/>
          <w:numId w:val="10"/>
        </w:numPr>
        <w:ind w:left="426" w:hanging="426"/>
        <w:jc w:val="both"/>
      </w:pPr>
      <w:r>
        <w:t>Langi GG, Rahadi A, Praptoraharjo I, Ahmad RA. HIV-related stigma and discrimination among health care workers during early program decentralization in rural Gunungkidul District, Indonesia: a cross-sectional study. BMC Health Serv Res. 2022;22:356. doi:10.1186/s12913-022-07751-7.</w:t>
      </w:r>
    </w:p>
    <w:p w14:paraId="6411E457" w14:textId="77777777" w:rsidR="00FB2CEE" w:rsidRDefault="00000000" w:rsidP="00FB2CEE">
      <w:pPr>
        <w:pStyle w:val="ListParagraph"/>
        <w:numPr>
          <w:ilvl w:val="0"/>
          <w:numId w:val="10"/>
        </w:numPr>
        <w:ind w:left="426" w:hanging="426"/>
        <w:jc w:val="both"/>
      </w:pPr>
      <w:r>
        <w:t>Mahamboro DB, Fauk NK, Ward PR, Merry MS, Siri TA, Mwanri L. HIV stigma and moral judgement: qualitative exploration of the experiences of HIV stigma and discrimination among married men living with HIV in Yogyakarta. Int J Environ Res Public Health. 2020;17(2):636. doi:10.3390/ijerph17020636.</w:t>
      </w:r>
    </w:p>
    <w:p w14:paraId="5977D945" w14:textId="77777777" w:rsidR="00FB2CEE" w:rsidRDefault="00000000" w:rsidP="00FB2CEE">
      <w:pPr>
        <w:pStyle w:val="ListParagraph"/>
        <w:numPr>
          <w:ilvl w:val="0"/>
          <w:numId w:val="10"/>
        </w:numPr>
        <w:ind w:left="426" w:hanging="426"/>
        <w:jc w:val="both"/>
      </w:pPr>
      <w:r>
        <w:t>Bisnauth MA, Coovadia A, Kawonga M, Vearey J. Providing HIV prevention of mother-to-child transmission services to migrants during the COVID-19 pandemic in South Africa: insights of healthcare providers. Health Serv Insights. 2022;15:11786329211073386. doi:10.1177/11786329211073386.</w:t>
      </w:r>
    </w:p>
    <w:p w14:paraId="644095FA" w14:textId="77777777" w:rsidR="00FB2CEE" w:rsidRDefault="00000000" w:rsidP="00FB2CEE">
      <w:pPr>
        <w:pStyle w:val="ListParagraph"/>
        <w:numPr>
          <w:ilvl w:val="0"/>
          <w:numId w:val="10"/>
        </w:numPr>
        <w:ind w:left="426" w:hanging="426"/>
        <w:jc w:val="both"/>
      </w:pPr>
      <w:r>
        <w:t xml:space="preserve">Chappell E, Chimwaza A, Manika N, Wedderburn CJ, Nenguke ZM, Gannon H, Cowan F, Gibb T, Heys M, Fitzgerald F, Phillips A, Chimhuya S, Gibb DM, Ford D, Mushavi A, Bwakura-Dangarembizi M. Impact of the COVID-19 pandemic on the provision and uptake </w:t>
      </w:r>
      <w:r>
        <w:lastRenderedPageBreak/>
        <w:t>of services for the prevention of mother-to-child transmission of HIV in Zimbabwe. PLOS Glob Public Health. 2023;3(8):e0002296. doi:10.1371/journal.pgph.0002296.</w:t>
      </w:r>
    </w:p>
    <w:p w14:paraId="17BDB7A0" w14:textId="77777777" w:rsidR="00FB2CEE" w:rsidRDefault="00000000" w:rsidP="00FB2CEE">
      <w:pPr>
        <w:pStyle w:val="ListParagraph"/>
        <w:numPr>
          <w:ilvl w:val="0"/>
          <w:numId w:val="10"/>
        </w:numPr>
        <w:ind w:left="426" w:hanging="426"/>
        <w:jc w:val="both"/>
      </w:pPr>
      <w:r>
        <w:t>Sinfield G, Goldspink S, Wilson C. Waiting in the wings: the enactment of a descriptive phenomenology study. Int J Qual Methods. 2023;22:16094069231207012. doi:10.1177/16094069231207012.</w:t>
      </w:r>
    </w:p>
    <w:p w14:paraId="511FE593" w14:textId="77777777" w:rsidR="00FB2CEE" w:rsidRDefault="00000000" w:rsidP="00FB2CEE">
      <w:pPr>
        <w:pStyle w:val="ListParagraph"/>
        <w:numPr>
          <w:ilvl w:val="0"/>
          <w:numId w:val="10"/>
        </w:numPr>
        <w:ind w:left="426" w:hanging="426"/>
        <w:jc w:val="both"/>
      </w:pPr>
      <w:r>
        <w:t>Guest G, Bunce A, Johnson L. How many interviews are enough? An experiment with data saturation and variability. Field Methods. 2006;18(1):59-82. doi:10.1177/1525822X05279903.</w:t>
      </w:r>
    </w:p>
    <w:p w14:paraId="5F40CD44" w14:textId="77777777" w:rsidR="00FB2CEE" w:rsidRDefault="00000000" w:rsidP="00FB2CEE">
      <w:pPr>
        <w:pStyle w:val="ListParagraph"/>
        <w:numPr>
          <w:ilvl w:val="0"/>
          <w:numId w:val="10"/>
        </w:numPr>
        <w:ind w:left="426" w:hanging="426"/>
        <w:jc w:val="both"/>
      </w:pPr>
      <w:r>
        <w:t>Hennink MM, Kaiser BN, Marconi VC. Code saturation versus meaning saturation: how many interviews are enough? Qual Health Res. 2017;27(4):591-608. doi:10.1177/1049732316665344.</w:t>
      </w:r>
    </w:p>
    <w:p w14:paraId="4569ED4A" w14:textId="77777777" w:rsidR="00FB2CEE" w:rsidRDefault="00000000" w:rsidP="00FB2CEE">
      <w:pPr>
        <w:pStyle w:val="ListParagraph"/>
        <w:numPr>
          <w:ilvl w:val="0"/>
          <w:numId w:val="10"/>
        </w:numPr>
        <w:ind w:left="426" w:hanging="426"/>
        <w:jc w:val="both"/>
      </w:pPr>
      <w:r>
        <w:t>Korstjens I, Moser A. Series: practical guidance to qualitative research. Part 4: trustworthiness and publishing. Eur J Gen Pract. 2018;24(1):120-124. doi:10.1080/13814788.2017.1375092.</w:t>
      </w:r>
    </w:p>
    <w:p w14:paraId="2AFEF57F" w14:textId="77777777" w:rsidR="00FB2CEE" w:rsidRDefault="00000000" w:rsidP="00FB2CEE">
      <w:pPr>
        <w:pStyle w:val="ListParagraph"/>
        <w:numPr>
          <w:ilvl w:val="0"/>
          <w:numId w:val="10"/>
        </w:numPr>
        <w:ind w:left="426" w:hanging="426"/>
        <w:jc w:val="both"/>
      </w:pPr>
      <w:r>
        <w:t>Indonesia. Ministry of Health. Regulation of the Minister of Health of the Republic of Indonesia No. 52 of 2017 on elimination of mother-to-child transmission of human immunodeficiency virus, syphilis and hepatitis B. Jakarta: Ministry of Health; 2017.</w:t>
      </w:r>
    </w:p>
    <w:p w14:paraId="4E8A7426" w14:textId="77777777" w:rsidR="00FB2CEE" w:rsidRDefault="00000000" w:rsidP="00FB2CEE">
      <w:pPr>
        <w:pStyle w:val="ListParagraph"/>
        <w:numPr>
          <w:ilvl w:val="0"/>
          <w:numId w:val="10"/>
        </w:numPr>
        <w:ind w:left="426" w:hanging="426"/>
        <w:jc w:val="both"/>
      </w:pPr>
      <w:r>
        <w:t>Indonesia. Ministry of Health. Regulation of the Minister of Health of the Republic of Indonesia No. 21 of 2021 on health services before pregnancy, during pregnancy, childbirth and postpartum, contraceptive services, and sexual health services. Jakarta: Ministry of Health; 2021.</w:t>
      </w:r>
    </w:p>
    <w:p w14:paraId="58329F8B" w14:textId="77777777" w:rsidR="00FB2CEE" w:rsidRDefault="00000000" w:rsidP="00FB2CEE">
      <w:pPr>
        <w:pStyle w:val="ListParagraph"/>
        <w:numPr>
          <w:ilvl w:val="0"/>
          <w:numId w:val="10"/>
        </w:numPr>
        <w:ind w:left="426" w:hanging="426"/>
        <w:jc w:val="both"/>
      </w:pPr>
      <w:r>
        <w:t xml:space="preserve">Indonesia. Ministry of Health. Regulation of the Minister of Health of the Republic of Indonesia No. 23 of 2022 on control of human immunodeficiency virus, acquired </w:t>
      </w:r>
      <w:r>
        <w:lastRenderedPageBreak/>
        <w:t>immunodeficiency syndrome, and sexually transmitted infections. Jakarta: Ministry of Health; 2022.</w:t>
      </w:r>
    </w:p>
    <w:p w14:paraId="52D162DD" w14:textId="77777777" w:rsidR="00FB2CEE" w:rsidRDefault="00000000" w:rsidP="00FB2CEE">
      <w:pPr>
        <w:pStyle w:val="ListParagraph"/>
        <w:numPr>
          <w:ilvl w:val="0"/>
          <w:numId w:val="10"/>
        </w:numPr>
        <w:ind w:left="426" w:hanging="426"/>
        <w:jc w:val="both"/>
      </w:pPr>
      <w:r>
        <w:t>Sleman Regency. Regional Regulation No. 9 of 2021 on prevention and control of communicable diseases. Sleman: Government of Sleman Regency; 2021.</w:t>
      </w:r>
    </w:p>
    <w:p w14:paraId="25B1745F" w14:textId="77777777" w:rsidR="00FB2CEE" w:rsidRDefault="00000000" w:rsidP="00FB2CEE">
      <w:pPr>
        <w:pStyle w:val="ListParagraph"/>
        <w:numPr>
          <w:ilvl w:val="0"/>
          <w:numId w:val="10"/>
        </w:numPr>
        <w:ind w:left="426" w:hanging="426"/>
        <w:jc w:val="both"/>
      </w:pPr>
      <w:r>
        <w:t>Special Region of Yogyakarta. Regional Regulation No. 12 of 2010 on control of human immunodeficiency virus and acquired immunodeficiency syndrome. Yogyakarta: Government of the Special Region of Yogyakarta; 2010.</w:t>
      </w:r>
    </w:p>
    <w:p w14:paraId="7D243ECB" w14:textId="77777777" w:rsidR="00FB2CEE" w:rsidRDefault="00000000" w:rsidP="00FB2CEE">
      <w:pPr>
        <w:pStyle w:val="ListParagraph"/>
        <w:numPr>
          <w:ilvl w:val="0"/>
          <w:numId w:val="10"/>
        </w:numPr>
        <w:ind w:left="426" w:hanging="426"/>
        <w:jc w:val="both"/>
      </w:pPr>
      <w:r>
        <w:t>Special Region of Yogyakarta. Regional Regulation No. 3 of 2023 on control of human immunodeficiency virus and acquired immunodeficiency syndrome. Yogyakarta: Government of the Special Region of Yogyakarta; 2023.</w:t>
      </w:r>
    </w:p>
    <w:p w14:paraId="2D5A4F5A" w14:textId="77777777" w:rsidR="00FB2CEE" w:rsidRDefault="00000000" w:rsidP="00FB2CEE">
      <w:pPr>
        <w:pStyle w:val="ListParagraph"/>
        <w:numPr>
          <w:ilvl w:val="0"/>
          <w:numId w:val="10"/>
        </w:numPr>
        <w:ind w:left="426" w:hanging="426"/>
        <w:jc w:val="both"/>
      </w:pPr>
      <w:r>
        <w:t>Cohn J, Owiredu MN, Taylor MM, Easterbrook P, Lesi O, Francoise B, Broyles LN, Mushavi A, Van Holten J, Ngugi C, Cui F, Zachary D, Hailu S, Tsiouris F, Andersson M, Mbori-Ngacha D, Jallow W, Essajee S, Ross AL, Bailey R, Shah J, Doherty MM. Eliminating mother-to-child transmission of human immunodeficiency virus, syphilis and hepatitis B in sub-Saharan Africa. Bull World Health Organ. 2021;99(4):287-295. doi:10.2471/BLT.20.272559</w:t>
      </w:r>
      <w:r w:rsidR="00FB2CEE">
        <w:t>.</w:t>
      </w:r>
    </w:p>
    <w:p w14:paraId="0910D053" w14:textId="77777777" w:rsidR="00FB2CEE" w:rsidRDefault="00000000" w:rsidP="00FB2CEE">
      <w:pPr>
        <w:pStyle w:val="ListParagraph"/>
        <w:numPr>
          <w:ilvl w:val="0"/>
          <w:numId w:val="10"/>
        </w:numPr>
        <w:ind w:left="426" w:hanging="426"/>
        <w:jc w:val="both"/>
      </w:pPr>
      <w:r>
        <w:t>Young N, Achieng F, Desai M, Phillips-Howard P, Hill J, Aol G, Bigogo G, Laserson K, Ter Kuile F, Taegtmeyer M. Integrated point-of-care testing for HIV, syphilis, malaria and anaemia at antenatal facilities in western Kenya: a qualitative study exploring end-users' perspectives of appropriateness, acceptability and feasibility. BMC Health Serv Res. 2019;19:74. doi:10.1186/s12913-018-3844-9.</w:t>
      </w:r>
    </w:p>
    <w:p w14:paraId="7E420DF3" w14:textId="77777777" w:rsidR="00FB2CEE" w:rsidRDefault="00000000" w:rsidP="00FB2CEE">
      <w:pPr>
        <w:pStyle w:val="ListParagraph"/>
        <w:numPr>
          <w:ilvl w:val="0"/>
          <w:numId w:val="10"/>
        </w:numPr>
        <w:ind w:left="426" w:hanging="426"/>
        <w:jc w:val="both"/>
      </w:pPr>
      <w:r>
        <w:t xml:space="preserve">Masefield SC, Msosa A, Chinguwo FK, Grugel J. Stakeholder engagement in the health policy process in a low-income country: a qualitative study of stakeholder perceptions of the </w:t>
      </w:r>
      <w:r>
        <w:lastRenderedPageBreak/>
        <w:t>challenges to effective inclusion in Malawi. BMC Health Serv Res. 2021;21:984. doi:10.1186/s12913-021-07016-9.</w:t>
      </w:r>
    </w:p>
    <w:p w14:paraId="0011B903" w14:textId="77777777" w:rsidR="00FB2CEE" w:rsidRDefault="00000000" w:rsidP="00FB2CEE">
      <w:pPr>
        <w:pStyle w:val="ListParagraph"/>
        <w:numPr>
          <w:ilvl w:val="0"/>
          <w:numId w:val="10"/>
        </w:numPr>
        <w:ind w:left="426" w:hanging="426"/>
        <w:jc w:val="both"/>
      </w:pPr>
      <w:r>
        <w:t>Dirisu O, Eluwa G, Adams E, Torpey K, Shittu O, Adebajo S. I think this is the only challenge... the stigma: stakeholder perceptions about barriers to antenatal care and PMTCT uptake in Kano State, Nigeria. PLoS One. 2020;15(4):e0232028. doi:10.1371/journal.pone.0232028.</w:t>
      </w:r>
    </w:p>
    <w:p w14:paraId="1CC5AAD4" w14:textId="77777777" w:rsidR="00FB2CEE" w:rsidRDefault="00000000" w:rsidP="00FB2CEE">
      <w:pPr>
        <w:pStyle w:val="ListParagraph"/>
        <w:numPr>
          <w:ilvl w:val="0"/>
          <w:numId w:val="10"/>
        </w:numPr>
        <w:ind w:left="426" w:hanging="426"/>
        <w:jc w:val="both"/>
      </w:pPr>
      <w:r>
        <w:t>Camellia A, Swandari P, Rahma G, Merati TP, Bakta IM. A peer-support mini-counselling model to improve treatment in HIV-positive pregnant women in Kupang. J Prev Med Public Health. 2023;56:238-247. doi:10.3961/jpmph.22.516.</w:t>
      </w:r>
    </w:p>
    <w:p w14:paraId="72DCEF7F" w14:textId="77777777" w:rsidR="00FB2CEE" w:rsidRDefault="00000000" w:rsidP="00FB2CEE">
      <w:pPr>
        <w:pStyle w:val="ListParagraph"/>
        <w:numPr>
          <w:ilvl w:val="0"/>
          <w:numId w:val="10"/>
        </w:numPr>
        <w:ind w:left="426" w:hanging="426"/>
        <w:jc w:val="both"/>
      </w:pPr>
      <w:r>
        <w:t>Iryawan AR, Stoicescu C, Sjahrial F, Nio K, Dominich A. The impact of peer support on testing, linkage to and engagement in HIV care for people who inject drugs in Indonesia: qualitative perspectives from a community-led study. Harm Reduct J. 2022;19:16. doi:10.1186/s12954-022-00595-8.</w:t>
      </w:r>
    </w:p>
    <w:p w14:paraId="5C7DFEA9" w14:textId="35720956" w:rsidR="00F567A8" w:rsidRDefault="00000000" w:rsidP="00FB2CEE">
      <w:pPr>
        <w:pStyle w:val="ListParagraph"/>
        <w:numPr>
          <w:ilvl w:val="0"/>
          <w:numId w:val="10"/>
        </w:numPr>
        <w:ind w:left="426" w:hanging="426"/>
        <w:jc w:val="both"/>
      </w:pPr>
      <w:r>
        <w:t>Suryavanshi N, Kadam A, Kanade S, Gupte N, Gupta A, Bollinger R, Mave V, Shankar A. Acceptability and feasibility of a behavioral and mobile health intervention shown to increase uptake of prevention of mother-to-child transmission care in India. BMC Public Health. 2020;20:752. doi:10.1186/s12889-020-08706-5.</w:t>
      </w:r>
    </w:p>
    <w:sectPr w:rsidR="00F567A8">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B1A5A53"/>
    <w:multiLevelType w:val="hybridMultilevel"/>
    <w:tmpl w:val="BAC4A6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8387825">
    <w:abstractNumId w:val="8"/>
  </w:num>
  <w:num w:numId="2" w16cid:durableId="431390680">
    <w:abstractNumId w:val="6"/>
  </w:num>
  <w:num w:numId="3" w16cid:durableId="441071000">
    <w:abstractNumId w:val="5"/>
  </w:num>
  <w:num w:numId="4" w16cid:durableId="1694576769">
    <w:abstractNumId w:val="4"/>
  </w:num>
  <w:num w:numId="5" w16cid:durableId="1342394194">
    <w:abstractNumId w:val="7"/>
  </w:num>
  <w:num w:numId="6" w16cid:durableId="1491601460">
    <w:abstractNumId w:val="3"/>
  </w:num>
  <w:num w:numId="7" w16cid:durableId="959382257">
    <w:abstractNumId w:val="2"/>
  </w:num>
  <w:num w:numId="8" w16cid:durableId="1174145293">
    <w:abstractNumId w:val="1"/>
  </w:num>
  <w:num w:numId="9" w16cid:durableId="1243294686">
    <w:abstractNumId w:val="0"/>
  </w:num>
  <w:num w:numId="10" w16cid:durableId="13743055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A31"/>
    <w:rsid w:val="00276CEA"/>
    <w:rsid w:val="0029639D"/>
    <w:rsid w:val="00326F90"/>
    <w:rsid w:val="00501E8A"/>
    <w:rsid w:val="00572DD7"/>
    <w:rsid w:val="00AA1D8D"/>
    <w:rsid w:val="00B47730"/>
    <w:rsid w:val="00CB0664"/>
    <w:rsid w:val="00CC572D"/>
    <w:rsid w:val="00DA35E2"/>
    <w:rsid w:val="00F567A8"/>
    <w:rsid w:val="00FB2CEE"/>
    <w:rsid w:val="00FB66D6"/>
    <w:rsid w:val="00FC693F"/>
    <w:rsid w:val="00FD0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23D359"/>
  <w14:defaultImageDpi w14:val="300"/>
  <w15:docId w15:val="{C8EC7984-5519-4ADE-88DE-C17ECB6D9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24</Pages>
  <Words>6227</Words>
  <Characters>35494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MANDIRI SEJAHTERA</cp:lastModifiedBy>
  <cp:revision>7</cp:revision>
  <dcterms:created xsi:type="dcterms:W3CDTF">2013-12-23T23:15:00Z</dcterms:created>
  <dcterms:modified xsi:type="dcterms:W3CDTF">2026-08-13T07:04:00Z</dcterms:modified>
  <cp:category/>
  <dc:identifier/>
  <cp:contentStatus/>
  <dc:language>en</dc:language>
  <cp:version/>
</cp:coreProperties>
</file>