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spacing w:after="200"/>
      </w:pPr>
      <w:r>
        <w:rPr>
          <w:b w:val="on"/>
          <w:rFonts w:ascii="Calibri" w:hAnsi="Calibri" w:cs="Calibri" w:eastAsia="Calibri"/>
          <w:sz w:val="32"/>
        </w:rPr>
        <w:t>Ethics declaration</w:t>
      </w:r>
    </w:p>
    <w:p/>
    <w:p>
      <w:pPr>
        <w:pStyle w:val="Heading2"/>
        <w:spacing w:after="200"/>
      </w:pPr>
      <w:r>
        <w:rPr>
          <w:b w:val="on"/>
          <w:rFonts w:ascii="Calibri" w:hAnsi="Calibri" w:cs="Calibri" w:eastAsia="Calibri"/>
          <w:sz w:val="28"/>
        </w:rPr>
        <w:t>Informed consent and patient details</w:t>
      </w:r>
    </w:p>
    <w:p>
      <w:pPr>
        <w:spacing w:after="100"/>
      </w:pPr>
      <w:r>
        <w:rPr>
          <w:sz w:val="22"/>
        </w:rPr>
        <w:t>Written informed consent to take part in the study and to publish the article has been obtained from all participants or their legal representatives. The privacy rights of participants have been observed.</w:t>
      </w:r>
    </w:p>
    <w:p/>
    <w:p>
      <w:pPr>
        <w:pStyle w:val="Heading2"/>
        <w:spacing w:after="200"/>
      </w:pPr>
      <w:r>
        <w:rPr>
          <w:b w:val="on"/>
          <w:rFonts w:ascii="Calibri" w:hAnsi="Calibri" w:cs="Calibri" w:eastAsia="Calibri"/>
          <w:sz w:val="28"/>
        </w:rPr>
        <w:t>Human and biological material</w:t>
      </w:r>
    </w:p>
    <w:p>
      <w:pPr>
        <w:spacing w:after="100"/>
      </w:pPr>
      <w:r>
        <w:rPr>
          <w:sz w:val="22"/>
        </w:rPr>
        <w:t>This study included organ or tissue donors.</w:t>
      </w:r>
    </w:p>
    <w:p>
      <w:pPr>
        <w:spacing w:after="100"/>
      </w:pPr>
      <w:r>
        <w:rPr>
          <w:sz w:val="22"/>
        </w:rPr>
        <w:t>This study includes human biological material and consent was obtained by donors, or their next of kin or legal representatives, for use in this study and for publication of the article. The samples used in this research were not sourced from executed prisoners or prisoners of conscience.</w:t>
      </w:r>
    </w:p>
    <w:p/>
    <w:p>
      <w:pPr>
        <w:pStyle w:val="Heading2"/>
        <w:spacing w:after="200"/>
      </w:pPr>
      <w:r>
        <w:rPr>
          <w:b w:val="on"/>
          <w:rFonts w:ascii="Calibri" w:hAnsi="Calibri" w:cs="Calibri" w:eastAsia="Calibri"/>
          <w:sz w:val="28"/>
        </w:rPr>
        <w:t>Studies in Human</w:t>
      </w:r>
    </w:p>
    <w:p>
      <w:pPr>
        <w:spacing w:after="100"/>
      </w:pPr>
      <w:r>
        <w:rPr>
          <w:sz w:val="22"/>
        </w:rPr>
        <w:t>This study was performed in compliance with relevant laws, regulatory frameworks and guidelines where the research took place.</w:t>
      </w:r>
    </w:p>
    <w:p>
      <w:pPr>
        <w:spacing w:after="100"/>
      </w:pPr>
      <w:r>
        <w:rPr>
          <w:sz w:val="22"/>
        </w:rPr>
        <w:t>This study was approved by the Health Research Ethics Committee of Hasanuddin University, Indonesia.</w:t>
      </w:r>
    </w:p>
    <w:p>
      <w:pPr>
        <w:spacing w:after="100"/>
      </w:pPr>
      <w:r>
        <w:rPr>
          <w:sz w:val="22"/>
        </w:rPr>
        <w:t>(Approval No. 563/UN4.6.4.5.31/PP36/2025)</w:t>
      </w:r>
    </w:p>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Heading1" w:type="paragraph">
    <w:name w:val="heading 1"/>
    <w:basedOn w:val="Normal"/>
    <w:next w:val="Normal"/>
    <w:qFormat/>
    <w:pPr>
      <w:outlineLvl w:val="0"/>
    </w:pPr>
  </w:style>
  <w:style w:styleId="Heading2" w:type="paragraph">
    <w:name w:val="heading 2"/>
    <w:basedOn w:val="Normal"/>
    <w:next w:val="Normal"/>
    <w:qFormat/>
    <w:pPr>
      <w:outlineLvl w:val="1"/>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2026-08-08T03:39:32Z</dcterms:created>
  <dc:creator>Apache POI</dc:creator>
</cp:coreProperties>
</file>