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rebuchet MS" w:hAnsi="Trebuchet MS" w:eastAsia="Trebuchet MS"/>
          <w:b/>
          <w:i w:val="0"/>
          <w:sz w:val="28"/>
        </w:rPr>
        <w:t>COMMUNITY-BASED GUIDED IMAGERY AND GOLDEN BANANA COOKIE SUPPLEMENTATION FOR SUPPORTING ESTIMATED FETAL WEIGHT AMONG PREGNANT WOMEN WITH ANXIETY IN KENDARI, INDONESIA</w:t>
      </w:r>
    </w:p>
    <w:p>
      <w:pPr>
        <w:spacing w:before="0" w:after="0" w:line="240" w:lineRule="auto"/>
      </w:pPr>
      <w:r>
        <w:rPr>
          <w:rFonts w:ascii="Trebuchet MS" w:hAnsi="Trebuchet MS" w:eastAsia="Trebuchet MS"/>
          <w:b/>
          <w:i w:val="0"/>
          <w:sz w:val="20"/>
        </w:rPr>
        <w:t>ABSTRACT</w:t>
      </w:r>
    </w:p>
    <w:p>
      <w:pPr>
        <w:spacing w:before="0" w:after="0" w:line="240" w:lineRule="auto"/>
        <w:jc w:val="both"/>
      </w:pPr>
      <w:r>
        <w:rPr>
          <w:rFonts w:ascii="Trebuchet MS" w:hAnsi="Trebuchet MS" w:eastAsia="Trebuchet MS"/>
          <w:b w:val="0"/>
          <w:i w:val="0"/>
          <w:sz w:val="20"/>
        </w:rPr>
        <w:t>Maternal anxiety and inadequate nutrition may affect antenatal self-care and fetal growth. This quasi-experimental pre-test and post-test control group study evaluated the association of guided imagery and golden banana cookie supplementation with estimated fetal weight among 120 pregnant women with anxiety in Kendari City, Indonesia. Participants were allocated into four groups: guided imagery, golden banana cookie supplementation, combined guided imagery and golden banana cookie supplementation, and routine antenatal care control. The intervention was implemented for 12 weeks. Estimated fetal weight was measured before and after intervention using fundal height assessment performed by trained midwives. Acceptability testing was conducted to select the golden banana cookie formulation used in the intervention. Baseline characteristics were comparable across groups. The 15% golden banana cookie formulation had the highest overall preference score and was selected for supplementation. Baseline estimated fetal weight did not differ significantly among groups (p = 0.491). After 12 weeks, estimated fetal weight increased in all groups, with mean increases of 1381 g in the guided imagery group, 1354 g in the golden banana cookie group, 1354 g in the combined intervention group, and 1310 g in the control group. Repeated measures analysis showed a significant time-by-group interaction (p &lt; 0.001). Guided imagery and locally based food supplementation may be feasible supportive components of antenatal care, although causal interpretation is limited by the quasi-experimental design and natural fetal growth over gestation.</w:t>
      </w:r>
    </w:p>
    <w:p>
      <w:pPr>
        <w:spacing w:before="0" w:after="0" w:line="240" w:lineRule="auto"/>
      </w:pPr>
      <w:r>
        <w:rPr>
          <w:rFonts w:ascii="Trebuchet MS" w:hAnsi="Trebuchet MS" w:eastAsia="Trebuchet MS"/>
          <w:b/>
          <w:i w:val="0"/>
          <w:sz w:val="20"/>
        </w:rPr>
        <w:t xml:space="preserve">Keywords: </w:t>
      </w:r>
      <w:r>
        <w:rPr>
          <w:rFonts w:ascii="Trebuchet MS" w:hAnsi="Trebuchet MS" w:eastAsia="Trebuchet MS"/>
          <w:b w:val="0"/>
          <w:i w:val="0"/>
          <w:sz w:val="20"/>
        </w:rPr>
        <w:t>maternal anxiety; guided imagery; antenatal care; local food supplementation; estimated fetal weight; public health intervention</w:t>
      </w:r>
    </w:p>
    <w:p/>
    <w:p>
      <w:pPr>
        <w:spacing w:before="0" w:after="0" w:line="240" w:lineRule="auto"/>
      </w:pPr>
      <w:r>
        <w:rPr>
          <w:rFonts w:ascii="Trebuchet MS" w:hAnsi="Trebuchet MS" w:eastAsia="Trebuchet MS"/>
          <w:b/>
          <w:i w:val="0"/>
          <w:sz w:val="20"/>
        </w:rPr>
        <w:t>INTRODUCTION</w:t>
      </w:r>
    </w:p>
    <w:p>
      <w:pPr>
        <w:spacing w:before="0" w:after="0" w:line="240" w:lineRule="auto"/>
        <w:jc w:val="both"/>
      </w:pPr>
      <w:r>
        <w:rPr>
          <w:rFonts w:ascii="Trebuchet MS" w:hAnsi="Trebuchet MS" w:eastAsia="Trebuchet MS"/>
          <w:b w:val="0"/>
          <w:i w:val="0"/>
          <w:sz w:val="20"/>
        </w:rPr>
        <w:t>Maternal and fetal health remain core indicators of public health development. Antenatal care should support maternal physical health, psychological well-being, nutrition, and early detection of risks affecting fetal growth. Estimated fetal weight is commonly used in routine antenatal monitoring as a practical indicator of fetal growth and may help identify pregnancies requiring closer follow-up</w:t>
      </w:r>
      <w:r>
        <w:rPr>
          <w:rFonts w:ascii="Trebuchet MS" w:hAnsi="Trebuchet MS" w:eastAsia="Trebuchet MS"/>
          <w:b w:val="0"/>
          <w:i w:val="0"/>
          <w:sz w:val="20"/>
          <w:vertAlign w:val="superscript"/>
        </w:rPr>
        <w:t>1</w:t>
      </w:r>
      <w:r>
        <w:rPr>
          <w:rFonts w:ascii="Trebuchet MS" w:hAnsi="Trebuchet MS" w:eastAsia="Trebuchet MS"/>
          <w:b w:val="0"/>
          <w:i w:val="0"/>
          <w:sz w:val="20"/>
        </w:rPr>
        <w:t>.</w:t>
      </w:r>
    </w:p>
    <w:p>
      <w:pPr>
        <w:spacing w:before="0" w:after="0" w:line="240" w:lineRule="auto"/>
        <w:jc w:val="both"/>
      </w:pPr>
      <w:r>
        <w:rPr>
          <w:rFonts w:ascii="Trebuchet MS" w:hAnsi="Trebuchet MS" w:eastAsia="Trebuchet MS"/>
          <w:b w:val="0"/>
          <w:i w:val="0"/>
          <w:sz w:val="20"/>
        </w:rPr>
        <w:t>Pregnancy is a vulnerable period in which anxiety may affect sleep, appetite, self-care, antenatal care utilisation, and biological stress responses. Maternal anxiety may activate the hypothalamic-pituitary-adrenal axis and influence cortisol regulation, uteroplacental blood flow, and nutrient transfer. Previous studies have reported associations between maternal anxiety, infant birthweight, gestational length, and subsequent child growth</w:t>
      </w:r>
      <w:r>
        <w:rPr>
          <w:rFonts w:ascii="Trebuchet MS" w:hAnsi="Trebuchet MS" w:eastAsia="Trebuchet MS"/>
          <w:b w:val="0"/>
          <w:i w:val="0"/>
          <w:sz w:val="20"/>
          <w:vertAlign w:val="superscript"/>
        </w:rPr>
        <w:t>2-4</w:t>
      </w:r>
      <w:r>
        <w:rPr>
          <w:rFonts w:ascii="Trebuchet MS" w:hAnsi="Trebuchet MS" w:eastAsia="Trebuchet MS"/>
          <w:b w:val="0"/>
          <w:i w:val="0"/>
          <w:sz w:val="20"/>
        </w:rPr>
        <w:t>. The COVID-19 pandemic further increased psychological vulnerability among pregnant women because of fear of infection, disruption of services, and reduced social support</w:t>
      </w:r>
      <w:r>
        <w:rPr>
          <w:rFonts w:ascii="Trebuchet MS" w:hAnsi="Trebuchet MS" w:eastAsia="Trebuchet MS"/>
          <w:b w:val="0"/>
          <w:i w:val="0"/>
          <w:sz w:val="20"/>
          <w:vertAlign w:val="superscript"/>
        </w:rPr>
        <w:t>5</w:t>
      </w:r>
      <w:r>
        <w:rPr>
          <w:rFonts w:ascii="Trebuchet MS" w:hAnsi="Trebuchet MS" w:eastAsia="Trebuchet MS"/>
          <w:b w:val="0"/>
          <w:i w:val="0"/>
          <w:sz w:val="20"/>
        </w:rPr>
        <w:t>.</w:t>
      </w:r>
    </w:p>
    <w:p>
      <w:pPr>
        <w:spacing w:before="0" w:after="0" w:line="240" w:lineRule="auto"/>
        <w:jc w:val="both"/>
      </w:pPr>
      <w:r>
        <w:rPr>
          <w:rFonts w:ascii="Trebuchet MS" w:hAnsi="Trebuchet MS" w:eastAsia="Trebuchet MS"/>
          <w:b w:val="0"/>
          <w:i w:val="0"/>
          <w:sz w:val="20"/>
        </w:rPr>
        <w:t>Guided imagery is a non-pharmacological relaxation technique using breathing regulation, directed imagination, and positive visualisation. It is low-cost, acceptable, and feasible for community-based antenatal settings, particularly where access to specialised mental health care is limited</w:t>
      </w:r>
      <w:r>
        <w:rPr>
          <w:rFonts w:ascii="Trebuchet MS" w:hAnsi="Trebuchet MS" w:eastAsia="Trebuchet MS"/>
          <w:b w:val="0"/>
          <w:i w:val="0"/>
          <w:sz w:val="20"/>
          <w:vertAlign w:val="superscript"/>
        </w:rPr>
        <w:t>6</w:t>
      </w:r>
      <w:r>
        <w:rPr>
          <w:rFonts w:ascii="Trebuchet MS" w:hAnsi="Trebuchet MS" w:eastAsia="Trebuchet MS"/>
          <w:b w:val="0"/>
          <w:i w:val="0"/>
          <w:sz w:val="20"/>
        </w:rPr>
        <w:t>. Alongside psychological support, maternal nutrition is a major determinant of fetal growth. Balanced energy, protein, and micronutrient intake are required for maternal metabolism, placental development, and fetal tissue growth, and antenatal nutritional interventions may improve birth outcomes among nutritionally vulnerable women</w:t>
      </w:r>
      <w:r>
        <w:rPr>
          <w:rFonts w:ascii="Trebuchet MS" w:hAnsi="Trebuchet MS" w:eastAsia="Trebuchet MS"/>
          <w:b w:val="0"/>
          <w:i w:val="0"/>
          <w:sz w:val="20"/>
          <w:vertAlign w:val="superscript"/>
        </w:rPr>
        <w:t>7-11</w:t>
      </w:r>
      <w:r>
        <w:rPr>
          <w:rFonts w:ascii="Trebuchet MS" w:hAnsi="Trebuchet MS" w:eastAsia="Trebuchet MS"/>
          <w:b w:val="0"/>
          <w:i w:val="0"/>
          <w:sz w:val="20"/>
        </w:rPr>
        <w:t>.</w:t>
      </w:r>
    </w:p>
    <w:p>
      <w:pPr>
        <w:spacing w:before="0" w:after="0" w:line="240" w:lineRule="auto"/>
        <w:jc w:val="both"/>
      </w:pPr>
      <w:r>
        <w:rPr>
          <w:rFonts w:ascii="Trebuchet MS" w:hAnsi="Trebuchet MS" w:eastAsia="Trebuchet MS"/>
          <w:b w:val="0"/>
          <w:i w:val="0"/>
          <w:sz w:val="20"/>
        </w:rPr>
        <w:t>Local food-based supplementation is relevant for public health practice because it can be adapted to community resources, cultural food preferences, and household affordability. Golden banana can be processed into supplementary products such as cookies and may serve as a practical supportive food when combined with routine antenatal counselling. However, limited studies have examined psychological relaxation and local food-based supplementation as combined supportive interventions among pregnant women with anxiety. This study aimed to analyse the association of community-based guided imagery and golden banana cookie supplementation with estimated fetal weight among pregnant women with anxiety in Kendari, Indonesia.</w:t>
      </w:r>
    </w:p>
    <w:p/>
    <w:p>
      <w:pPr>
        <w:spacing w:before="0" w:after="0" w:line="240" w:lineRule="auto"/>
      </w:pPr>
      <w:r>
        <w:rPr>
          <w:rFonts w:ascii="Trebuchet MS" w:hAnsi="Trebuchet MS" w:eastAsia="Trebuchet MS"/>
          <w:b/>
          <w:i w:val="0"/>
          <w:sz w:val="20"/>
        </w:rPr>
        <w:t>METHODOLOGY</w:t>
      </w:r>
    </w:p>
    <w:p>
      <w:pPr>
        <w:spacing w:before="0" w:after="0" w:line="240" w:lineRule="auto"/>
      </w:pPr>
      <w:r>
        <w:rPr>
          <w:rFonts w:ascii="Trebuchet MS" w:hAnsi="Trebuchet MS" w:eastAsia="Trebuchet MS"/>
          <w:b/>
          <w:i w:val="0"/>
          <w:sz w:val="20"/>
        </w:rPr>
        <w:t>Study design and setting</w:t>
      </w:r>
    </w:p>
    <w:p>
      <w:pPr>
        <w:spacing w:before="0" w:after="0" w:line="240" w:lineRule="auto"/>
        <w:jc w:val="both"/>
      </w:pPr>
      <w:r>
        <w:rPr>
          <w:rFonts w:ascii="Trebuchet MS" w:hAnsi="Trebuchet MS" w:eastAsia="Trebuchet MS"/>
          <w:b w:val="0"/>
          <w:i w:val="0"/>
          <w:sz w:val="20"/>
        </w:rPr>
        <w:t>This quasi-experimental study used a pre-test and post-test control group design. The study was conducted from September to December 2021 in the working areas of selected primary health centres in Kendari City, Southeast Sulawesi, Indonesia. The setting represented community-based antenatal care services where pregnant women routinely received maternal health care.</w:t>
      </w:r>
    </w:p>
    <w:p>
      <w:pPr>
        <w:spacing w:before="0" w:after="0" w:line="240" w:lineRule="auto"/>
      </w:pPr>
      <w:r>
        <w:rPr>
          <w:rFonts w:ascii="Trebuchet MS" w:hAnsi="Trebuchet MS" w:eastAsia="Trebuchet MS"/>
          <w:b/>
          <w:i w:val="0"/>
          <w:sz w:val="20"/>
        </w:rPr>
        <w:t>Study participants</w:t>
      </w:r>
    </w:p>
    <w:p>
      <w:pPr>
        <w:spacing w:before="0" w:after="0" w:line="240" w:lineRule="auto"/>
        <w:jc w:val="both"/>
      </w:pPr>
      <w:r>
        <w:rPr>
          <w:rFonts w:ascii="Trebuchet MS" w:hAnsi="Trebuchet MS" w:eastAsia="Trebuchet MS"/>
          <w:b w:val="0"/>
          <w:i w:val="0"/>
          <w:sz w:val="20"/>
        </w:rPr>
        <w:t>The participants were pregnant women in the second and third trimesters who were identified as experiencing anxiety during pregnancy. A total of 120 pregnant women were recruited and allocated into four groups of 30 participants each. The inclusion criteria were singleton pregnancy, second or third trimester, anxiety during pregnancy, and willingness to participate for the full intervention period. Pregnant women with obstetric complications, chronic medical conditions, or other conditions that could directly affect fetal growth were excluded.</w:t>
      </w:r>
    </w:p>
    <w:p>
      <w:pPr>
        <w:spacing w:before="0" w:after="0" w:line="240" w:lineRule="auto"/>
      </w:pPr>
      <w:r>
        <w:rPr>
          <w:rFonts w:ascii="Trebuchet MS" w:hAnsi="Trebuchet MS" w:eastAsia="Trebuchet MS"/>
          <w:b/>
          <w:i w:val="0"/>
          <w:sz w:val="20"/>
        </w:rPr>
        <w:t>Intervention procedures</w:t>
      </w:r>
    </w:p>
    <w:p>
      <w:pPr>
        <w:spacing w:before="0" w:after="0" w:line="240" w:lineRule="auto"/>
        <w:jc w:val="both"/>
      </w:pPr>
      <w:r>
        <w:rPr>
          <w:rFonts w:ascii="Trebuchet MS" w:hAnsi="Trebuchet MS" w:eastAsia="Trebuchet MS"/>
          <w:b w:val="0"/>
          <w:i w:val="0"/>
          <w:sz w:val="20"/>
        </w:rPr>
        <w:t>The intervention was implemented for 12 weeks. Participants in the guided imagery group received a structured guided imagery intervention using a standardised module involving breathing regulation, positive mental visualisation, and directed imagination to promote relaxation. Participants in the golden banana cookie group received golden banana cookies prepared using the selected formulation from the acceptability assessment. Participants in the combined intervention group received both guided imagery and golden banana cookies during the same period. The control group received routine antenatal care without additional guided imagery or cookie supplementation.</w:t>
      </w:r>
    </w:p>
    <w:p>
      <w:pPr>
        <w:spacing w:before="0" w:after="0" w:line="240" w:lineRule="auto"/>
      </w:pPr>
      <w:r>
        <w:rPr>
          <w:rFonts w:ascii="Trebuchet MS" w:hAnsi="Trebuchet MS" w:eastAsia="Trebuchet MS"/>
          <w:b/>
          <w:i w:val="0"/>
          <w:sz w:val="20"/>
        </w:rPr>
        <w:t>Measurement of estimated fetal weight</w:t>
      </w:r>
    </w:p>
    <w:p>
      <w:pPr>
        <w:spacing w:before="0" w:after="0" w:line="240" w:lineRule="auto"/>
        <w:jc w:val="both"/>
      </w:pPr>
      <w:r>
        <w:rPr>
          <w:rFonts w:ascii="Trebuchet MS" w:hAnsi="Trebuchet MS" w:eastAsia="Trebuchet MS"/>
          <w:b w:val="0"/>
          <w:i w:val="0"/>
          <w:sz w:val="20"/>
        </w:rPr>
        <w:t>Estimated fetal weight was measured before and after the 12-week intervention. Fundal height was measured using a non-elastic measuring tape by trained midwives following standard antenatal care procedures. Estimated fetal weight values were recorded in grams and used as the primary outcome variable.</w:t>
      </w:r>
    </w:p>
    <w:p>
      <w:pPr>
        <w:spacing w:before="0" w:after="0" w:line="240" w:lineRule="auto"/>
      </w:pPr>
      <w:r>
        <w:rPr>
          <w:rFonts w:ascii="Trebuchet MS" w:hAnsi="Trebuchet MS" w:eastAsia="Trebuchet MS"/>
          <w:b/>
          <w:i w:val="0"/>
          <w:sz w:val="20"/>
        </w:rPr>
        <w:t>Acceptability assessment of golden banana cookies</w:t>
      </w:r>
    </w:p>
    <w:p>
      <w:pPr>
        <w:spacing w:before="0" w:after="0" w:line="240" w:lineRule="auto"/>
        <w:jc w:val="both"/>
      </w:pPr>
      <w:r>
        <w:rPr>
          <w:rFonts w:ascii="Trebuchet MS" w:hAnsi="Trebuchet MS" w:eastAsia="Trebuchet MS"/>
          <w:b w:val="0"/>
          <w:i w:val="0"/>
          <w:sz w:val="20"/>
        </w:rPr>
        <w:t>Before implementation of the nutritional intervention, golden banana cookie formulations were assessed for acceptability. The assessment included colour, aroma, taste, and texture across different golden banana concentrations. The formulation with the highest overall preference score was selected for the intervention.</w:t>
      </w:r>
    </w:p>
    <w:p>
      <w:pPr>
        <w:spacing w:before="0" w:after="0" w:line="240" w:lineRule="auto"/>
      </w:pPr>
      <w:r>
        <w:rPr>
          <w:rFonts w:ascii="Trebuchet MS" w:hAnsi="Trebuchet MS" w:eastAsia="Trebuchet MS"/>
          <w:b/>
          <w:i w:val="0"/>
          <w:sz w:val="20"/>
        </w:rPr>
        <w:t>Data collection and analysis</w:t>
      </w:r>
    </w:p>
    <w:p>
      <w:pPr>
        <w:spacing w:before="0" w:after="0" w:line="240" w:lineRule="auto"/>
        <w:jc w:val="both"/>
      </w:pPr>
      <w:r>
        <w:rPr>
          <w:rFonts w:ascii="Trebuchet MS" w:hAnsi="Trebuchet MS" w:eastAsia="Trebuchet MS"/>
          <w:b w:val="0"/>
          <w:i w:val="0"/>
          <w:sz w:val="20"/>
        </w:rPr>
        <w:t>Data collection included participant characteristics, intervention group, cookie acceptability, and estimated fetal weight before and after intervention. Categorical variables were presented as frequencies and percentages, while continuous variables were presented as means and ranges where available. Baseline characteristics were compared to assess group comparability. Repeated measures analysis of variance was used to examine changes in estimated fetal weight and the time-by-group interaction. Statistical significance was set at p &lt; 0.05.</w:t>
      </w:r>
    </w:p>
    <w:p>
      <w:pPr>
        <w:spacing w:before="0" w:after="0" w:line="240" w:lineRule="auto"/>
      </w:pPr>
      <w:r>
        <w:rPr>
          <w:rFonts w:ascii="Trebuchet MS" w:hAnsi="Trebuchet MS" w:eastAsia="Trebuchet MS"/>
          <w:b/>
          <w:i w:val="0"/>
          <w:sz w:val="20"/>
        </w:rPr>
        <w:t>Ethical considerations</w:t>
      </w:r>
    </w:p>
    <w:p>
      <w:pPr>
        <w:spacing w:before="0" w:after="0" w:line="240" w:lineRule="auto"/>
        <w:jc w:val="both"/>
      </w:pPr>
      <w:r>
        <w:rPr>
          <w:rFonts w:ascii="Trebuchet MS" w:hAnsi="Trebuchet MS" w:eastAsia="Trebuchet MS"/>
          <w:b w:val="0"/>
          <w:i w:val="0"/>
          <w:sz w:val="20"/>
        </w:rPr>
        <w:t>This study followed ethical principles for research involving human participants. Ethical approval was obtained from an institutional health research ethics committee. The approval number and institutional details were removed from this blinded manuscript and should be provided in the title page and submission metadata. Written informed consent was obtained from all participants before data collection. Participants were informed about study procedures, voluntary participation, confidentiality, and their right to withdraw without consequences for antenatal care.</w:t>
      </w:r>
    </w:p>
    <w:p/>
    <w:p>
      <w:pPr>
        <w:spacing w:before="0" w:after="0" w:line="240" w:lineRule="auto"/>
      </w:pPr>
      <w:r>
        <w:rPr>
          <w:rFonts w:ascii="Trebuchet MS" w:hAnsi="Trebuchet MS" w:eastAsia="Trebuchet MS"/>
          <w:b/>
          <w:i w:val="0"/>
          <w:sz w:val="20"/>
        </w:rPr>
        <w:t>RESULTS</w:t>
      </w:r>
    </w:p>
    <w:p>
      <w:pPr>
        <w:spacing w:before="0" w:after="0" w:line="240" w:lineRule="auto"/>
        <w:jc w:val="both"/>
      </w:pPr>
      <w:r>
        <w:rPr>
          <w:rFonts w:ascii="Trebuchet MS" w:hAnsi="Trebuchet MS" w:eastAsia="Trebuchet MS"/>
          <w:b w:val="0"/>
          <w:i w:val="0"/>
          <w:sz w:val="20"/>
        </w:rPr>
        <w:t>A total of 120 pregnant women with anxiety completed the 12-week study and were included in the final analysis. Each study group included 30 participants. Baseline age, education level, and employment status were comparable across the four groups (Table 1).</w:t>
      </w:r>
    </w:p>
    <w:p>
      <w:pPr>
        <w:spacing w:before="0" w:after="0" w:line="240" w:lineRule="auto"/>
      </w:pPr>
      <w:r>
        <w:rPr>
          <w:rFonts w:ascii="Trebuchet MS" w:hAnsi="Trebuchet MS" w:eastAsia="Trebuchet MS"/>
          <w:b w:val="0"/>
          <w:i w:val="0"/>
          <w:sz w:val="20"/>
        </w:rPr>
        <w:t>Table 1. Baseline characteristics of pregnant women by intervention group</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blHeader w:val="true"/>
        </w:trPr>
        <w:tc>
          <w:tcPr>
            <w:tcW w:type="dxa" w:w="1728"/>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4"/>
              </w:rPr>
            </w:r>
            <w:r>
              <w:rPr>
                <w:rFonts w:ascii="Trebuchet MS" w:hAnsi="Trebuchet MS" w:eastAsia="Trebuchet MS"/>
                <w:b/>
                <w:sz w:val="14"/>
              </w:rPr>
              <w:t>Characteristics</w:t>
            </w:r>
          </w:p>
        </w:tc>
        <w:tc>
          <w:tcPr>
            <w:tcW w:type="dxa" w:w="1728"/>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4"/>
              </w:rPr>
            </w:r>
            <w:r>
              <w:rPr>
                <w:rFonts w:ascii="Trebuchet MS" w:hAnsi="Trebuchet MS" w:eastAsia="Trebuchet MS"/>
                <w:b/>
                <w:sz w:val="14"/>
              </w:rPr>
              <w:t>Guided imagery n (%)</w:t>
            </w:r>
          </w:p>
        </w:tc>
        <w:tc>
          <w:tcPr>
            <w:tcW w:type="dxa" w:w="1728"/>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4"/>
              </w:rPr>
            </w:r>
            <w:r>
              <w:rPr>
                <w:rFonts w:ascii="Trebuchet MS" w:hAnsi="Trebuchet MS" w:eastAsia="Trebuchet MS"/>
                <w:b/>
                <w:sz w:val="14"/>
              </w:rPr>
              <w:t>Golden banana cookies n (%)</w:t>
            </w:r>
          </w:p>
        </w:tc>
        <w:tc>
          <w:tcPr>
            <w:tcW w:type="dxa" w:w="1728"/>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4"/>
              </w:rPr>
            </w:r>
            <w:r>
              <w:rPr>
                <w:rFonts w:ascii="Trebuchet MS" w:hAnsi="Trebuchet MS" w:eastAsia="Trebuchet MS"/>
                <w:b/>
                <w:sz w:val="14"/>
              </w:rPr>
              <w:t>Combined intervention n (%)</w:t>
            </w:r>
          </w:p>
        </w:tc>
        <w:tc>
          <w:tcPr>
            <w:tcW w:type="dxa" w:w="1728"/>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4"/>
              </w:rPr>
            </w:r>
            <w:r>
              <w:rPr>
                <w:rFonts w:ascii="Trebuchet MS" w:hAnsi="Trebuchet MS" w:eastAsia="Trebuchet MS"/>
                <w:b/>
                <w:sz w:val="14"/>
              </w:rPr>
              <w:t>Control n (%)</w:t>
            </w:r>
          </w:p>
        </w:tc>
        <w:tc>
          <w:tcPr>
            <w:tcW w:type="dxa" w:w="1728"/>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4"/>
              </w:rPr>
            </w:r>
            <w:r>
              <w:rPr>
                <w:rFonts w:ascii="Trebuchet MS" w:hAnsi="Trebuchet MS" w:eastAsia="Trebuchet MS"/>
                <w:b/>
                <w:sz w:val="14"/>
              </w:rPr>
              <w:t>p-value</w:t>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Age, years</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0.679</w:t>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21-30</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11 (36.7)</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9 (30.0)</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8 (26.7)</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12 (40.0)</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31-40</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14 (46.6)</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15 (50.0)</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12 (40.0)</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13 (43.3)</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41-50</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5 (16.7)</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6 (20.0)</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10 (33.3)</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5 (16.7)</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Education level</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0.990</w:t>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Elementary school</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5 (16.7)</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6 (20.1)</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5 (16.7)</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7 (23.3)</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Junior high school</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5 (16.7)</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7 (23.3)</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6 (20.0)</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7 (23.3)</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Senior high school</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14 (46.6)</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10 (33.3)</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13 (43.3)</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11 (36.7)</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Higher education</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6 (20.0)</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7 (23.3)</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6 (20.0)</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5 (16.7)</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Employment status</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0.857</w:t>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Employed</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9 (30.0)</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11 (36.7)</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8 (26.7)</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10 (33.3)</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Unemployed</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21 (70.0)</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19 (63.3)</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22 (73.3)</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t>20 (66.7)</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4"/>
              </w:rPr>
            </w:r>
            <w:r>
              <w:rPr>
                <w:rFonts w:ascii="Trebuchet MS" w:hAnsi="Trebuchet MS" w:eastAsia="Trebuchet MS"/>
                <w:b w:val="0"/>
                <w:sz w:val="14"/>
              </w:rPr>
            </w:r>
          </w:p>
        </w:tc>
      </w:tr>
    </w:tbl>
    <w:p>
      <w:pPr>
        <w:spacing w:before="0" w:after="0" w:line="240" w:lineRule="auto"/>
        <w:jc w:val="both"/>
      </w:pPr>
      <w:r>
        <w:rPr>
          <w:rFonts w:ascii="Trebuchet MS" w:hAnsi="Trebuchet MS" w:eastAsia="Trebuchet MS"/>
          <w:b w:val="0"/>
          <w:i w:val="0"/>
          <w:sz w:val="20"/>
        </w:rPr>
        <w:t>No statistically significant baseline differences were observed in age, education level, or employment status among the guided imagery, golden banana cookie, combined intervention, and control groups.</w:t>
      </w:r>
    </w:p>
    <w:p>
      <w:pPr>
        <w:spacing w:before="0" w:after="0" w:line="240" w:lineRule="auto"/>
      </w:pPr>
      <w:r>
        <w:rPr>
          <w:rFonts w:ascii="Trebuchet MS" w:hAnsi="Trebuchet MS" w:eastAsia="Trebuchet MS"/>
          <w:b/>
          <w:i w:val="0"/>
          <w:sz w:val="20"/>
        </w:rPr>
        <w:t>Nutritional composition of golden banana cookies</w:t>
      </w:r>
    </w:p>
    <w:p>
      <w:pPr>
        <w:spacing w:before="0" w:after="0" w:line="240" w:lineRule="auto"/>
        <w:jc w:val="both"/>
      </w:pPr>
      <w:r>
        <w:rPr>
          <w:rFonts w:ascii="Trebuchet MS" w:hAnsi="Trebuchet MS" w:eastAsia="Trebuchet MS"/>
          <w:b w:val="0"/>
          <w:i w:val="0"/>
          <w:sz w:val="20"/>
        </w:rPr>
        <w:t>The nutritional composition of golden banana cookies is presented in Table 2. Per 100 g, the cookies contained 127 kcal energy, 1.4% protein, 0.2% fat, 33.6% carbohydrate, 7 mg calcium, 0.8 mg iron, and 392 mg potassium.</w:t>
      </w:r>
    </w:p>
    <w:p>
      <w:pPr>
        <w:spacing w:before="0" w:after="0" w:line="240" w:lineRule="auto"/>
      </w:pPr>
      <w:r>
        <w:rPr>
          <w:rFonts w:ascii="Trebuchet MS" w:hAnsi="Trebuchet MS" w:eastAsia="Trebuchet MS"/>
          <w:b w:val="0"/>
          <w:i w:val="0"/>
          <w:sz w:val="20"/>
        </w:rPr>
        <w:t>Table 2. Nutritional composition of golden banana cookies per 100 g</w:t>
      </w:r>
    </w:p>
    <w:tbl>
      <w:tblPr>
        <w:tblStyle w:val="TableGrid"/>
        <w:tblW w:type="auto" w:w="0"/>
        <w:jc w:val="center"/>
        <w:tblLook w:firstColumn="1" w:firstRow="1" w:lastColumn="0" w:lastRow="0" w:noHBand="0" w:noVBand="1" w:val="04A0"/>
      </w:tblPr>
      <w:tblGrid>
        <w:gridCol w:w="5184"/>
        <w:gridCol w:w="5184"/>
      </w:tblGrid>
      <w:tr>
        <w:trPr>
          <w:cantSplit/>
          <w:tblHeader w:val="true"/>
        </w:trPr>
        <w:tc>
          <w:tcPr>
            <w:tcW w:type="dxa" w:w="5184"/>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8"/>
              </w:rPr>
            </w:r>
            <w:r>
              <w:rPr>
                <w:rFonts w:ascii="Trebuchet MS" w:hAnsi="Trebuchet MS" w:eastAsia="Trebuchet MS"/>
                <w:b/>
                <w:sz w:val="18"/>
              </w:rPr>
              <w:t>Nutritional component</w:t>
            </w:r>
          </w:p>
        </w:tc>
        <w:tc>
          <w:tcPr>
            <w:tcW w:type="dxa" w:w="5184"/>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8"/>
              </w:rPr>
            </w:r>
            <w:r>
              <w:rPr>
                <w:rFonts w:ascii="Trebuchet MS" w:hAnsi="Trebuchet MS" w:eastAsia="Trebuchet MS"/>
                <w:b/>
                <w:sz w:val="18"/>
              </w:rPr>
              <w:t>Value</w:t>
            </w:r>
          </w:p>
        </w:tc>
      </w:tr>
      <w:tr>
        <w:trPr>
          <w:cantSplit/>
        </w:trPr>
        <w:tc>
          <w:tcPr>
            <w:tcW w:type="dxa" w:w="5184"/>
            <w:vAlign w:val="center"/>
            <w:tcMar>
              <w:top w:w="55" w:type="dxa"/>
              <w:start w:w="55" w:type="dxa"/>
              <w:bottom w:w="55" w:type="dxa"/>
              <w:end w:w="55" w:type="dxa"/>
            </w:tcMar>
          </w:tcPr>
          <w:p>
            <w:pPr>
              <w:spacing w:before="0" w:after="0" w:line="240" w:lineRule="auto"/>
            </w:pPr>
            <w:r>
              <w:rPr>
                <w:rFonts w:ascii="Trebuchet MS" w:hAnsi="Trebuchet MS" w:eastAsia="Trebuchet MS"/>
                <w:sz w:val="18"/>
              </w:rPr>
            </w:r>
            <w:r>
              <w:rPr>
                <w:rFonts w:ascii="Trebuchet MS" w:hAnsi="Trebuchet MS" w:eastAsia="Trebuchet MS"/>
                <w:b w:val="0"/>
                <w:sz w:val="18"/>
              </w:rPr>
              <w:t>Energy</w:t>
            </w:r>
          </w:p>
        </w:tc>
        <w:tc>
          <w:tcPr>
            <w:tcW w:type="dxa" w:w="5184"/>
            <w:vAlign w:val="center"/>
            <w:tcMar>
              <w:top w:w="55" w:type="dxa"/>
              <w:start w:w="55" w:type="dxa"/>
              <w:bottom w:w="55" w:type="dxa"/>
              <w:end w:w="55" w:type="dxa"/>
            </w:tcMar>
          </w:tcPr>
          <w:p>
            <w:pPr>
              <w:spacing w:before="0" w:after="0" w:line="240" w:lineRule="auto"/>
            </w:pPr>
            <w:r>
              <w:rPr>
                <w:rFonts w:ascii="Trebuchet MS" w:hAnsi="Trebuchet MS" w:eastAsia="Trebuchet MS"/>
                <w:sz w:val="18"/>
              </w:rPr>
            </w:r>
            <w:r>
              <w:rPr>
                <w:rFonts w:ascii="Trebuchet MS" w:hAnsi="Trebuchet MS" w:eastAsia="Trebuchet MS"/>
                <w:b w:val="0"/>
                <w:sz w:val="18"/>
              </w:rPr>
              <w:t>127 kcal</w:t>
            </w:r>
          </w:p>
        </w:tc>
      </w:tr>
      <w:tr>
        <w:trPr>
          <w:cantSplit/>
        </w:trPr>
        <w:tc>
          <w:tcPr>
            <w:tcW w:type="dxa" w:w="5184"/>
            <w:vAlign w:val="center"/>
            <w:tcMar>
              <w:top w:w="55" w:type="dxa"/>
              <w:start w:w="55" w:type="dxa"/>
              <w:bottom w:w="55" w:type="dxa"/>
              <w:end w:w="55" w:type="dxa"/>
            </w:tcMar>
          </w:tcPr>
          <w:p>
            <w:pPr>
              <w:spacing w:before="0" w:after="0" w:line="240" w:lineRule="auto"/>
            </w:pPr>
            <w:r>
              <w:rPr>
                <w:rFonts w:ascii="Trebuchet MS" w:hAnsi="Trebuchet MS" w:eastAsia="Trebuchet MS"/>
                <w:sz w:val="18"/>
              </w:rPr>
            </w:r>
            <w:r>
              <w:rPr>
                <w:rFonts w:ascii="Trebuchet MS" w:hAnsi="Trebuchet MS" w:eastAsia="Trebuchet MS"/>
                <w:b w:val="0"/>
                <w:sz w:val="18"/>
              </w:rPr>
              <w:t>Protein</w:t>
            </w:r>
          </w:p>
        </w:tc>
        <w:tc>
          <w:tcPr>
            <w:tcW w:type="dxa" w:w="5184"/>
            <w:vAlign w:val="center"/>
            <w:tcMar>
              <w:top w:w="55" w:type="dxa"/>
              <w:start w:w="55" w:type="dxa"/>
              <w:bottom w:w="55" w:type="dxa"/>
              <w:end w:w="55" w:type="dxa"/>
            </w:tcMar>
          </w:tcPr>
          <w:p>
            <w:pPr>
              <w:spacing w:before="0" w:after="0" w:line="240" w:lineRule="auto"/>
            </w:pPr>
            <w:r>
              <w:rPr>
                <w:rFonts w:ascii="Trebuchet MS" w:hAnsi="Trebuchet MS" w:eastAsia="Trebuchet MS"/>
                <w:sz w:val="18"/>
              </w:rPr>
            </w:r>
            <w:r>
              <w:rPr>
                <w:rFonts w:ascii="Trebuchet MS" w:hAnsi="Trebuchet MS" w:eastAsia="Trebuchet MS"/>
                <w:b w:val="0"/>
                <w:sz w:val="18"/>
              </w:rPr>
              <w:t>1.4%</w:t>
            </w:r>
          </w:p>
        </w:tc>
      </w:tr>
      <w:tr>
        <w:trPr>
          <w:cantSplit/>
        </w:trPr>
        <w:tc>
          <w:tcPr>
            <w:tcW w:type="dxa" w:w="5184"/>
            <w:vAlign w:val="center"/>
            <w:tcMar>
              <w:top w:w="55" w:type="dxa"/>
              <w:start w:w="55" w:type="dxa"/>
              <w:bottom w:w="55" w:type="dxa"/>
              <w:end w:w="55" w:type="dxa"/>
            </w:tcMar>
          </w:tcPr>
          <w:p>
            <w:pPr>
              <w:spacing w:before="0" w:after="0" w:line="240" w:lineRule="auto"/>
            </w:pPr>
            <w:r>
              <w:rPr>
                <w:rFonts w:ascii="Trebuchet MS" w:hAnsi="Trebuchet MS" w:eastAsia="Trebuchet MS"/>
                <w:sz w:val="18"/>
              </w:rPr>
            </w:r>
            <w:r>
              <w:rPr>
                <w:rFonts w:ascii="Trebuchet MS" w:hAnsi="Trebuchet MS" w:eastAsia="Trebuchet MS"/>
                <w:b w:val="0"/>
                <w:sz w:val="18"/>
              </w:rPr>
              <w:t>Fat</w:t>
            </w:r>
          </w:p>
        </w:tc>
        <w:tc>
          <w:tcPr>
            <w:tcW w:type="dxa" w:w="5184"/>
            <w:vAlign w:val="center"/>
            <w:tcMar>
              <w:top w:w="55" w:type="dxa"/>
              <w:start w:w="55" w:type="dxa"/>
              <w:bottom w:w="55" w:type="dxa"/>
              <w:end w:w="55" w:type="dxa"/>
            </w:tcMar>
          </w:tcPr>
          <w:p>
            <w:pPr>
              <w:spacing w:before="0" w:after="0" w:line="240" w:lineRule="auto"/>
            </w:pPr>
            <w:r>
              <w:rPr>
                <w:rFonts w:ascii="Trebuchet MS" w:hAnsi="Trebuchet MS" w:eastAsia="Trebuchet MS"/>
                <w:sz w:val="18"/>
              </w:rPr>
            </w:r>
            <w:r>
              <w:rPr>
                <w:rFonts w:ascii="Trebuchet MS" w:hAnsi="Trebuchet MS" w:eastAsia="Trebuchet MS"/>
                <w:b w:val="0"/>
                <w:sz w:val="18"/>
              </w:rPr>
              <w:t>0.2%</w:t>
            </w:r>
          </w:p>
        </w:tc>
      </w:tr>
      <w:tr>
        <w:trPr>
          <w:cantSplit/>
        </w:trPr>
        <w:tc>
          <w:tcPr>
            <w:tcW w:type="dxa" w:w="5184"/>
            <w:vAlign w:val="center"/>
            <w:tcMar>
              <w:top w:w="55" w:type="dxa"/>
              <w:start w:w="55" w:type="dxa"/>
              <w:bottom w:w="55" w:type="dxa"/>
              <w:end w:w="55" w:type="dxa"/>
            </w:tcMar>
          </w:tcPr>
          <w:p>
            <w:pPr>
              <w:spacing w:before="0" w:after="0" w:line="240" w:lineRule="auto"/>
            </w:pPr>
            <w:r>
              <w:rPr>
                <w:rFonts w:ascii="Trebuchet MS" w:hAnsi="Trebuchet MS" w:eastAsia="Trebuchet MS"/>
                <w:sz w:val="18"/>
              </w:rPr>
            </w:r>
            <w:r>
              <w:rPr>
                <w:rFonts w:ascii="Trebuchet MS" w:hAnsi="Trebuchet MS" w:eastAsia="Trebuchet MS"/>
                <w:b w:val="0"/>
                <w:sz w:val="18"/>
              </w:rPr>
              <w:t>Carbohydrate</w:t>
            </w:r>
          </w:p>
        </w:tc>
        <w:tc>
          <w:tcPr>
            <w:tcW w:type="dxa" w:w="5184"/>
            <w:vAlign w:val="center"/>
            <w:tcMar>
              <w:top w:w="55" w:type="dxa"/>
              <w:start w:w="55" w:type="dxa"/>
              <w:bottom w:w="55" w:type="dxa"/>
              <w:end w:w="55" w:type="dxa"/>
            </w:tcMar>
          </w:tcPr>
          <w:p>
            <w:pPr>
              <w:spacing w:before="0" w:after="0" w:line="240" w:lineRule="auto"/>
            </w:pPr>
            <w:r>
              <w:rPr>
                <w:rFonts w:ascii="Trebuchet MS" w:hAnsi="Trebuchet MS" w:eastAsia="Trebuchet MS"/>
                <w:sz w:val="18"/>
              </w:rPr>
            </w:r>
            <w:r>
              <w:rPr>
                <w:rFonts w:ascii="Trebuchet MS" w:hAnsi="Trebuchet MS" w:eastAsia="Trebuchet MS"/>
                <w:b w:val="0"/>
                <w:sz w:val="18"/>
              </w:rPr>
              <w:t>33.6%</w:t>
            </w:r>
          </w:p>
        </w:tc>
      </w:tr>
      <w:tr>
        <w:trPr>
          <w:cantSplit/>
        </w:trPr>
        <w:tc>
          <w:tcPr>
            <w:tcW w:type="dxa" w:w="5184"/>
            <w:vAlign w:val="center"/>
            <w:tcMar>
              <w:top w:w="55" w:type="dxa"/>
              <w:start w:w="55" w:type="dxa"/>
              <w:bottom w:w="55" w:type="dxa"/>
              <w:end w:w="55" w:type="dxa"/>
            </w:tcMar>
          </w:tcPr>
          <w:p>
            <w:pPr>
              <w:spacing w:before="0" w:after="0" w:line="240" w:lineRule="auto"/>
            </w:pPr>
            <w:r>
              <w:rPr>
                <w:rFonts w:ascii="Trebuchet MS" w:hAnsi="Trebuchet MS" w:eastAsia="Trebuchet MS"/>
                <w:sz w:val="18"/>
              </w:rPr>
            </w:r>
            <w:r>
              <w:rPr>
                <w:rFonts w:ascii="Trebuchet MS" w:hAnsi="Trebuchet MS" w:eastAsia="Trebuchet MS"/>
                <w:b w:val="0"/>
                <w:sz w:val="18"/>
              </w:rPr>
              <w:t>Calcium</w:t>
            </w:r>
          </w:p>
        </w:tc>
        <w:tc>
          <w:tcPr>
            <w:tcW w:type="dxa" w:w="5184"/>
            <w:vAlign w:val="center"/>
            <w:tcMar>
              <w:top w:w="55" w:type="dxa"/>
              <w:start w:w="55" w:type="dxa"/>
              <w:bottom w:w="55" w:type="dxa"/>
              <w:end w:w="55" w:type="dxa"/>
            </w:tcMar>
          </w:tcPr>
          <w:p>
            <w:pPr>
              <w:spacing w:before="0" w:after="0" w:line="240" w:lineRule="auto"/>
            </w:pPr>
            <w:r>
              <w:rPr>
                <w:rFonts w:ascii="Trebuchet MS" w:hAnsi="Trebuchet MS" w:eastAsia="Trebuchet MS"/>
                <w:sz w:val="18"/>
              </w:rPr>
            </w:r>
            <w:r>
              <w:rPr>
                <w:rFonts w:ascii="Trebuchet MS" w:hAnsi="Trebuchet MS" w:eastAsia="Trebuchet MS"/>
                <w:b w:val="0"/>
                <w:sz w:val="18"/>
              </w:rPr>
              <w:t>7 mg</w:t>
            </w:r>
          </w:p>
        </w:tc>
      </w:tr>
      <w:tr>
        <w:trPr>
          <w:cantSplit/>
        </w:trPr>
        <w:tc>
          <w:tcPr>
            <w:tcW w:type="dxa" w:w="5184"/>
            <w:vAlign w:val="center"/>
            <w:tcMar>
              <w:top w:w="55" w:type="dxa"/>
              <w:start w:w="55" w:type="dxa"/>
              <w:bottom w:w="55" w:type="dxa"/>
              <w:end w:w="55" w:type="dxa"/>
            </w:tcMar>
          </w:tcPr>
          <w:p>
            <w:pPr>
              <w:spacing w:before="0" w:after="0" w:line="240" w:lineRule="auto"/>
            </w:pPr>
            <w:r>
              <w:rPr>
                <w:rFonts w:ascii="Trebuchet MS" w:hAnsi="Trebuchet MS" w:eastAsia="Trebuchet MS"/>
                <w:sz w:val="18"/>
              </w:rPr>
            </w:r>
            <w:r>
              <w:rPr>
                <w:rFonts w:ascii="Trebuchet MS" w:hAnsi="Trebuchet MS" w:eastAsia="Trebuchet MS"/>
                <w:b w:val="0"/>
                <w:sz w:val="18"/>
              </w:rPr>
              <w:t>Iron</w:t>
            </w:r>
          </w:p>
        </w:tc>
        <w:tc>
          <w:tcPr>
            <w:tcW w:type="dxa" w:w="5184"/>
            <w:vAlign w:val="center"/>
            <w:tcMar>
              <w:top w:w="55" w:type="dxa"/>
              <w:start w:w="55" w:type="dxa"/>
              <w:bottom w:w="55" w:type="dxa"/>
              <w:end w:w="55" w:type="dxa"/>
            </w:tcMar>
          </w:tcPr>
          <w:p>
            <w:pPr>
              <w:spacing w:before="0" w:after="0" w:line="240" w:lineRule="auto"/>
            </w:pPr>
            <w:r>
              <w:rPr>
                <w:rFonts w:ascii="Trebuchet MS" w:hAnsi="Trebuchet MS" w:eastAsia="Trebuchet MS"/>
                <w:sz w:val="18"/>
              </w:rPr>
            </w:r>
            <w:r>
              <w:rPr>
                <w:rFonts w:ascii="Trebuchet MS" w:hAnsi="Trebuchet MS" w:eastAsia="Trebuchet MS"/>
                <w:b w:val="0"/>
                <w:sz w:val="18"/>
              </w:rPr>
              <w:t>0.8 mg</w:t>
            </w:r>
          </w:p>
        </w:tc>
      </w:tr>
      <w:tr>
        <w:trPr>
          <w:cantSplit/>
        </w:trPr>
        <w:tc>
          <w:tcPr>
            <w:tcW w:type="dxa" w:w="5184"/>
            <w:vAlign w:val="center"/>
            <w:tcMar>
              <w:top w:w="55" w:type="dxa"/>
              <w:start w:w="55" w:type="dxa"/>
              <w:bottom w:w="55" w:type="dxa"/>
              <w:end w:w="55" w:type="dxa"/>
            </w:tcMar>
          </w:tcPr>
          <w:p>
            <w:pPr>
              <w:spacing w:before="0" w:after="0" w:line="240" w:lineRule="auto"/>
            </w:pPr>
            <w:r>
              <w:rPr>
                <w:rFonts w:ascii="Trebuchet MS" w:hAnsi="Trebuchet MS" w:eastAsia="Trebuchet MS"/>
                <w:sz w:val="18"/>
              </w:rPr>
            </w:r>
            <w:r>
              <w:rPr>
                <w:rFonts w:ascii="Trebuchet MS" w:hAnsi="Trebuchet MS" w:eastAsia="Trebuchet MS"/>
                <w:b w:val="0"/>
                <w:sz w:val="18"/>
              </w:rPr>
              <w:t>Potassium</w:t>
            </w:r>
          </w:p>
        </w:tc>
        <w:tc>
          <w:tcPr>
            <w:tcW w:type="dxa" w:w="5184"/>
            <w:vAlign w:val="center"/>
            <w:tcMar>
              <w:top w:w="55" w:type="dxa"/>
              <w:start w:w="55" w:type="dxa"/>
              <w:bottom w:w="55" w:type="dxa"/>
              <w:end w:w="55" w:type="dxa"/>
            </w:tcMar>
          </w:tcPr>
          <w:p>
            <w:pPr>
              <w:spacing w:before="0" w:after="0" w:line="240" w:lineRule="auto"/>
            </w:pPr>
            <w:r>
              <w:rPr>
                <w:rFonts w:ascii="Trebuchet MS" w:hAnsi="Trebuchet MS" w:eastAsia="Trebuchet MS"/>
                <w:sz w:val="18"/>
              </w:rPr>
            </w:r>
            <w:r>
              <w:rPr>
                <w:rFonts w:ascii="Trebuchet MS" w:hAnsi="Trebuchet MS" w:eastAsia="Trebuchet MS"/>
                <w:b w:val="0"/>
                <w:sz w:val="18"/>
              </w:rPr>
              <w:t>392 mg</w:t>
            </w:r>
          </w:p>
        </w:tc>
      </w:tr>
    </w:tbl>
    <w:p>
      <w:pPr>
        <w:spacing w:before="0" w:after="0" w:line="240" w:lineRule="auto"/>
      </w:pPr>
      <w:r>
        <w:rPr>
          <w:rFonts w:ascii="Trebuchet MS" w:hAnsi="Trebuchet MS" w:eastAsia="Trebuchet MS"/>
          <w:b/>
          <w:i w:val="0"/>
          <w:sz w:val="20"/>
        </w:rPr>
        <w:t>Acceptability of golden banana cookies</w:t>
      </w:r>
    </w:p>
    <w:p>
      <w:pPr>
        <w:spacing w:before="0" w:after="0" w:line="240" w:lineRule="auto"/>
        <w:jc w:val="both"/>
      </w:pPr>
      <w:r>
        <w:rPr>
          <w:rFonts w:ascii="Trebuchet MS" w:hAnsi="Trebuchet MS" w:eastAsia="Trebuchet MS"/>
          <w:b w:val="0"/>
          <w:i w:val="0"/>
          <w:sz w:val="20"/>
        </w:rPr>
        <w:t>Cookie acceptability results are presented in Tables 3 and 4. Colour, aroma, and taste acceptability did not differ significantly among the 10%, 15%, and 20% formulations. Texture acceptability differed significantly among formulations (p = 0.023).</w:t>
      </w:r>
    </w:p>
    <w:p>
      <w:pPr>
        <w:spacing w:before="0" w:after="0" w:line="240" w:lineRule="auto"/>
      </w:pPr>
      <w:r>
        <w:rPr>
          <w:rFonts w:ascii="Trebuchet MS" w:hAnsi="Trebuchet MS" w:eastAsia="Trebuchet MS"/>
          <w:b w:val="0"/>
          <w:i w:val="0"/>
          <w:sz w:val="20"/>
        </w:rPr>
        <w:t>Table 3. Acceptability of golden banana cookies by formulation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blHeader w:val="true"/>
        </w:trPr>
        <w:tc>
          <w:tcPr>
            <w:tcW w:type="dxa" w:w="1728"/>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6"/>
              </w:rPr>
            </w:r>
            <w:r>
              <w:rPr>
                <w:rFonts w:ascii="Trebuchet MS" w:hAnsi="Trebuchet MS" w:eastAsia="Trebuchet MS"/>
                <w:b/>
                <w:sz w:val="16"/>
              </w:rPr>
              <w:t>Acceptability parameter</w:t>
            </w:r>
          </w:p>
        </w:tc>
        <w:tc>
          <w:tcPr>
            <w:tcW w:type="dxa" w:w="1728"/>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6"/>
              </w:rPr>
            </w:r>
            <w:r>
              <w:rPr>
                <w:rFonts w:ascii="Trebuchet MS" w:hAnsi="Trebuchet MS" w:eastAsia="Trebuchet MS"/>
                <w:b/>
                <w:sz w:val="16"/>
              </w:rPr>
              <w:t>10% formulation</w:t>
            </w:r>
          </w:p>
        </w:tc>
        <w:tc>
          <w:tcPr>
            <w:tcW w:type="dxa" w:w="1728"/>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6"/>
              </w:rPr>
            </w:r>
            <w:r>
              <w:rPr>
                <w:rFonts w:ascii="Trebuchet MS" w:hAnsi="Trebuchet MS" w:eastAsia="Trebuchet MS"/>
                <w:b/>
                <w:sz w:val="16"/>
              </w:rPr>
              <w:t>15% formulation</w:t>
            </w:r>
          </w:p>
        </w:tc>
        <w:tc>
          <w:tcPr>
            <w:tcW w:type="dxa" w:w="1728"/>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6"/>
              </w:rPr>
            </w:r>
            <w:r>
              <w:rPr>
                <w:rFonts w:ascii="Trebuchet MS" w:hAnsi="Trebuchet MS" w:eastAsia="Trebuchet MS"/>
                <w:b/>
                <w:sz w:val="16"/>
              </w:rPr>
              <w:t>20% formulation</w:t>
            </w:r>
          </w:p>
        </w:tc>
        <w:tc>
          <w:tcPr>
            <w:tcW w:type="dxa" w:w="1728"/>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6"/>
              </w:rPr>
            </w:r>
            <w:r>
              <w:rPr>
                <w:rFonts w:ascii="Trebuchet MS" w:hAnsi="Trebuchet MS" w:eastAsia="Trebuchet MS"/>
                <w:b/>
                <w:sz w:val="16"/>
              </w:rPr>
              <w:t>chi-square</w:t>
            </w:r>
          </w:p>
        </w:tc>
        <w:tc>
          <w:tcPr>
            <w:tcW w:type="dxa" w:w="1728"/>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6"/>
              </w:rPr>
            </w:r>
            <w:r>
              <w:rPr>
                <w:rFonts w:ascii="Trebuchet MS" w:hAnsi="Trebuchet MS" w:eastAsia="Trebuchet MS"/>
                <w:b/>
                <w:sz w:val="16"/>
              </w:rPr>
              <w:t>p-value</w:t>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Colour</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Acceptable</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Acceptable</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Acceptable</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2.760</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0.252</w:t>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Aroma</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Acceptable</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Acceptable</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Acceptable</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0.871</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0.647</w:t>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Taste</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Acceptable</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Acceptable</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Acceptable</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0.669</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0.716</w:t>
            </w:r>
          </w:p>
        </w:tc>
      </w:tr>
      <w:tr>
        <w:trPr>
          <w:cantSplit/>
        </w:trPr>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Texture</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Lower acceptability</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Highest acceptability</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High acceptability</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7.532</w:t>
            </w:r>
          </w:p>
        </w:tc>
        <w:tc>
          <w:tcPr>
            <w:tcW w:type="dxa" w:w="1728"/>
            <w:vAlign w:val="center"/>
            <w:tcMar>
              <w:top w:w="55" w:type="dxa"/>
              <w:start w:w="55" w:type="dxa"/>
              <w:bottom w:w="55" w:type="dxa"/>
              <w:end w:w="55" w:type="dxa"/>
            </w:tcMar>
          </w:tcPr>
          <w:p>
            <w:pPr>
              <w:spacing w:before="0" w:after="0" w:line="240" w:lineRule="auto"/>
            </w:pPr>
            <w:r>
              <w:rPr>
                <w:rFonts w:ascii="Trebuchet MS" w:hAnsi="Trebuchet MS" w:eastAsia="Trebuchet MS"/>
                <w:sz w:val="16"/>
              </w:rPr>
            </w:r>
            <w:r>
              <w:rPr>
                <w:rFonts w:ascii="Trebuchet MS" w:hAnsi="Trebuchet MS" w:eastAsia="Trebuchet MS"/>
                <w:b w:val="0"/>
                <w:sz w:val="16"/>
              </w:rPr>
              <w:t>0.023</w:t>
            </w:r>
          </w:p>
        </w:tc>
      </w:tr>
    </w:tbl>
    <w:p>
      <w:pPr>
        <w:spacing w:before="0" w:after="0" w:line="240" w:lineRule="auto"/>
        <w:jc w:val="both"/>
      </w:pPr>
      <w:r>
        <w:rPr>
          <w:rFonts w:ascii="Trebuchet MS" w:hAnsi="Trebuchet MS" w:eastAsia="Trebuchet MS"/>
          <w:b w:val="0"/>
          <w:i w:val="0"/>
          <w:sz w:val="20"/>
        </w:rPr>
        <w:t>The 15% golden banana cookie formulation had the highest total and mean preference scores, followed by the 20% and 10% formulations. Therefore, the 15% formulation was selected for the intervention.</w:t>
      </w:r>
    </w:p>
    <w:p>
      <w:pPr>
        <w:spacing w:before="0" w:after="0" w:line="240" w:lineRule="auto"/>
      </w:pPr>
      <w:r>
        <w:rPr>
          <w:rFonts w:ascii="Trebuchet MS" w:hAnsi="Trebuchet MS" w:eastAsia="Trebuchet MS"/>
          <w:b w:val="0"/>
          <w:i w:val="0"/>
          <w:sz w:val="20"/>
        </w:rPr>
        <w:t>Table 4. Overall preference scores of golden banana cookie formulations</w:t>
      </w:r>
    </w:p>
    <w:tbl>
      <w:tblPr>
        <w:tblStyle w:val="TableGrid"/>
        <w:tblW w:type="auto" w:w="0"/>
        <w:jc w:val="center"/>
        <w:tblLook w:firstColumn="1" w:firstRow="1" w:lastColumn="0" w:lastRow="0" w:noHBand="0" w:noVBand="1" w:val="04A0"/>
      </w:tblPr>
      <w:tblGrid>
        <w:gridCol w:w="2592"/>
        <w:gridCol w:w="2592"/>
        <w:gridCol w:w="2592"/>
        <w:gridCol w:w="2592"/>
      </w:tblGrid>
      <w:tr>
        <w:trPr>
          <w:cantSplit/>
          <w:tblHeader w:val="true"/>
        </w:trPr>
        <w:tc>
          <w:tcPr>
            <w:tcW w:type="dxa" w:w="2592"/>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7"/>
              </w:rPr>
            </w:r>
            <w:r>
              <w:rPr>
                <w:rFonts w:ascii="Trebuchet MS" w:hAnsi="Trebuchet MS" w:eastAsia="Trebuchet MS"/>
                <w:b/>
                <w:sz w:val="17"/>
              </w:rPr>
              <w:t>Parameter</w:t>
            </w:r>
          </w:p>
        </w:tc>
        <w:tc>
          <w:tcPr>
            <w:tcW w:type="dxa" w:w="2592"/>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7"/>
              </w:rPr>
            </w:r>
            <w:r>
              <w:rPr>
                <w:rFonts w:ascii="Trebuchet MS" w:hAnsi="Trebuchet MS" w:eastAsia="Trebuchet MS"/>
                <w:b/>
                <w:sz w:val="17"/>
              </w:rPr>
              <w:t>10% formulation</w:t>
            </w:r>
          </w:p>
        </w:tc>
        <w:tc>
          <w:tcPr>
            <w:tcW w:type="dxa" w:w="2592"/>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7"/>
              </w:rPr>
            </w:r>
            <w:r>
              <w:rPr>
                <w:rFonts w:ascii="Trebuchet MS" w:hAnsi="Trebuchet MS" w:eastAsia="Trebuchet MS"/>
                <w:b/>
                <w:sz w:val="17"/>
              </w:rPr>
              <w:t>15% formulation</w:t>
            </w:r>
          </w:p>
        </w:tc>
        <w:tc>
          <w:tcPr>
            <w:tcW w:type="dxa" w:w="2592"/>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7"/>
              </w:rPr>
            </w:r>
            <w:r>
              <w:rPr>
                <w:rFonts w:ascii="Trebuchet MS" w:hAnsi="Trebuchet MS" w:eastAsia="Trebuchet MS"/>
                <w:b/>
                <w:sz w:val="17"/>
              </w:rPr>
              <w:t>20% formulation</w:t>
            </w:r>
          </w:p>
        </w:tc>
      </w:tr>
      <w:tr>
        <w:trPr>
          <w:cantSplit/>
        </w:trPr>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Colour</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3.02</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3.87</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3.64</w:t>
            </w:r>
          </w:p>
        </w:tc>
      </w:tr>
      <w:tr>
        <w:trPr>
          <w:cantSplit/>
        </w:trPr>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Aroma</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2.80</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3.83</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3.43</w:t>
            </w:r>
          </w:p>
        </w:tc>
      </w:tr>
      <w:tr>
        <w:trPr>
          <w:cantSplit/>
        </w:trPr>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Taste</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3.01</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3.93</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3.54</w:t>
            </w:r>
          </w:p>
        </w:tc>
      </w:tr>
      <w:tr>
        <w:trPr>
          <w:cantSplit/>
        </w:trPr>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Texture</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2.94</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3.90</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3.45</w:t>
            </w:r>
          </w:p>
        </w:tc>
      </w:tr>
      <w:tr>
        <w:trPr>
          <w:cantSplit/>
        </w:trPr>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Total score</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11.77</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15.53</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14.06</w:t>
            </w:r>
          </w:p>
        </w:tc>
      </w:tr>
      <w:tr>
        <w:trPr>
          <w:cantSplit/>
        </w:trPr>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Mean score</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2.94</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3.88</w:t>
            </w:r>
          </w:p>
        </w:tc>
        <w:tc>
          <w:tcPr>
            <w:tcW w:type="dxa" w:w="2592"/>
            <w:vAlign w:val="center"/>
            <w:tcMar>
              <w:top w:w="55" w:type="dxa"/>
              <w:start w:w="55" w:type="dxa"/>
              <w:bottom w:w="55" w:type="dxa"/>
              <w:end w:w="55" w:type="dxa"/>
            </w:tcMar>
          </w:tcPr>
          <w:p>
            <w:pPr>
              <w:spacing w:before="0" w:after="0" w:line="240" w:lineRule="auto"/>
            </w:pPr>
            <w:r>
              <w:rPr>
                <w:rFonts w:ascii="Trebuchet MS" w:hAnsi="Trebuchet MS" w:eastAsia="Trebuchet MS"/>
                <w:sz w:val="17"/>
              </w:rPr>
            </w:r>
            <w:r>
              <w:rPr>
                <w:rFonts w:ascii="Trebuchet MS" w:hAnsi="Trebuchet MS" w:eastAsia="Trebuchet MS"/>
                <w:b w:val="0"/>
                <w:sz w:val="17"/>
              </w:rPr>
              <w:t>3.51</w:t>
            </w:r>
          </w:p>
        </w:tc>
      </w:tr>
    </w:tbl>
    <w:p>
      <w:pPr>
        <w:spacing w:before="0" w:after="0" w:line="240" w:lineRule="auto"/>
      </w:pPr>
      <w:r>
        <w:rPr>
          <w:rFonts w:ascii="Trebuchet MS" w:hAnsi="Trebuchet MS" w:eastAsia="Trebuchet MS"/>
          <w:b/>
          <w:i w:val="0"/>
          <w:sz w:val="20"/>
        </w:rPr>
        <w:t>Estimated fetal weight before and after intervention</w:t>
      </w:r>
    </w:p>
    <w:p>
      <w:pPr>
        <w:spacing w:before="0" w:after="0" w:line="240" w:lineRule="auto"/>
        <w:jc w:val="both"/>
      </w:pPr>
      <w:r>
        <w:rPr>
          <w:rFonts w:ascii="Trebuchet MS" w:hAnsi="Trebuchet MS" w:eastAsia="Trebuchet MS"/>
          <w:b w:val="0"/>
          <w:i w:val="0"/>
          <w:sz w:val="20"/>
        </w:rPr>
        <w:t>Estimated fetal weight before and after intervention is presented in Table 5. Baseline mean estimated fetal weight was 325 g in the guided imagery group, 336 g in the golden banana cookie group, 331 g in the combined intervention group, and 365 g in the control group. Baseline estimated fetal weight did not differ significantly among groups (p = 0.491).</w:t>
      </w:r>
    </w:p>
    <w:p>
      <w:pPr>
        <w:spacing w:before="0" w:after="0" w:line="240" w:lineRule="auto"/>
        <w:jc w:val="both"/>
      </w:pPr>
      <w:r>
        <w:rPr>
          <w:rFonts w:ascii="Trebuchet MS" w:hAnsi="Trebuchet MS" w:eastAsia="Trebuchet MS"/>
          <w:b w:val="0"/>
          <w:i w:val="0"/>
          <w:sz w:val="20"/>
        </w:rPr>
        <w:t>After the 12-week period, mean estimated fetal weight increased in all groups. The post-test mean was 1706 g in the guided imagery group, 1690 g in the golden banana cookie group, 1685 g in the combined intervention group, and 1675 g in the control group. The greatest mean increase was observed in the guided imagery group, followed by the golden banana cookie and combined intervention groups. Repeated measures analysis showed a significant time-by-group interaction (p &lt; 0.001), indicating that changes in estimated fetal weight differed among groups over time.</w:t>
      </w:r>
    </w:p>
    <w:p>
      <w:pPr>
        <w:spacing w:before="0" w:after="0" w:line="240" w:lineRule="auto"/>
      </w:pPr>
      <w:r>
        <w:rPr>
          <w:rFonts w:ascii="Trebuchet MS" w:hAnsi="Trebuchet MS" w:eastAsia="Trebuchet MS"/>
          <w:b w:val="0"/>
          <w:i w:val="0"/>
          <w:sz w:val="20"/>
        </w:rPr>
        <w:t>Table 5. Estimated fetal weight before and after intervention by study group</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cantSplit/>
          <w:tblHeader w:val="true"/>
        </w:trPr>
        <w:tc>
          <w:tcPr>
            <w:tcW w:type="dxa" w:w="1481"/>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5"/>
              </w:rPr>
            </w:r>
            <w:r>
              <w:rPr>
                <w:rFonts w:ascii="Trebuchet MS" w:hAnsi="Trebuchet MS" w:eastAsia="Trebuchet MS"/>
                <w:b/>
                <w:sz w:val="15"/>
              </w:rPr>
              <w:t>Study group</w:t>
            </w:r>
          </w:p>
        </w:tc>
        <w:tc>
          <w:tcPr>
            <w:tcW w:type="dxa" w:w="1481"/>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5"/>
              </w:rPr>
            </w:r>
            <w:r>
              <w:rPr>
                <w:rFonts w:ascii="Trebuchet MS" w:hAnsi="Trebuchet MS" w:eastAsia="Trebuchet MS"/>
                <w:b/>
                <w:sz w:val="15"/>
              </w:rPr>
              <w:t>n</w:t>
            </w:r>
          </w:p>
        </w:tc>
        <w:tc>
          <w:tcPr>
            <w:tcW w:type="dxa" w:w="1481"/>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5"/>
              </w:rPr>
            </w:r>
            <w:r>
              <w:rPr>
                <w:rFonts w:ascii="Trebuchet MS" w:hAnsi="Trebuchet MS" w:eastAsia="Trebuchet MS"/>
                <w:b/>
                <w:sz w:val="15"/>
              </w:rPr>
              <w:t>Pre-test mean EFW, g</w:t>
            </w:r>
          </w:p>
        </w:tc>
        <w:tc>
          <w:tcPr>
            <w:tcW w:type="dxa" w:w="1481"/>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5"/>
              </w:rPr>
            </w:r>
            <w:r>
              <w:rPr>
                <w:rFonts w:ascii="Trebuchet MS" w:hAnsi="Trebuchet MS" w:eastAsia="Trebuchet MS"/>
                <w:b/>
                <w:sz w:val="15"/>
              </w:rPr>
              <w:t>Pre-test min-max, g</w:t>
            </w:r>
          </w:p>
        </w:tc>
        <w:tc>
          <w:tcPr>
            <w:tcW w:type="dxa" w:w="1481"/>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5"/>
              </w:rPr>
            </w:r>
            <w:r>
              <w:rPr>
                <w:rFonts w:ascii="Trebuchet MS" w:hAnsi="Trebuchet MS" w:eastAsia="Trebuchet MS"/>
                <w:b/>
                <w:sz w:val="15"/>
              </w:rPr>
              <w:t>Post-test mean EFW, g</w:t>
            </w:r>
          </w:p>
        </w:tc>
        <w:tc>
          <w:tcPr>
            <w:tcW w:type="dxa" w:w="1481"/>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5"/>
              </w:rPr>
            </w:r>
            <w:r>
              <w:rPr>
                <w:rFonts w:ascii="Trebuchet MS" w:hAnsi="Trebuchet MS" w:eastAsia="Trebuchet MS"/>
                <w:b/>
                <w:sz w:val="15"/>
              </w:rPr>
              <w:t>Mean increase, g</w:t>
            </w:r>
          </w:p>
        </w:tc>
        <w:tc>
          <w:tcPr>
            <w:tcW w:type="dxa" w:w="1481"/>
            <w:vAlign w:val="center"/>
            <w:tcMar>
              <w:top w:w="55" w:type="dxa"/>
              <w:start w:w="55" w:type="dxa"/>
              <w:bottom w:w="55" w:type="dxa"/>
              <w:end w:w="55" w:type="dxa"/>
            </w:tcMar>
            <w:shd w:fill="D9EAF7"/>
            <w:shd w:fill="D9EAF7"/>
          </w:tcPr>
          <w:p>
            <w:pPr>
              <w:spacing w:before="0" w:after="0" w:line="240" w:lineRule="auto"/>
              <w:jc w:val="center"/>
            </w:pPr>
            <w:r>
              <w:rPr>
                <w:rFonts w:ascii="Trebuchet MS" w:hAnsi="Trebuchet MS" w:eastAsia="Trebuchet MS"/>
                <w:b/>
                <w:sz w:val="15"/>
              </w:rPr>
            </w:r>
            <w:r>
              <w:rPr>
                <w:rFonts w:ascii="Trebuchet MS" w:hAnsi="Trebuchet MS" w:eastAsia="Trebuchet MS"/>
                <w:b/>
                <w:sz w:val="15"/>
              </w:rPr>
              <w:t>p-value</w:t>
            </w:r>
          </w:p>
        </w:tc>
      </w:tr>
      <w:tr>
        <w:trPr>
          <w:cantSplit/>
        </w:trPr>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Guided imagery</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30</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325</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300-346</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1706</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1381</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&lt;0.001</w:t>
            </w:r>
          </w:p>
        </w:tc>
      </w:tr>
      <w:tr>
        <w:trPr>
          <w:cantSplit/>
        </w:trPr>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Golden banana cookies</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30</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336</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300-350</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1690</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1354</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&lt;0.001</w:t>
            </w:r>
          </w:p>
        </w:tc>
      </w:tr>
      <w:tr>
        <w:trPr>
          <w:cantSplit/>
        </w:trPr>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Combined intervention</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30</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331</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301-355</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1685</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1354</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&lt;0.001</w:t>
            </w:r>
          </w:p>
        </w:tc>
      </w:tr>
      <w:tr>
        <w:trPr>
          <w:cantSplit/>
        </w:trPr>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Control</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30</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365</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315-385</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1675</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1310</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&lt;0.001</w:t>
            </w:r>
          </w:p>
        </w:tc>
      </w:tr>
      <w:tr>
        <w:trPr>
          <w:cantSplit/>
        </w:trPr>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Between-group comparison at baseline</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0.491</w:t>
            </w:r>
          </w:p>
        </w:tc>
      </w:tr>
      <w:tr>
        <w:trPr>
          <w:cantSplit/>
        </w:trPr>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Time x group interaction</w:t>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r>
          </w:p>
        </w:tc>
        <w:tc>
          <w:tcPr>
            <w:tcW w:type="dxa" w:w="1481"/>
            <w:vAlign w:val="center"/>
            <w:tcMar>
              <w:top w:w="55" w:type="dxa"/>
              <w:start w:w="55" w:type="dxa"/>
              <w:bottom w:w="55" w:type="dxa"/>
              <w:end w:w="55" w:type="dxa"/>
            </w:tcMar>
          </w:tcPr>
          <w:p>
            <w:pPr>
              <w:spacing w:before="0" w:after="0" w:line="240" w:lineRule="auto"/>
            </w:pPr>
            <w:r>
              <w:rPr>
                <w:rFonts w:ascii="Trebuchet MS" w:hAnsi="Trebuchet MS" w:eastAsia="Trebuchet MS"/>
                <w:sz w:val="15"/>
              </w:rPr>
            </w:r>
            <w:r>
              <w:rPr>
                <w:rFonts w:ascii="Trebuchet MS" w:hAnsi="Trebuchet MS" w:eastAsia="Trebuchet MS"/>
                <w:b w:val="0"/>
                <w:sz w:val="15"/>
              </w:rPr>
              <w:t>&lt;0.001</w:t>
            </w:r>
          </w:p>
        </w:tc>
      </w:tr>
    </w:tbl>
    <w:p>
      <w:pPr>
        <w:spacing w:before="0" w:after="0" w:line="240" w:lineRule="auto"/>
      </w:pPr>
      <w:r>
        <w:rPr>
          <w:rFonts w:ascii="Trebuchet MS" w:hAnsi="Trebuchet MS" w:eastAsia="Trebuchet MS"/>
          <w:b w:val="0"/>
          <w:i/>
          <w:sz w:val="18"/>
        </w:rPr>
        <w:t>EFW, estimated fetal weight. Repeated measures ANOVA was used to assess within-group changes and the time-by-group interaction. Statistical significance was set at p &lt; 0.05.</w:t>
      </w:r>
    </w:p>
    <w:p/>
    <w:p>
      <w:pPr>
        <w:spacing w:before="0" w:after="0" w:line="240" w:lineRule="auto"/>
      </w:pPr>
      <w:r>
        <w:rPr>
          <w:rFonts w:ascii="Trebuchet MS" w:hAnsi="Trebuchet MS" w:eastAsia="Trebuchet MS"/>
          <w:b/>
          <w:i w:val="0"/>
          <w:sz w:val="20"/>
        </w:rPr>
        <w:t>DISCUSSION</w:t>
      </w:r>
    </w:p>
    <w:p>
      <w:pPr>
        <w:spacing w:before="0" w:after="0" w:line="240" w:lineRule="auto"/>
        <w:jc w:val="both"/>
      </w:pPr>
      <w:r>
        <w:rPr>
          <w:rFonts w:ascii="Trebuchet MS" w:hAnsi="Trebuchet MS" w:eastAsia="Trebuchet MS"/>
          <w:b w:val="0"/>
          <w:i w:val="0"/>
          <w:sz w:val="20"/>
        </w:rPr>
        <w:t>This study found that estimated fetal weight increased in all groups after 12 weeks, with relatively greater increases among participants who received guided imagery, golden banana cookie supplementation, or both interventions than among controls. The increase in all groups was expected because fetal growth naturally progresses with gestational age. Therefore, the findings should be interpreted as differences in growth patterns over time rather than evidence that the interventions alone caused fetal weight gain.</w:t>
      </w:r>
    </w:p>
    <w:p>
      <w:pPr>
        <w:spacing w:before="0" w:after="0" w:line="240" w:lineRule="auto"/>
        <w:jc w:val="both"/>
      </w:pPr>
      <w:r>
        <w:rPr>
          <w:rFonts w:ascii="Trebuchet MS" w:hAnsi="Trebuchet MS" w:eastAsia="Trebuchet MS"/>
          <w:b w:val="0"/>
          <w:i w:val="0"/>
          <w:sz w:val="20"/>
        </w:rPr>
        <w:t>The findings are consistent with evidence that maternal anxiety may influence fetal growth through behavioural and biological pathways. Anxiety can disturb sleep, appetite, health-seeking behaviour, and self-care, while stress-related neuroendocrine activity may affect placental function and uteroplacental circulation. Previous studies have reported associations between pregnancy-related anxiety, birthweight, gestational length, and child growth outcomes</w:t>
      </w:r>
      <w:r>
        <w:rPr>
          <w:rFonts w:ascii="Trebuchet MS" w:hAnsi="Trebuchet MS" w:eastAsia="Trebuchet MS"/>
          <w:b w:val="0"/>
          <w:i w:val="0"/>
          <w:sz w:val="20"/>
          <w:vertAlign w:val="superscript"/>
        </w:rPr>
        <w:t>3,4,8,12</w:t>
      </w:r>
      <w:r>
        <w:rPr>
          <w:rFonts w:ascii="Trebuchet MS" w:hAnsi="Trebuchet MS" w:eastAsia="Trebuchet MS"/>
          <w:b w:val="0"/>
          <w:i w:val="0"/>
          <w:sz w:val="20"/>
        </w:rPr>
        <w:t>. These pathways support the public health relevance of integrating mental health support into routine antenatal care.</w:t>
      </w:r>
    </w:p>
    <w:p>
      <w:pPr>
        <w:spacing w:before="0" w:after="0" w:line="240" w:lineRule="auto"/>
        <w:jc w:val="both"/>
      </w:pPr>
      <w:r>
        <w:rPr>
          <w:rFonts w:ascii="Trebuchet MS" w:hAnsi="Trebuchet MS" w:eastAsia="Trebuchet MS"/>
          <w:b w:val="0"/>
          <w:i w:val="0"/>
          <w:sz w:val="20"/>
        </w:rPr>
        <w:t>Guided imagery may have supported fetal growth indirectly by reducing psychological tension and improving emotional regulation. As a simple relaxation method, guided imagery requires minimal equipment and can be delivered by trained health workers in primary care or community antenatal services. Previous studies have reported that guided imagery is feasible for pregnant women and may reduce anxiety or depressive symptoms during pregnancy</w:t>
      </w:r>
      <w:r>
        <w:rPr>
          <w:rFonts w:ascii="Trebuchet MS" w:hAnsi="Trebuchet MS" w:eastAsia="Trebuchet MS"/>
          <w:b w:val="0"/>
          <w:i w:val="0"/>
          <w:sz w:val="20"/>
          <w:vertAlign w:val="superscript"/>
        </w:rPr>
        <w:t>6,14,15</w:t>
      </w:r>
      <w:r>
        <w:rPr>
          <w:rFonts w:ascii="Trebuchet MS" w:hAnsi="Trebuchet MS" w:eastAsia="Trebuchet MS"/>
          <w:b w:val="0"/>
          <w:i w:val="0"/>
          <w:sz w:val="20"/>
        </w:rPr>
        <w:t>. This makes it potentially useful in settings where specialist perinatal mental health services are limited.</w:t>
      </w:r>
    </w:p>
    <w:p>
      <w:pPr>
        <w:spacing w:before="0" w:after="0" w:line="240" w:lineRule="auto"/>
        <w:jc w:val="both"/>
      </w:pPr>
      <w:r>
        <w:rPr>
          <w:rFonts w:ascii="Trebuchet MS" w:hAnsi="Trebuchet MS" w:eastAsia="Trebuchet MS"/>
          <w:b w:val="0"/>
          <w:i w:val="0"/>
          <w:sz w:val="20"/>
        </w:rPr>
        <w:t>Golden banana cookie supplementation represents a local food-based nutrition approach. Maternal nutrition is essential for fetal growth because energy, macronutrients, and micronutrients support placental development and fetal tissue formation. Evidence also suggests that antenatal nutrition interventions may improve birth outcomes, particularly among women with nutritional vulnerability</w:t>
      </w:r>
      <w:r>
        <w:rPr>
          <w:rFonts w:ascii="Trebuchet MS" w:hAnsi="Trebuchet MS" w:eastAsia="Trebuchet MS"/>
          <w:b w:val="0"/>
          <w:i w:val="0"/>
          <w:sz w:val="20"/>
          <w:vertAlign w:val="superscript"/>
        </w:rPr>
        <w:t>7,11</w:t>
      </w:r>
      <w:r>
        <w:rPr>
          <w:rFonts w:ascii="Trebuchet MS" w:hAnsi="Trebuchet MS" w:eastAsia="Trebuchet MS"/>
          <w:b w:val="0"/>
          <w:i w:val="0"/>
          <w:sz w:val="20"/>
        </w:rPr>
        <w:t>. In the present study, acceptability testing showed that the 15% formulation was preferred, indicating that palatability should be considered when developing supplementary foods for pregnant women.</w:t>
      </w:r>
    </w:p>
    <w:p>
      <w:pPr>
        <w:spacing w:before="0" w:after="0" w:line="240" w:lineRule="auto"/>
        <w:jc w:val="both"/>
      </w:pPr>
      <w:r>
        <w:rPr>
          <w:rFonts w:ascii="Trebuchet MS" w:hAnsi="Trebuchet MS" w:eastAsia="Trebuchet MS"/>
          <w:b w:val="0"/>
          <w:i w:val="0"/>
          <w:sz w:val="20"/>
        </w:rPr>
        <w:t>The combined intervention group did not show the largest increase in estimated fetal weight. This suggests that the combined intervention was not clearly additive in this study. Possible explanations include individual variation in gestational age, baseline nutritional status, dietary intake outside the intervention, adherence to cookie consumption, response to relaxation practice, and measurement variation from fundal height assessment. Because this was a quasi-experimental study, residual confounding cannot be excluded.</w:t>
      </w:r>
    </w:p>
    <w:p>
      <w:pPr>
        <w:spacing w:before="0" w:after="0" w:line="240" w:lineRule="auto"/>
        <w:jc w:val="both"/>
      </w:pPr>
      <w:r>
        <w:rPr>
          <w:rFonts w:ascii="Trebuchet MS" w:hAnsi="Trebuchet MS" w:eastAsia="Trebuchet MS"/>
          <w:b w:val="0"/>
          <w:i w:val="0"/>
          <w:sz w:val="20"/>
        </w:rPr>
        <w:t>The pandemic context is also important. Disruption of antenatal care and increased anxiety during the COVID-19 period may have affected maternal monitoring, social support, and service utilisation</w:t>
      </w:r>
      <w:r>
        <w:rPr>
          <w:rFonts w:ascii="Trebuchet MS" w:hAnsi="Trebuchet MS" w:eastAsia="Trebuchet MS"/>
          <w:b w:val="0"/>
          <w:i w:val="0"/>
          <w:sz w:val="20"/>
          <w:vertAlign w:val="superscript"/>
        </w:rPr>
        <w:t>9,13</w:t>
      </w:r>
      <w:r>
        <w:rPr>
          <w:rFonts w:ascii="Trebuchet MS" w:hAnsi="Trebuchet MS" w:eastAsia="Trebuchet MS"/>
          <w:b w:val="0"/>
          <w:i w:val="0"/>
          <w:sz w:val="20"/>
        </w:rPr>
        <w:t>. Simple community-based interventions may therefore be useful during public health disruptions because they can be integrated into primary health care and delivered with limited resources.</w:t>
      </w:r>
    </w:p>
    <w:p>
      <w:pPr>
        <w:spacing w:before="0" w:after="0" w:line="240" w:lineRule="auto"/>
        <w:jc w:val="both"/>
      </w:pPr>
      <w:r>
        <w:rPr>
          <w:rFonts w:ascii="Trebuchet MS" w:hAnsi="Trebuchet MS" w:eastAsia="Trebuchet MS"/>
          <w:b w:val="0"/>
          <w:i w:val="0"/>
          <w:sz w:val="20"/>
        </w:rPr>
        <w:t>This study has several limitations. First, the quasi-experimental design limits causal inference. Second, anxiety was used as an eligibility condition, but post-intervention anxiety scores were not reported as outcomes. Third, dietary intake, gestational weight gain, adherence to cookie consumption, and household food security were not analysed in detail. Fourth, estimated fetal weight was assessed using fundal height, which is feasible in primary care but less precise than ultrasound-based fetal biometry. Fifth, neonatal outcomes such as birthweight, birth length, gestational age at delivery, and neonatal health status were not measured. Future studies should use randomised designs, direct anxiety measurement, dietary assessment, ultrasound-based fetal growth monitoring, and birth outcome evaluation.</w:t>
      </w:r>
    </w:p>
    <w:p/>
    <w:p>
      <w:pPr>
        <w:spacing w:before="0" w:after="0" w:line="240" w:lineRule="auto"/>
      </w:pPr>
      <w:r>
        <w:rPr>
          <w:rFonts w:ascii="Trebuchet MS" w:hAnsi="Trebuchet MS" w:eastAsia="Trebuchet MS"/>
          <w:b/>
          <w:i w:val="0"/>
          <w:sz w:val="20"/>
        </w:rPr>
        <w:t>CONCLUSIONS</w:t>
      </w:r>
    </w:p>
    <w:p>
      <w:pPr>
        <w:spacing w:before="0" w:after="0" w:line="240" w:lineRule="auto"/>
        <w:jc w:val="both"/>
      </w:pPr>
      <w:r>
        <w:rPr>
          <w:rFonts w:ascii="Trebuchet MS" w:hAnsi="Trebuchet MS" w:eastAsia="Trebuchet MS"/>
          <w:b w:val="0"/>
          <w:i w:val="0"/>
          <w:sz w:val="20"/>
        </w:rPr>
        <w:t>Estimated fetal weight increased after 12 weeks in all study groups. Pregnant women who received guided imagery, golden banana cookie supplementation, or both interventions showed relatively greater increases than those who received routine antenatal care only. These findings suggest that community-based psychological relaxation and local food-based supplementation may be feasible supportive strategies within antenatal care services for pregnant women with anxiety.</w:t>
      </w:r>
    </w:p>
    <w:p>
      <w:pPr>
        <w:spacing w:before="0" w:after="0" w:line="240" w:lineRule="auto"/>
        <w:jc w:val="both"/>
      </w:pPr>
      <w:r>
        <w:rPr>
          <w:rFonts w:ascii="Trebuchet MS" w:hAnsi="Trebuchet MS" w:eastAsia="Trebuchet MS"/>
          <w:b w:val="0"/>
          <w:i w:val="0"/>
          <w:sz w:val="20"/>
        </w:rPr>
        <w:t>The findings should be interpreted cautiously because fetal growth naturally increases with gestational age and because the study used a quasi-experimental design. Further randomised studies with larger samples, direct anxiety assessment, detailed nutrition and adherence monitoring, ultrasound-based fetal growth assessment, and neonatal outcomes are needed to confirm effectiveness.</w:t>
      </w:r>
    </w:p>
    <w:p/>
    <w:p>
      <w:pPr>
        <w:spacing w:before="0" w:after="0" w:line="240" w:lineRule="auto"/>
      </w:pPr>
      <w:r>
        <w:rPr>
          <w:rFonts w:ascii="Trebuchet MS" w:hAnsi="Trebuchet MS" w:eastAsia="Trebuchet MS"/>
          <w:b/>
          <w:i w:val="0"/>
          <w:sz w:val="20"/>
        </w:rPr>
        <w:t>ACKNOWLEDGEMENTS</w:t>
      </w:r>
    </w:p>
    <w:p>
      <w:pPr>
        <w:spacing w:before="0" w:after="0" w:line="240" w:lineRule="auto"/>
        <w:jc w:val="both"/>
      </w:pPr>
      <w:r>
        <w:rPr>
          <w:rFonts w:ascii="Trebuchet MS" w:hAnsi="Trebuchet MS" w:eastAsia="Trebuchet MS"/>
          <w:b w:val="0"/>
          <w:i w:val="0"/>
          <w:sz w:val="20"/>
        </w:rPr>
        <w:t>The authors thank all pregnant women and health workers who supported the data collection process.</w:t>
      </w:r>
    </w:p>
    <w:p>
      <w:pPr>
        <w:spacing w:before="0" w:after="0" w:line="240" w:lineRule="auto"/>
      </w:pPr>
      <w:r>
        <w:rPr>
          <w:rFonts w:ascii="Trebuchet MS" w:hAnsi="Trebuchet MS" w:eastAsia="Trebuchet MS"/>
          <w:b/>
          <w:i w:val="0"/>
          <w:sz w:val="20"/>
        </w:rPr>
        <w:t>COMPETING INTERESTS</w:t>
      </w:r>
    </w:p>
    <w:p>
      <w:pPr>
        <w:spacing w:before="0" w:after="0" w:line="240" w:lineRule="auto"/>
        <w:jc w:val="both"/>
      </w:pPr>
      <w:r>
        <w:rPr>
          <w:rFonts w:ascii="Trebuchet MS" w:hAnsi="Trebuchet MS" w:eastAsia="Trebuchet MS"/>
          <w:b w:val="0"/>
          <w:i w:val="0"/>
          <w:sz w:val="20"/>
        </w:rPr>
        <w:t>The authors declare no competing interests.</w:t>
      </w:r>
    </w:p>
    <w:p>
      <w:pPr>
        <w:spacing w:before="0" w:after="0" w:line="240" w:lineRule="auto"/>
      </w:pPr>
      <w:r>
        <w:rPr>
          <w:rFonts w:ascii="Trebuchet MS" w:hAnsi="Trebuchet MS" w:eastAsia="Trebuchet MS"/>
          <w:b/>
          <w:i w:val="0"/>
          <w:sz w:val="20"/>
        </w:rPr>
        <w:t>FUNDING</w:t>
      </w:r>
    </w:p>
    <w:p>
      <w:pPr>
        <w:spacing w:before="0" w:after="0" w:line="240" w:lineRule="auto"/>
        <w:jc w:val="both"/>
      </w:pPr>
      <w:r>
        <w:rPr>
          <w:rFonts w:ascii="Trebuchet MS" w:hAnsi="Trebuchet MS" w:eastAsia="Trebuchet MS"/>
          <w:b w:val="0"/>
          <w:i w:val="0"/>
          <w:sz w:val="20"/>
        </w:rPr>
        <w:t>No external funding was received.</w:t>
      </w:r>
    </w:p>
    <w:p/>
    <w:p>
      <w:pPr>
        <w:spacing w:before="0" w:after="0" w:line="240" w:lineRule="auto"/>
      </w:pPr>
      <w:r>
        <w:rPr>
          <w:rFonts w:ascii="Trebuchet MS" w:hAnsi="Trebuchet MS" w:eastAsia="Trebuchet MS"/>
          <w:b/>
          <w:i w:val="0"/>
          <w:sz w:val="20"/>
        </w:rPr>
        <w:t>REFERENCES</w:t>
      </w:r>
    </w:p>
    <w:p>
      <w:pPr>
        <w:spacing w:before="0" w:after="0" w:line="240" w:lineRule="auto"/>
        <w:ind w:left="360" w:hanging="360"/>
      </w:pPr>
      <w:r>
        <w:rPr>
          <w:rFonts w:ascii="Trebuchet MS" w:hAnsi="Trebuchet MS" w:eastAsia="Trebuchet MS"/>
          <w:b w:val="0"/>
          <w:i w:val="0"/>
          <w:sz w:val="18"/>
        </w:rPr>
        <w:t>1. World Health Organization. WHO Recommendations on Antenatal Care for a Positive Pregnancy Experience. Geneva: World Health Organization; 2016.</w:t>
      </w:r>
    </w:p>
    <w:p>
      <w:pPr>
        <w:spacing w:before="0" w:after="0" w:line="240" w:lineRule="auto"/>
        <w:ind w:left="360" w:hanging="360"/>
      </w:pPr>
      <w:r>
        <w:rPr>
          <w:rFonts w:ascii="Trebuchet MS" w:hAnsi="Trebuchet MS" w:eastAsia="Trebuchet MS"/>
          <w:b w:val="0"/>
          <w:i w:val="0"/>
          <w:sz w:val="18"/>
        </w:rPr>
        <w:t>2. Marshall NE, Abrams B, Barbour LA, et al. The importance of nutrition in pregnancy and lactation: lifelong consequences. Am J Obstet Gynecol 2022;226(5):607-32.</w:t>
      </w:r>
    </w:p>
    <w:p>
      <w:pPr>
        <w:spacing w:before="0" w:after="0" w:line="240" w:lineRule="auto"/>
        <w:ind w:left="360" w:hanging="360"/>
      </w:pPr>
      <w:r>
        <w:rPr>
          <w:rFonts w:ascii="Trebuchet MS" w:hAnsi="Trebuchet MS" w:eastAsia="Trebuchet MS"/>
          <w:b w:val="0"/>
          <w:i w:val="0"/>
          <w:sz w:val="18"/>
        </w:rPr>
        <w:t>3. Bekkhus M, Lee Y, Brandlistuen RE, et al. Maternal anxiety and infants' birthweight and length of gestation: a sibling design. BMC Psychiatry 2021;21(1):609.</w:t>
      </w:r>
    </w:p>
    <w:p>
      <w:pPr>
        <w:spacing w:before="0" w:after="0" w:line="240" w:lineRule="auto"/>
        <w:ind w:left="360" w:hanging="360"/>
      </w:pPr>
      <w:r>
        <w:rPr>
          <w:rFonts w:ascii="Trebuchet MS" w:hAnsi="Trebuchet MS" w:eastAsia="Trebuchet MS"/>
          <w:b w:val="0"/>
          <w:i w:val="0"/>
          <w:sz w:val="18"/>
        </w:rPr>
        <w:t>4. Zhou J, Zhang S, Xie RH, et al. Maternal pregnancy-related anxiety and children's physical growth: the Ma'anshan birth cohort study. BMC Pregnancy Childbirth 2023;23:384.</w:t>
      </w:r>
    </w:p>
    <w:p>
      <w:pPr>
        <w:spacing w:before="0" w:after="0" w:line="240" w:lineRule="auto"/>
        <w:ind w:left="360" w:hanging="360"/>
      </w:pPr>
      <w:r>
        <w:rPr>
          <w:rFonts w:ascii="Trebuchet MS" w:hAnsi="Trebuchet MS" w:eastAsia="Trebuchet MS"/>
          <w:b w:val="0"/>
          <w:i w:val="0"/>
          <w:sz w:val="18"/>
        </w:rPr>
        <w:t>5. World Health Organization. WHO Guide for Integration of Perinatal Mental Health in Maternal and Child Health Services. Geneva: World Health Organization; 2022.</w:t>
      </w:r>
    </w:p>
    <w:p>
      <w:pPr>
        <w:spacing w:before="0" w:after="0" w:line="240" w:lineRule="auto"/>
        <w:ind w:left="360" w:hanging="360"/>
      </w:pPr>
      <w:r>
        <w:rPr>
          <w:rFonts w:ascii="Trebuchet MS" w:hAnsi="Trebuchet MS" w:eastAsia="Trebuchet MS"/>
          <w:b w:val="0"/>
          <w:i w:val="0"/>
          <w:sz w:val="18"/>
        </w:rPr>
        <w:t>6. Giacobbi PR Jr, Siebert JL, Stewart J, et al. Feasibility and acceptability of guided imagery to sequentially reduce stress and anxiety among pregnant African American women. JMIR Form Res 2021;5(10):e26710.</w:t>
      </w:r>
    </w:p>
    <w:p>
      <w:pPr>
        <w:spacing w:before="0" w:after="0" w:line="240" w:lineRule="auto"/>
        <w:ind w:left="360" w:hanging="360"/>
      </w:pPr>
      <w:r>
        <w:rPr>
          <w:rFonts w:ascii="Trebuchet MS" w:hAnsi="Trebuchet MS" w:eastAsia="Trebuchet MS"/>
          <w:b w:val="0"/>
          <w:i w:val="0"/>
          <w:sz w:val="18"/>
        </w:rPr>
        <w:t>7. Hunter PJ, Nasanen-Gilmore PK, Muthiani Y, et al. A modular systematic review of antenatal interventions to address undernutrition during pregnancy in the prevention of low birth weight. Am J Clin Nutr 2023;117(6):1184-97.</w:t>
      </w:r>
    </w:p>
    <w:p>
      <w:pPr>
        <w:spacing w:before="0" w:after="0" w:line="240" w:lineRule="auto"/>
        <w:ind w:left="360" w:hanging="360"/>
      </w:pPr>
      <w:r>
        <w:rPr>
          <w:rFonts w:ascii="Trebuchet MS" w:hAnsi="Trebuchet MS" w:eastAsia="Trebuchet MS"/>
          <w:b w:val="0"/>
          <w:i w:val="0"/>
          <w:sz w:val="18"/>
        </w:rPr>
        <w:t>8. Sandonis MA, Becerra JA, Martinez-Paredes JF, et al. Impact of trait anxiety during pregnancy on birth weight: an observational cohort study. J Psychosom Obstet Gynaecol 2023;44(1):2241631.</w:t>
      </w:r>
    </w:p>
    <w:p>
      <w:pPr>
        <w:spacing w:before="0" w:after="0" w:line="240" w:lineRule="auto"/>
        <w:ind w:left="360" w:hanging="360"/>
      </w:pPr>
      <w:r>
        <w:rPr>
          <w:rFonts w:ascii="Trebuchet MS" w:hAnsi="Trebuchet MS" w:eastAsia="Trebuchet MS"/>
          <w:b w:val="0"/>
          <w:i w:val="0"/>
          <w:sz w:val="18"/>
        </w:rPr>
        <w:t>9. Wu Y, Zhang C, Liu H, et al. Perinatal depressive and anxiety symptoms of pregnant women during the coronavirus disease 2019 outbreak in China. Am J Obstet Gynecol 2020;223(2):240.e1-240.e9.</w:t>
      </w:r>
    </w:p>
    <w:p>
      <w:pPr>
        <w:spacing w:before="0" w:after="0" w:line="240" w:lineRule="auto"/>
        <w:ind w:left="360" w:hanging="360"/>
      </w:pPr>
      <w:r>
        <w:rPr>
          <w:rFonts w:ascii="Trebuchet MS" w:hAnsi="Trebuchet MS" w:eastAsia="Trebuchet MS"/>
          <w:b w:val="0"/>
          <w:i w:val="0"/>
          <w:sz w:val="18"/>
        </w:rPr>
        <w:t>10. Millard N, Renwick R, Froggatt C. Prenatal effects of maternal nutritional stress and mental health on the fetal movement profile. Arch Gynecol Obstet 2020;302(1):65-75.</w:t>
      </w:r>
    </w:p>
    <w:p>
      <w:pPr>
        <w:spacing w:before="0" w:after="0" w:line="240" w:lineRule="auto"/>
        <w:ind w:left="360" w:hanging="360"/>
      </w:pPr>
      <w:r>
        <w:rPr>
          <w:rFonts w:ascii="Trebuchet MS" w:hAnsi="Trebuchet MS" w:eastAsia="Trebuchet MS"/>
          <w:b w:val="0"/>
          <w:i w:val="0"/>
          <w:sz w:val="18"/>
        </w:rPr>
        <w:t>11. Li Y, Zhang C, Zhang D, et al. Association of maternal dietary patterns with birth weight and the mediation of gestational weight gain: a prospective birth cohort study. Front Nutr 2021;8:782011.</w:t>
      </w:r>
    </w:p>
    <w:p>
      <w:pPr>
        <w:spacing w:before="0" w:after="0" w:line="240" w:lineRule="auto"/>
        <w:ind w:left="360" w:hanging="360"/>
      </w:pPr>
      <w:r>
        <w:rPr>
          <w:rFonts w:ascii="Trebuchet MS" w:hAnsi="Trebuchet MS" w:eastAsia="Trebuchet MS"/>
          <w:b w:val="0"/>
          <w:i w:val="0"/>
          <w:sz w:val="18"/>
        </w:rPr>
        <w:t>12. Suparno AU, Budihastuti UR, Murti B. Meta-analysis: the effect of anxiety during pregnancy on the risk of premature birth and low birth weight in infants. J Matern Child Health 2021;6(5):580-91.</w:t>
      </w:r>
    </w:p>
    <w:p>
      <w:pPr>
        <w:spacing w:before="0" w:after="0" w:line="240" w:lineRule="auto"/>
        <w:ind w:left="360" w:hanging="360"/>
      </w:pPr>
      <w:r>
        <w:rPr>
          <w:rFonts w:ascii="Trebuchet MS" w:hAnsi="Trebuchet MS" w:eastAsia="Trebuchet MS"/>
          <w:b w:val="0"/>
          <w:i w:val="0"/>
          <w:sz w:val="18"/>
        </w:rPr>
        <w:t>13. Ariestanti Y, Widayati T, Sulistyowati Y. Determinants of antenatal care utilization among pregnant women during the COVID-19 pandemic. J Bidang Ilmu Kesehat 2020;10(2):203-16.</w:t>
      </w:r>
    </w:p>
    <w:p>
      <w:pPr>
        <w:spacing w:before="0" w:after="0" w:line="240" w:lineRule="auto"/>
        <w:ind w:left="360" w:hanging="360"/>
      </w:pPr>
      <w:r>
        <w:rPr>
          <w:rFonts w:ascii="Trebuchet MS" w:hAnsi="Trebuchet MS" w:eastAsia="Trebuchet MS"/>
          <w:b w:val="0"/>
          <w:i w:val="0"/>
          <w:sz w:val="18"/>
        </w:rPr>
        <w:t>14. Melyana I, Widyawati N. The effect of guided imagery on anxiety and depression among pregnant women during the COVID-19 pandemic. J Midwifery 2023;12(1):11-9.</w:t>
      </w:r>
    </w:p>
    <w:p>
      <w:pPr>
        <w:spacing w:before="0" w:after="0" w:line="240" w:lineRule="auto"/>
        <w:ind w:left="360" w:hanging="360"/>
      </w:pPr>
      <w:r>
        <w:rPr>
          <w:rFonts w:ascii="Trebuchet MS" w:hAnsi="Trebuchet MS" w:eastAsia="Trebuchet MS"/>
          <w:b w:val="0"/>
          <w:i w:val="0"/>
          <w:sz w:val="18"/>
        </w:rPr>
        <w:t>15. Wulandari P, Sofitamia A, Kustriyani M. The effect of guided imagery on anxiety levels among third-trimester pregnant women. Media Keperawatan Indones 2019;2(1):29-37.</w:t>
      </w:r>
    </w:p>
    <w:p>
      <w:pPr>
        <w:spacing w:before="0" w:after="0" w:line="240" w:lineRule="auto"/>
        <w:ind w:left="360" w:hanging="360"/>
      </w:pPr>
      <w:r>
        <w:rPr>
          <w:rFonts w:ascii="Trebuchet MS" w:hAnsi="Trebuchet MS" w:eastAsia="Trebuchet MS"/>
          <w:b w:val="0"/>
          <w:i w:val="0"/>
          <w:sz w:val="18"/>
        </w:rPr>
        <w:t>16. Thompson DS, Younger-Coleman NO, Lyew-Ayee P, et al. Socioeconomic factors associated with severe acute malnutrition in Jamaica. PLoS One 2017;12(3):e0173101.</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ebuchet MS" w:hAnsi="Trebuchet MS" w:eastAsia="Trebuchet M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rebuchet MS" w:hAnsi="Trebuchet MS" w:eastAsia="Trebuchet MS"/>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rebuchet MS" w:hAnsi="Trebuchet MS" w:eastAsia="Trebuchet M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rebuchet MS" w:hAnsi="Trebuchet MS" w:eastAsia="Trebuchet M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