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BDC2" w14:textId="77777777" w:rsidR="006A5F4F" w:rsidRDefault="00000000">
      <w:pPr>
        <w:spacing w:after="240" w:line="360" w:lineRule="auto"/>
        <w:jc w:val="center"/>
      </w:pPr>
      <w:r>
        <w:rPr>
          <w:sz w:val="28"/>
        </w:rPr>
        <w:t xml:space="preserve">Hyperbaric oxygen therapy improves spatial working memory in a </w:t>
      </w:r>
      <w:r>
        <w:rPr>
          <w:i/>
          <w:sz w:val="28"/>
        </w:rPr>
        <w:t>Porphyromonas gingivalis</w:t>
      </w:r>
      <w:r>
        <w:rPr>
          <w:sz w:val="28"/>
        </w:rPr>
        <w:t>-induced periodontitis rat model</w:t>
      </w:r>
    </w:p>
    <w:p w14:paraId="012F64FE" w14:textId="77777777" w:rsidR="006A5F4F" w:rsidRDefault="00000000">
      <w:pPr>
        <w:jc w:val="center"/>
      </w:pPr>
      <w:r>
        <w:rPr>
          <w:sz w:val="28"/>
        </w:rPr>
        <w:t xml:space="preserve">Terapia hiperbárica com oxigênio melhora a memória espacial de trabalho em modelo de periodontite induzida por </w:t>
      </w:r>
      <w:r>
        <w:rPr>
          <w:i/>
          <w:sz w:val="28"/>
        </w:rPr>
        <w:t>Porphyromonas gingivalis</w:t>
      </w:r>
      <w:r>
        <w:rPr>
          <w:sz w:val="28"/>
        </w:rPr>
        <w:t xml:space="preserve"> em ratos</w:t>
      </w:r>
    </w:p>
    <w:p w14:paraId="12420984" w14:textId="77777777" w:rsidR="006A5F4F" w:rsidRDefault="00000000">
      <w:pPr>
        <w:pStyle w:val="Heading1"/>
        <w:spacing w:before="240"/>
      </w:pPr>
      <w:r>
        <w:t>Abstract:</w:t>
      </w:r>
    </w:p>
    <w:p w14:paraId="0A73CB00" w14:textId="77777777" w:rsidR="006A5F4F" w:rsidRDefault="00000000">
      <w:pPr>
        <w:spacing w:after="120" w:line="360" w:lineRule="auto"/>
        <w:jc w:val="both"/>
        <w:rPr>
          <w:sz w:val="28"/>
        </w:rPr>
      </w:pPr>
      <w:r w:rsidRPr="00BF03DF">
        <w:rPr>
          <w:b/>
          <w:bCs/>
          <w:sz w:val="28"/>
        </w:rPr>
        <w:t>Background:</w:t>
      </w:r>
      <w:r>
        <w:rPr>
          <w:sz w:val="28"/>
        </w:rPr>
        <w:t xml:space="preserve">  Periodontal infection by </w:t>
      </w:r>
      <w:r>
        <w:rPr>
          <w:i/>
          <w:sz w:val="28"/>
        </w:rPr>
        <w:t>Porphyromonas gingivalis</w:t>
      </w:r>
      <w:r>
        <w:rPr>
          <w:sz w:val="28"/>
        </w:rPr>
        <w:t xml:space="preserve"> may contribute to systemic inflammation and cognitive-related behavioral impairment. </w:t>
      </w:r>
      <w:r w:rsidRPr="00BF03DF">
        <w:rPr>
          <w:b/>
          <w:bCs/>
          <w:sz w:val="28"/>
        </w:rPr>
        <w:t>Objective:</w:t>
      </w:r>
      <w:r>
        <w:rPr>
          <w:sz w:val="28"/>
        </w:rPr>
        <w:t xml:space="preserve">  This study evaluated the effect of hyperbaric oxygen therapy on spatial working memory in a </w:t>
      </w:r>
      <w:r>
        <w:rPr>
          <w:i/>
          <w:sz w:val="28"/>
        </w:rPr>
        <w:t>Porphyromonas gingivalis</w:t>
      </w:r>
      <w:r>
        <w:rPr>
          <w:sz w:val="28"/>
        </w:rPr>
        <w:t xml:space="preserve">-induced periodontitis rat model. </w:t>
      </w:r>
      <w:r w:rsidRPr="00BF03DF">
        <w:rPr>
          <w:b/>
          <w:bCs/>
          <w:sz w:val="28"/>
        </w:rPr>
        <w:t>Material and Methods:</w:t>
      </w:r>
      <w:r>
        <w:rPr>
          <w:sz w:val="28"/>
        </w:rPr>
        <w:t xml:space="preserve">  Twenty-two male Sprague-Dawley rats were assigned to control and treatment groups, with 11 rats in each group. Experimental periodontitis was induced in the treatment group by gingival injection of </w:t>
      </w:r>
      <w:r>
        <w:rPr>
          <w:i/>
          <w:sz w:val="28"/>
        </w:rPr>
        <w:t>P. gingivalis</w:t>
      </w:r>
      <w:r>
        <w:rPr>
          <w:sz w:val="28"/>
        </w:rPr>
        <w:t xml:space="preserve"> suspension at 1 × 10⁹ CFU/mL every two days for five weeks. After induction, the treatment group received hyperbaric oxygen therapy at 2.0 atmospheres absolute for 60 minutes per session, five times per week for four consecutive weeks. Spatial working memory was assessed using the Y-maze spontaneous alternation test at baseline, week 5, and week 9. Data were analyzed using repeated-measures analysis of variance, paired t-test, Friedman test, and Wilcoxon signed-rank test, with statistical significance set at 0.05. </w:t>
      </w:r>
      <w:r w:rsidRPr="00BF03DF">
        <w:rPr>
          <w:b/>
          <w:bCs/>
          <w:sz w:val="28"/>
        </w:rPr>
        <w:t>Results:</w:t>
      </w:r>
      <w:r>
        <w:rPr>
          <w:sz w:val="28"/>
        </w:rPr>
        <w:t xml:space="preserve">  In the treatment group, spontaneous alternation decreased from 68.02 ± 1.67 at baseline to 32.01 ± 24.71 at week 5 and increased to 52.09 ± 14.03 at week 9. The control group showed no significant change over time. </w:t>
      </w:r>
      <w:r w:rsidRPr="00BF03DF">
        <w:rPr>
          <w:b/>
          <w:bCs/>
          <w:sz w:val="28"/>
        </w:rPr>
        <w:t>Conclusions:</w:t>
      </w:r>
      <w:r>
        <w:rPr>
          <w:sz w:val="28"/>
        </w:rPr>
        <w:t xml:space="preserve">  </w:t>
      </w:r>
      <w:r>
        <w:rPr>
          <w:i/>
          <w:sz w:val="28"/>
        </w:rPr>
        <w:t>P. gingivalis</w:t>
      </w:r>
      <w:r>
        <w:rPr>
          <w:sz w:val="28"/>
        </w:rPr>
        <w:t>-induced periodontitis was associated with impaired spatial working memory, while hyperbaric oxygen therapy was associated with partial improvement in Y-maze performance.</w:t>
      </w:r>
    </w:p>
    <w:p w14:paraId="173F66E7" w14:textId="77777777" w:rsidR="006A5F4F" w:rsidRPr="008A7E18" w:rsidRDefault="00000000" w:rsidP="008A7E18">
      <w:pPr>
        <w:jc w:val="both"/>
      </w:pPr>
      <w:r w:rsidRPr="008A7E18">
        <w:rPr>
          <w:sz w:val="28"/>
        </w:rPr>
        <w:t>Resumo:</w:t>
      </w:r>
      <w:r w:rsidRPr="008A7E18">
        <w:rPr>
          <w:sz w:val="28"/>
        </w:rPr>
        <w:br/>
        <w:t xml:space="preserve">Background: A infecção periodontal por </w:t>
      </w:r>
      <w:r w:rsidRPr="008A7E18">
        <w:rPr>
          <w:i/>
          <w:sz w:val="28"/>
        </w:rPr>
        <w:t>Porphyromonas gingivalis</w:t>
      </w:r>
      <w:r w:rsidRPr="008A7E18">
        <w:rPr>
          <w:sz w:val="28"/>
        </w:rPr>
        <w:t xml:space="preserve"> pode contribuir para inflamação sistêmica e prejuízo comportamental relacionado à cognição. Objective: Este estudo avaliou o efeito da terapia hiperbárica com oxigênio sobre a memória espacial de trabalho em um modelo de periodontite </w:t>
      </w:r>
      <w:r w:rsidRPr="008A7E18">
        <w:rPr>
          <w:sz w:val="28"/>
        </w:rPr>
        <w:lastRenderedPageBreak/>
        <w:t xml:space="preserve">induzida por </w:t>
      </w:r>
      <w:r w:rsidRPr="008A7E18">
        <w:rPr>
          <w:i/>
          <w:sz w:val="28"/>
        </w:rPr>
        <w:t>Porphyromonas gingivalis</w:t>
      </w:r>
      <w:r w:rsidRPr="008A7E18">
        <w:rPr>
          <w:sz w:val="28"/>
        </w:rPr>
        <w:t xml:space="preserve"> em ratos. Material and Methods: Vinte e dois ratos machos Sprague-Dawley foram alocados em grupos controle e tratamento, com 11 animais em cada grupo. A periodontite experimental foi induzida no grupo tratamento por injeção gengival de suspensão de </w:t>
      </w:r>
      <w:r w:rsidRPr="008A7E18">
        <w:rPr>
          <w:i/>
          <w:sz w:val="28"/>
        </w:rPr>
        <w:t>P. gingivalis</w:t>
      </w:r>
      <w:r w:rsidRPr="008A7E18">
        <w:rPr>
          <w:sz w:val="28"/>
        </w:rPr>
        <w:t xml:space="preserve"> na concentração de 1 × 10⁹ CFU/mL a cada dois dias por cinco semanas. Após a indução, o grupo tratamento recebeu terapia hiperbárica com oxigênio a 2,0 atmosferas absolutas por 60 minutos por sessão, cinco vezes por semana, durante quatro semanas consecutivas. A memória espacial de trabalho foi avaliada pelo teste de alternância espontânea no labirinto em Y no início do estudo, na semana 5 e na semana 9. Os dados foram analisados por análise de variância de medidas repetidas, teste t pareado, teste de Friedman e teste de postos sinalizados de Wilcoxon, com nível de significância de 0,05. Results: No grupo tratamento, a alternância espontânea diminuiu de 68,02 ± 1,67 no início do estudo para 32,01 ± 24,71 na semana 5 e aumentou para 52,09 ± 14,03 na semana 9. O grupo controle não apresentou alteração significativa ao longo do tempo. Conclusions: A periodontite induzida por </w:t>
      </w:r>
      <w:r w:rsidRPr="008A7E18">
        <w:rPr>
          <w:i/>
          <w:sz w:val="28"/>
        </w:rPr>
        <w:t>P. gingivalis</w:t>
      </w:r>
      <w:r w:rsidRPr="008A7E18">
        <w:rPr>
          <w:sz w:val="28"/>
        </w:rPr>
        <w:t xml:space="preserve"> foi associada ao comprometimento da memória espacial de trabalho, enquanto a terapia hiperbárica com oxigênio foi associada à melhora parcial do desempenho no labirinto em Y.</w:t>
      </w:r>
    </w:p>
    <w:p w14:paraId="765B67F8" w14:textId="77777777" w:rsidR="006A5F4F" w:rsidRPr="008A7E18" w:rsidRDefault="00000000" w:rsidP="008A7E18">
      <w:pPr>
        <w:spacing w:after="240" w:line="360" w:lineRule="auto"/>
        <w:jc w:val="both"/>
      </w:pPr>
      <w:r w:rsidRPr="008A7E18">
        <w:rPr>
          <w:sz w:val="28"/>
        </w:rPr>
        <w:t xml:space="preserve">Keywords: hyperbaric oxygenation; memory, short-term; periodontitis; </w:t>
      </w:r>
      <w:r w:rsidRPr="008A7E18">
        <w:rPr>
          <w:i/>
          <w:sz w:val="28"/>
        </w:rPr>
        <w:t>porphyromonas gingivalis</w:t>
      </w:r>
      <w:r w:rsidRPr="008A7E18">
        <w:rPr>
          <w:sz w:val="28"/>
        </w:rPr>
        <w:t>; rats, sprague-dawley; spatial behavior.</w:t>
      </w:r>
    </w:p>
    <w:p w14:paraId="2BB0988F" w14:textId="77777777" w:rsidR="006A5F4F" w:rsidRPr="008A7E18" w:rsidRDefault="00000000" w:rsidP="008A7E18">
      <w:pPr>
        <w:jc w:val="both"/>
      </w:pPr>
      <w:r w:rsidRPr="008A7E18">
        <w:rPr>
          <w:sz w:val="28"/>
        </w:rPr>
        <w:t xml:space="preserve">Palavras-chave: oxigenação hiperbárica; memória de curta duração; periodontite; </w:t>
      </w:r>
      <w:r w:rsidRPr="008A7E18">
        <w:rPr>
          <w:i/>
          <w:sz w:val="28"/>
        </w:rPr>
        <w:t>porphyromonas gingivalis</w:t>
      </w:r>
      <w:r w:rsidRPr="008A7E18">
        <w:rPr>
          <w:sz w:val="28"/>
        </w:rPr>
        <w:t>; ratos sprague-dawley; comportamento espacial.</w:t>
      </w:r>
    </w:p>
    <w:p w14:paraId="30D960C5" w14:textId="77777777" w:rsidR="006A5F4F" w:rsidRDefault="00000000">
      <w:pPr>
        <w:pStyle w:val="Heading1"/>
        <w:spacing w:before="240"/>
      </w:pPr>
      <w:r>
        <w:t>Introduction</w:t>
      </w:r>
    </w:p>
    <w:p w14:paraId="1E622F99" w14:textId="77777777" w:rsidR="006A5F4F" w:rsidRDefault="00000000">
      <w:pPr>
        <w:spacing w:after="120" w:line="360" w:lineRule="auto"/>
        <w:ind w:firstLine="425"/>
        <w:jc w:val="both"/>
      </w:pPr>
      <w:r>
        <w:t xml:space="preserve">Periodontitis is a chronic inflammatory disease that affects the supporting tissues of the teeth and remains one of the major causes of tooth loss worldwide. The disease is initiated and sustained by a dysbiotic subgingival biofilm, followed by an exaggerated host inflammatory response that contributes to periodontal tissue destruction, alveolar bone resorption, and progressive impairment of oral health. Among the major periodontal pathogens, </w:t>
      </w:r>
      <w:r>
        <w:rPr>
          <w:i/>
        </w:rPr>
        <w:t>Porphyromonas gingivalis</w:t>
      </w:r>
      <w:r>
        <w:t xml:space="preserve"> has received considerable attention because of its ability to disrupt host-microbial homeostasis and promote both local and systemic inflammatory responses. As a Gram-negative anaerobic bacterium, </w:t>
      </w:r>
      <w:r>
        <w:rPr>
          <w:i/>
        </w:rPr>
        <w:t>P. gingivalis</w:t>
      </w:r>
      <w:r>
        <w:t xml:space="preserve"> produces several virulence factors, including lipopolysaccharide, fimbriae, outer membrane vesicles, </w:t>
      </w:r>
      <w:r>
        <w:lastRenderedPageBreak/>
        <w:t>and gingipain proteases, which play important roles in periodontal tissue damage and immune modulation [1,2].</w:t>
      </w:r>
    </w:p>
    <w:p w14:paraId="37C8C5BE" w14:textId="77777777" w:rsidR="006A5F4F" w:rsidRDefault="00000000">
      <w:pPr>
        <w:spacing w:after="120" w:line="360" w:lineRule="auto"/>
        <w:ind w:firstLine="425"/>
        <w:jc w:val="both"/>
      </w:pPr>
      <w:r>
        <w:t xml:space="preserve">Beyond its established role in periodontal destruction, </w:t>
      </w:r>
      <w:r>
        <w:rPr>
          <w:i/>
        </w:rPr>
        <w:t>P. gingivalis</w:t>
      </w:r>
      <w:r>
        <w:t xml:space="preserve"> has increasingly been implicated in systemic conditions through mechanisms involving microbial dissemination, endotoxemia, and persistent low-grade inflammation. Periodontal infection may facilitate the translocation of bacterial products and inflammatory mediators into the systemic circulation, thereby affecting distant organs. This concept has strengthened the relevance of the oral-systemic axis in dental research, particularly in relation to cardiovascular, metabolic, and neurological disorders [3]. In this context, the potential association between periodontal pathogens and cognitive dysfunction has become an emerging area of interest, suggesting that chronic oral infection may contribute to neuroinflammatory processes that influence brain function.</w:t>
      </w:r>
    </w:p>
    <w:p w14:paraId="2C56D69A" w14:textId="77777777" w:rsidR="006A5F4F" w:rsidRDefault="00000000">
      <w:pPr>
        <w:spacing w:after="120" w:line="360" w:lineRule="auto"/>
        <w:ind w:firstLine="425"/>
        <w:jc w:val="both"/>
      </w:pPr>
      <w:r>
        <w:t xml:space="preserve">Cognitive impairment involves disturbances in memory, attention, and executive function, and may range from mild cognitive deficits to more severe neurodegenerative conditions. Several experimental and clinical studies have suggested that periodontal infection and </w:t>
      </w:r>
      <w:r>
        <w:rPr>
          <w:i/>
        </w:rPr>
        <w:t>P. gingivalis</w:t>
      </w:r>
      <w:r>
        <w:t xml:space="preserve">-derived virulence factors may be associated with cognitive decline. Gingipains and lipopolysaccharide produced by </w:t>
      </w:r>
      <w:r>
        <w:rPr>
          <w:i/>
        </w:rPr>
        <w:t>P. gingivalis</w:t>
      </w:r>
      <w:r>
        <w:t xml:space="preserve"> may contribute to systemic inflammation, endothelial dysfunction, and altered blood-brain barrier integrity. These processes may allow inflammatory mediators or bacterial components to affect the central nervous system and induce neuroinflammatory responses, particularly in brain regions involved in learning and memory, such as the hippocampus [4,5].</w:t>
      </w:r>
    </w:p>
    <w:p w14:paraId="1A739DDA" w14:textId="77777777" w:rsidR="006A5F4F" w:rsidRDefault="00000000">
      <w:pPr>
        <w:spacing w:after="120" w:line="360" w:lineRule="auto"/>
        <w:ind w:firstLine="425"/>
        <w:jc w:val="both"/>
      </w:pPr>
      <w:r>
        <w:t xml:space="preserve">The possible pathways linking </w:t>
      </w:r>
      <w:r>
        <w:rPr>
          <w:i/>
        </w:rPr>
        <w:t>P. gingivalis</w:t>
      </w:r>
      <w:r>
        <w:t xml:space="preserve">-associated periodontitis to cognitive impairment include hematogenous dissemination of bacterial components, inflammatory cytokine-mediated disruption of endothelial barriers, and neural communication through cranial nerves such as the trigeminal nerve. Activation of immune signaling pathways by </w:t>
      </w:r>
      <w:r>
        <w:rPr>
          <w:i/>
        </w:rPr>
        <w:t>P. gingivalis</w:t>
      </w:r>
      <w:r>
        <w:t xml:space="preserve"> lipopolysaccharide and gingipain may increase the production of pro-inflammatory cytokines, including interleukin-1β, tumor necrosis factor-α, and interleukin-6. These mediators have been associated with blood-brain barrier dysfunction, microglial activation, oxidative stress, and impaired synaptic function. Although the exact mechanisms remain incompletely understood, these findings support the concept that chronic periodontal infection may influence cognitive function through the oral-brain axis [6-8].</w:t>
      </w:r>
    </w:p>
    <w:p w14:paraId="607B67BF" w14:textId="77777777" w:rsidR="006A5F4F" w:rsidRDefault="00000000">
      <w:pPr>
        <w:spacing w:after="120" w:line="360" w:lineRule="auto"/>
        <w:ind w:firstLine="425"/>
        <w:jc w:val="both"/>
      </w:pPr>
      <w:r>
        <w:t xml:space="preserve">Hyperbaric oxygen therapy is a therapeutic approach that delivers 100% oxygen under increased atmospheric pressure, thereby increasing oxygen availability in tissues. It has been reported to modulate inflammatory responses, improve tissue oxygenation, reduce </w:t>
      </w:r>
      <w:r>
        <w:lastRenderedPageBreak/>
        <w:t>oxidative injury, and support tissue repair. In experimental models of neurological injury, hyperbaric oxygen therapy has shown potential benefits in improving cognitive and behavioral outcomes. These effects are thought to be related to enhanced oxygen diffusion, reduced inflammatory signaling, improved microcirculation, and possible stabilization of barrier function [9-11]. However, its potential role in mitigating cognitive impairment associated with periodontal pathogen-induced inflammation remains insufficiently explored.</w:t>
      </w:r>
    </w:p>
    <w:p w14:paraId="7947E306" w14:textId="77777777" w:rsidR="006A5F4F" w:rsidRDefault="00000000">
      <w:pPr>
        <w:spacing w:after="120" w:line="360" w:lineRule="auto"/>
        <w:ind w:firstLine="425"/>
        <w:jc w:val="both"/>
      </w:pPr>
      <w:r>
        <w:t xml:space="preserve">Although previous studies have investigated the systemic effects of </w:t>
      </w:r>
      <w:r>
        <w:rPr>
          <w:i/>
        </w:rPr>
        <w:t>P. gingivalis</w:t>
      </w:r>
      <w:r>
        <w:t xml:space="preserve"> infection and the neuroprotective potential of hyperbaric oxygen therapy separately, limited evidence is available regarding its effect on behavioral impairment associated with experimental periodontitis. Understanding this relationship is relevant for oral science because it expands the perspective of periodontitis beyond local periodontal destruction and highlights its possible systemic consequences. Therefore, this study aimed to evaluate the effect of hyperbaric oxygen therapy on spatial working memory in a </w:t>
      </w:r>
      <w:r>
        <w:rPr>
          <w:i/>
        </w:rPr>
        <w:t>P. gingivalis</w:t>
      </w:r>
      <w:r>
        <w:t xml:space="preserve">-induced periodontitis rat model using the Y-maze spontaneous alternation test. The study hypothesis was that hyperbaric oxygen therapy would improve spatial working memory after </w:t>
      </w:r>
      <w:r>
        <w:rPr>
          <w:i/>
        </w:rPr>
        <w:t>P. gingivalis</w:t>
      </w:r>
      <w:r>
        <w:t>-induced periodontitis.</w:t>
      </w:r>
    </w:p>
    <w:p w14:paraId="55DD58CF" w14:textId="77777777" w:rsidR="006A5F4F" w:rsidRDefault="00000000">
      <w:pPr>
        <w:pStyle w:val="Heading1"/>
        <w:spacing w:before="240"/>
      </w:pPr>
      <w:r>
        <w:t>Material &amp; Methods</w:t>
      </w:r>
    </w:p>
    <w:p w14:paraId="27A4F250" w14:textId="77777777" w:rsidR="006A5F4F" w:rsidRDefault="00000000">
      <w:pPr>
        <w:pStyle w:val="Heading2"/>
        <w:spacing w:before="120"/>
      </w:pPr>
      <w:r>
        <w:t>Study design and ethical approval</w:t>
      </w:r>
    </w:p>
    <w:p w14:paraId="7DF0BD3A" w14:textId="77777777" w:rsidR="006A5F4F" w:rsidRDefault="00000000">
      <w:pPr>
        <w:spacing w:after="120" w:line="360" w:lineRule="auto"/>
        <w:ind w:firstLine="425"/>
        <w:jc w:val="both"/>
      </w:pPr>
      <w:r>
        <w:t xml:space="preserve">This experimental animal study was conducted to evaluate the effect of hyperbaric oxygen therapy on spatial working memory in a </w:t>
      </w:r>
      <w:r>
        <w:rPr>
          <w:i/>
        </w:rPr>
        <w:t>P. gingivalis</w:t>
      </w:r>
      <w:r>
        <w:t>-induced periodontitis rat model. The study protocol was reviewed and approved by the Institutional Research Ethics Committee (approval number: EC/101/KEPK-FKGUHT/X/2024). All procedures involving animals were performed in accordance with institutional guidelines for the care and use of laboratory animals.</w:t>
      </w:r>
    </w:p>
    <w:p w14:paraId="179855EE" w14:textId="77777777" w:rsidR="006A5F4F" w:rsidRDefault="00000000">
      <w:pPr>
        <w:pStyle w:val="Heading2"/>
        <w:spacing w:before="120"/>
      </w:pPr>
      <w:r>
        <w:t>Animals and housing conditions</w:t>
      </w:r>
    </w:p>
    <w:p w14:paraId="4A2548AD" w14:textId="77777777" w:rsidR="006A5F4F" w:rsidRDefault="00000000">
      <w:pPr>
        <w:spacing w:after="120" w:line="360" w:lineRule="auto"/>
        <w:ind w:firstLine="425"/>
        <w:jc w:val="both"/>
      </w:pPr>
      <w:r>
        <w:t>A total of 22 male Sprague-Dawley rats, aged 10 weeks and weighing 150-180 g, were used in this study. The animals were divided into two groups: control and treatment groups, with 11 rats in each group. Before the experimental procedures, all animals underwent a one-week acclimatization period under controlled environmental conditions, including temperature of 18-26 °C, relative humidity of 30-70%, and a 12-hour light-dark cycle. The animals were housed in standard laboratory cages and provided pellet diet and drinking water ad libitum.</w:t>
      </w:r>
    </w:p>
    <w:p w14:paraId="1361FE0D" w14:textId="77777777" w:rsidR="006A5F4F" w:rsidRDefault="00000000">
      <w:pPr>
        <w:spacing w:after="120" w:line="360" w:lineRule="auto"/>
        <w:ind w:firstLine="425"/>
        <w:jc w:val="both"/>
      </w:pPr>
      <w:r>
        <w:lastRenderedPageBreak/>
        <w:t>Animals were included if they were clinically healthy based on veterinary examination and showed normal physiological characteristics, including smooth fur, clear eyes, normal activity, good appetite, firm feces, and normal social behavior. Animals with congenital abnormalities or clinical signs of illness during acclimatization were excluded. Animals that died during the experimental period were considered dropouts and excluded from the final analysis.</w:t>
      </w:r>
    </w:p>
    <w:p w14:paraId="315BED19" w14:textId="77777777" w:rsidR="006A5F4F" w:rsidRDefault="00000000">
      <w:pPr>
        <w:pStyle w:val="Heading2"/>
        <w:spacing w:before="120"/>
      </w:pPr>
      <w:r>
        <w:t>Experimental groups</w:t>
      </w:r>
    </w:p>
    <w:p w14:paraId="2EA3B0A6" w14:textId="77777777" w:rsidR="006A5F4F" w:rsidRDefault="00000000">
      <w:pPr>
        <w:spacing w:after="120" w:line="360" w:lineRule="auto"/>
        <w:ind w:firstLine="425"/>
        <w:jc w:val="both"/>
      </w:pPr>
      <w:r>
        <w:t xml:space="preserve">The animals were allocated into two groups. The control group did not receive </w:t>
      </w:r>
      <w:r>
        <w:rPr>
          <w:i/>
        </w:rPr>
        <w:t>P. gingivalis</w:t>
      </w:r>
      <w:r>
        <w:t xml:space="preserve"> induction or hyperbaric oxygen therapy. The treatment group received </w:t>
      </w:r>
      <w:r>
        <w:rPr>
          <w:i/>
        </w:rPr>
        <w:t>P. gingivalis</w:t>
      </w:r>
      <w:r>
        <w:t xml:space="preserve"> induction to establish experimental periodontitis, followed by hyperbaric oxygen therapy. Spatial working memory was assessed in both groups at baseline before induction, week 5 after </w:t>
      </w:r>
      <w:r>
        <w:rPr>
          <w:i/>
        </w:rPr>
        <w:t>P. gingivalis</w:t>
      </w:r>
      <w:r>
        <w:t xml:space="preserve"> induction, and week 9 after completion of hyperbaric oxygen therapy.</w:t>
      </w:r>
    </w:p>
    <w:p w14:paraId="58BC9E9B" w14:textId="77777777" w:rsidR="006A5F4F" w:rsidRDefault="00000000">
      <w:pPr>
        <w:pStyle w:val="Heading2"/>
        <w:spacing w:before="120"/>
      </w:pPr>
      <w:r>
        <w:t>Induction of experimental periodontitis</w:t>
      </w:r>
    </w:p>
    <w:p w14:paraId="571D7307" w14:textId="77777777" w:rsidR="006A5F4F" w:rsidRDefault="00000000">
      <w:pPr>
        <w:spacing w:after="120" w:line="360" w:lineRule="auto"/>
        <w:ind w:firstLine="425"/>
        <w:jc w:val="both"/>
      </w:pPr>
      <w:r>
        <w:t xml:space="preserve">Experimental periodontitis was induced in the treatment group using </w:t>
      </w:r>
      <w:r>
        <w:rPr>
          <w:i/>
        </w:rPr>
        <w:t>Porphyromonas gingivalis</w:t>
      </w:r>
      <w:r>
        <w:t xml:space="preserve"> ATCC 33277 PK/5. Bacterial suspension was prepared at a concentration of 1 × 10⁹ CFU/mL. A volume of 3 μL of the bacterial suspension was injected into the gingival tissue of the mandibular second molar region on both the right and left sides using a 5 μL microsyringe (Hamilton Company, Reno, NV, USA).</w:t>
      </w:r>
    </w:p>
    <w:p w14:paraId="1FD2C1C4" w14:textId="77777777" w:rsidR="006A5F4F" w:rsidRDefault="00000000">
      <w:pPr>
        <w:spacing w:after="120" w:line="360" w:lineRule="auto"/>
        <w:ind w:firstLine="425"/>
        <w:jc w:val="both"/>
      </w:pPr>
      <w:r>
        <w:t>The injection was performed every two days for five consecutive weeks to establish chronic periodontal infection. This protocol was adapted from a previously described experimental periodontitis model [12].</w:t>
      </w:r>
    </w:p>
    <w:p w14:paraId="73603718" w14:textId="77777777" w:rsidR="006A5F4F" w:rsidRDefault="00000000">
      <w:pPr>
        <w:pStyle w:val="Heading2"/>
        <w:spacing w:before="120"/>
      </w:pPr>
      <w:r>
        <w:t>Hyperbaric oxygen therapy protocol</w:t>
      </w:r>
    </w:p>
    <w:p w14:paraId="4D2E8B14" w14:textId="77777777" w:rsidR="006A5F4F" w:rsidRDefault="00000000">
      <w:pPr>
        <w:spacing w:after="120" w:line="360" w:lineRule="auto"/>
        <w:ind w:firstLine="425"/>
        <w:jc w:val="both"/>
      </w:pPr>
      <w:r>
        <w:t>After the five-week induction period, rats in the treatment group received hyperbaric oxygen therapy using a hyperbaric chamber pressurized to 2.0 atmospheres absolute with 100% medical oxygen. The protocol consisted of gradual compression, therapeutic oxygen exposure, and controlled decompression.</w:t>
      </w:r>
    </w:p>
    <w:p w14:paraId="0D9A65BF" w14:textId="77777777" w:rsidR="006A5F4F" w:rsidRDefault="00000000">
      <w:pPr>
        <w:spacing w:after="120" w:line="360" w:lineRule="auto"/>
        <w:ind w:firstLine="425"/>
        <w:jc w:val="both"/>
      </w:pPr>
      <w:r>
        <w:t>Compression was performed gradually at a rate of 0.1 atmospheres absolute/minute until the chamber reached 2.0 atmospheres absolute. Therapeutic exposure was administered for 60 minutes per session and divided into two 30-minute oxygen exposure periods separated by a 5-minute interval at target pressure. Decompression was then performed at a rate of 0.1 atmospheres absolute/minute to minimize the risk of barotrauma.</w:t>
      </w:r>
    </w:p>
    <w:p w14:paraId="773DFDF1" w14:textId="77777777" w:rsidR="006A5F4F" w:rsidRDefault="00000000">
      <w:pPr>
        <w:spacing w:after="120" w:line="360" w:lineRule="auto"/>
        <w:ind w:firstLine="425"/>
        <w:jc w:val="both"/>
      </w:pPr>
      <w:r>
        <w:t xml:space="preserve">Before each session, the animals were fasted for 4-6 hours and underwent brief physical observation to ensure suitability for therapy. During exposure, the animals were continuously </w:t>
      </w:r>
      <w:r>
        <w:lastRenderedPageBreak/>
        <w:t>monitored through the chamber window. The session was terminated if signs of severe distress were observed. After each session, the animals were transferred to a recovery cage and observed for approximately 30 minutes. Hyperbaric oxygen therapy was administered five times per week for four consecutive weeks.</w:t>
      </w:r>
    </w:p>
    <w:p w14:paraId="2043F12D" w14:textId="77777777" w:rsidR="006A5F4F" w:rsidRDefault="00000000">
      <w:pPr>
        <w:pStyle w:val="Heading2"/>
        <w:spacing w:before="120"/>
      </w:pPr>
      <w:r>
        <w:t>Y-maze spontaneous alternation test</w:t>
      </w:r>
    </w:p>
    <w:p w14:paraId="6988111B" w14:textId="77777777" w:rsidR="006A5F4F" w:rsidRDefault="00000000">
      <w:pPr>
        <w:spacing w:after="120" w:line="360" w:lineRule="auto"/>
        <w:ind w:firstLine="425"/>
        <w:jc w:val="both"/>
      </w:pPr>
      <w:r>
        <w:t>Spatial working memory was assessed using the Y-maze spontaneous alternation test. The apparatus consisted of three identical arms labeled A, B, and C, positioned at 120° angles relative to each other. Each arm measured approximately 30 cm × 8 cm × 15 cm and was constructed from polyvinyl chloride.</w:t>
      </w:r>
    </w:p>
    <w:p w14:paraId="240516C5" w14:textId="77777777" w:rsidR="006A5F4F" w:rsidRDefault="00000000">
      <w:pPr>
        <w:spacing w:after="120" w:line="360" w:lineRule="auto"/>
        <w:ind w:firstLine="425"/>
        <w:jc w:val="both"/>
      </w:pPr>
      <w:r>
        <w:t>Before testing, each rat was acclimatized to the testing room for 10-15 minutes to reduce stress-related behavioral variation. During the test, the rat was placed at the end of one arm and allowed to freely explore the maze for 5-8 minutes. Animal movement was recorded using a video camera to document the sequence and number of arm entries.</w:t>
      </w:r>
    </w:p>
    <w:p w14:paraId="724754DC" w14:textId="77777777" w:rsidR="006A5F4F" w:rsidRDefault="00000000">
      <w:pPr>
        <w:spacing w:after="120" w:line="360" w:lineRule="auto"/>
        <w:ind w:firstLine="425"/>
        <w:jc w:val="both"/>
      </w:pPr>
      <w:r>
        <w:t>An arm entry was considered valid when the entire body of the rat, including the tail, had completely entered the arm. The total number of arm entries and spontaneous alternations were recorded. A spontaneous alternation was defined as consecutive entries into three different arms. The percentage of spontaneous alternation was calculated using the following formula:</w:t>
      </w:r>
    </w:p>
    <w:p w14:paraId="358F7F32" w14:textId="77777777" w:rsidR="006A5F4F" w:rsidRDefault="00000000">
      <w:pPr>
        <w:spacing w:after="120" w:line="360" w:lineRule="auto"/>
        <w:jc w:val="center"/>
      </w:pPr>
      <w:r>
        <w:t>Spontaneous alternation (%) = [number of spontaneous alternations / (total arm entries - 2)] × 100</w:t>
      </w:r>
    </w:p>
    <w:p w14:paraId="5D0F83FE" w14:textId="77777777" w:rsidR="006A5F4F" w:rsidRDefault="00000000">
      <w:pPr>
        <w:spacing w:after="120" w:line="360" w:lineRule="auto"/>
        <w:ind w:firstLine="425"/>
        <w:jc w:val="both"/>
      </w:pPr>
      <w:r>
        <w:t xml:space="preserve">The maze was cleaned with 70% alcohol between testing sessions to remove odor cues that could influence exploratory behavior. Behavioral assessments were conducted at baseline before induction, week 5 after </w:t>
      </w:r>
      <w:r>
        <w:rPr>
          <w:i/>
        </w:rPr>
        <w:t>P. gingivalis</w:t>
      </w:r>
      <w:r>
        <w:t xml:space="preserve"> induction, and week 9 after hyperbaric oxygen therapy.</w:t>
      </w:r>
    </w:p>
    <w:p w14:paraId="37479784" w14:textId="77777777" w:rsidR="006A5F4F" w:rsidRDefault="00000000">
      <w:pPr>
        <w:pStyle w:val="Heading2"/>
        <w:spacing w:before="120"/>
      </w:pPr>
      <w:r>
        <w:t>Statistical analysis</w:t>
      </w:r>
    </w:p>
    <w:p w14:paraId="508C808A" w14:textId="77777777" w:rsidR="006A5F4F" w:rsidRDefault="00000000">
      <w:pPr>
        <w:spacing w:after="120" w:line="360" w:lineRule="auto"/>
        <w:ind w:firstLine="425"/>
        <w:jc w:val="both"/>
      </w:pPr>
      <w:r>
        <w:t>Data were analyzed using IBM SPSS Statistics version 27.0 (IBM Corp., Armonk, NY, USA). Descriptive statistics were presented as mean ± standard deviation. The Shapiro-Wilk test was used to assess data normality, and Levene's test was used to evaluate homogeneity of variance.</w:t>
      </w:r>
    </w:p>
    <w:p w14:paraId="392C02F4" w14:textId="77777777" w:rsidR="006A5F4F" w:rsidRDefault="00000000">
      <w:pPr>
        <w:spacing w:after="120" w:line="360" w:lineRule="auto"/>
        <w:ind w:firstLine="425"/>
        <w:jc w:val="both"/>
      </w:pPr>
      <w:r>
        <w:t xml:space="preserve">For normally distributed data in the control group, repeated-measures analysis of variance was used to compare spatial working memory scores across the three observation time points, followed by paired t-tests for pairwise comparisons. For non-normally distributed data in the treatment group, the Friedman test was used to evaluate differences across the </w:t>
      </w:r>
      <w:r>
        <w:lastRenderedPageBreak/>
        <w:t>three time points, followed by Wilcoxon signed-rank tests for pairwise comparisons. A p-value of less than 0.05 was considered statistically significant.</w:t>
      </w:r>
    </w:p>
    <w:p w14:paraId="687A15CB" w14:textId="77777777" w:rsidR="006A5F4F" w:rsidRDefault="00000000">
      <w:pPr>
        <w:pStyle w:val="Heading1"/>
        <w:spacing w:before="240"/>
      </w:pPr>
      <w:r>
        <w:t>Results</w:t>
      </w:r>
    </w:p>
    <w:p w14:paraId="2EA2EDB4" w14:textId="77777777" w:rsidR="006A5F4F" w:rsidRDefault="00000000">
      <w:pPr>
        <w:spacing w:after="120" w:line="360" w:lineRule="auto"/>
        <w:ind w:firstLine="425"/>
        <w:jc w:val="both"/>
      </w:pPr>
      <w:r>
        <w:t xml:space="preserve">Spatial working memory was assessed using the Y-maze spontaneous alternation test at baseline, week 5 after </w:t>
      </w:r>
      <w:r>
        <w:rPr>
          <w:i/>
        </w:rPr>
        <w:t>P. gingivalis</w:t>
      </w:r>
      <w:r>
        <w:t xml:space="preserve"> induction, and week 9 after completion of hyperbaric oxygen therapy. Descriptive data are presented in Table I.</w:t>
      </w:r>
    </w:p>
    <w:p w14:paraId="3B85EDE1" w14:textId="77777777" w:rsidR="006A5F4F" w:rsidRDefault="00000000">
      <w:pPr>
        <w:spacing w:after="120" w:line="360" w:lineRule="auto"/>
        <w:ind w:firstLine="425"/>
        <w:jc w:val="both"/>
      </w:pPr>
      <w:r>
        <w:t xml:space="preserve">The control group showed relatively stable spontaneous alternation scores over time. In the treatment group, the mean spontaneous alternation score decreased after </w:t>
      </w:r>
      <w:r>
        <w:rPr>
          <w:i/>
        </w:rPr>
        <w:t>P. gingivalis</w:t>
      </w:r>
      <w:r>
        <w:t xml:space="preserve"> induction and increased after hyperbaric oxygen therapy, although it did not return to baseline level.</w:t>
      </w:r>
    </w:p>
    <w:p w14:paraId="1C03A243" w14:textId="77777777" w:rsidR="006A5F4F" w:rsidRDefault="00000000">
      <w:pPr>
        <w:spacing w:after="120" w:line="360" w:lineRule="auto"/>
      </w:pPr>
      <w:r>
        <w:rPr>
          <w:b/>
        </w:rPr>
        <w:t>Table I. Y-maze spontaneous alternation scores.</w:t>
      </w:r>
    </w:p>
    <w:tbl>
      <w:tblPr>
        <w:tblW w:w="0" w:type="auto"/>
        <w:jc w:val="center"/>
        <w:tblLayout w:type="fixed"/>
        <w:tblLook w:val="04A0" w:firstRow="1" w:lastRow="0" w:firstColumn="1" w:lastColumn="0" w:noHBand="0" w:noVBand="1"/>
      </w:tblPr>
      <w:tblGrid>
        <w:gridCol w:w="2268"/>
        <w:gridCol w:w="2268"/>
        <w:gridCol w:w="2268"/>
        <w:gridCol w:w="2268"/>
      </w:tblGrid>
      <w:tr w:rsidR="006A5F4F" w14:paraId="1E468D68" w14:textId="77777777">
        <w:trPr>
          <w:jc w:val="center"/>
        </w:trPr>
        <w:tc>
          <w:tcPr>
            <w:tcW w:w="2268" w:type="dxa"/>
            <w:tcBorders>
              <w:top w:val="single" w:sz="8" w:space="0" w:color="000000"/>
              <w:bottom w:val="single" w:sz="8" w:space="0" w:color="000000"/>
            </w:tcBorders>
            <w:vAlign w:val="center"/>
          </w:tcPr>
          <w:p w14:paraId="5274AFCB" w14:textId="77777777" w:rsidR="006A5F4F" w:rsidRDefault="00000000">
            <w:pPr>
              <w:jc w:val="center"/>
            </w:pPr>
            <w:r>
              <w:rPr>
                <w:b/>
              </w:rPr>
              <w:t>Group</w:t>
            </w:r>
          </w:p>
        </w:tc>
        <w:tc>
          <w:tcPr>
            <w:tcW w:w="2268" w:type="dxa"/>
            <w:tcBorders>
              <w:top w:val="single" w:sz="8" w:space="0" w:color="000000"/>
              <w:bottom w:val="single" w:sz="8" w:space="0" w:color="000000"/>
            </w:tcBorders>
            <w:vAlign w:val="center"/>
          </w:tcPr>
          <w:p w14:paraId="6188D536" w14:textId="77777777" w:rsidR="006A5F4F" w:rsidRDefault="00000000">
            <w:pPr>
              <w:jc w:val="center"/>
            </w:pPr>
            <w:r>
              <w:rPr>
                <w:b/>
              </w:rPr>
              <w:t>Baseline</w:t>
            </w:r>
          </w:p>
        </w:tc>
        <w:tc>
          <w:tcPr>
            <w:tcW w:w="2268" w:type="dxa"/>
            <w:tcBorders>
              <w:top w:val="single" w:sz="8" w:space="0" w:color="000000"/>
              <w:bottom w:val="single" w:sz="8" w:space="0" w:color="000000"/>
            </w:tcBorders>
            <w:vAlign w:val="center"/>
          </w:tcPr>
          <w:p w14:paraId="596869FC" w14:textId="77777777" w:rsidR="006A5F4F" w:rsidRDefault="00000000">
            <w:pPr>
              <w:jc w:val="center"/>
            </w:pPr>
            <w:r>
              <w:rPr>
                <w:b/>
              </w:rPr>
              <w:t>Week 5</w:t>
            </w:r>
          </w:p>
        </w:tc>
        <w:tc>
          <w:tcPr>
            <w:tcW w:w="2268" w:type="dxa"/>
            <w:tcBorders>
              <w:top w:val="single" w:sz="8" w:space="0" w:color="000000"/>
              <w:bottom w:val="single" w:sz="8" w:space="0" w:color="000000"/>
            </w:tcBorders>
            <w:vAlign w:val="center"/>
          </w:tcPr>
          <w:p w14:paraId="15B6BB92" w14:textId="77777777" w:rsidR="006A5F4F" w:rsidRDefault="00000000">
            <w:pPr>
              <w:jc w:val="center"/>
            </w:pPr>
            <w:r>
              <w:rPr>
                <w:b/>
              </w:rPr>
              <w:t>Week 9</w:t>
            </w:r>
          </w:p>
        </w:tc>
      </w:tr>
      <w:tr w:rsidR="006A5F4F" w14:paraId="69AB25DB" w14:textId="77777777">
        <w:trPr>
          <w:jc w:val="center"/>
        </w:trPr>
        <w:tc>
          <w:tcPr>
            <w:tcW w:w="2268" w:type="dxa"/>
            <w:vAlign w:val="center"/>
          </w:tcPr>
          <w:p w14:paraId="13AB9F8F" w14:textId="77777777" w:rsidR="006A5F4F" w:rsidRDefault="00000000">
            <w:pPr>
              <w:jc w:val="center"/>
            </w:pPr>
            <w:r>
              <w:t>Control</w:t>
            </w:r>
          </w:p>
        </w:tc>
        <w:tc>
          <w:tcPr>
            <w:tcW w:w="2268" w:type="dxa"/>
            <w:vAlign w:val="center"/>
          </w:tcPr>
          <w:p w14:paraId="3A14DD15" w14:textId="77777777" w:rsidR="006A5F4F" w:rsidRDefault="00000000">
            <w:pPr>
              <w:jc w:val="center"/>
            </w:pPr>
            <w:r>
              <w:t>70.85 ± 4.97</w:t>
            </w:r>
          </w:p>
        </w:tc>
        <w:tc>
          <w:tcPr>
            <w:tcW w:w="2268" w:type="dxa"/>
            <w:vAlign w:val="center"/>
          </w:tcPr>
          <w:p w14:paraId="4D7247F1" w14:textId="77777777" w:rsidR="006A5F4F" w:rsidRDefault="00000000">
            <w:pPr>
              <w:jc w:val="center"/>
            </w:pPr>
            <w:r>
              <w:t>65.45 ± 9.60</w:t>
            </w:r>
          </w:p>
        </w:tc>
        <w:tc>
          <w:tcPr>
            <w:tcW w:w="2268" w:type="dxa"/>
            <w:vAlign w:val="center"/>
          </w:tcPr>
          <w:p w14:paraId="343ED62C" w14:textId="77777777" w:rsidR="006A5F4F" w:rsidRDefault="00000000">
            <w:pPr>
              <w:jc w:val="center"/>
            </w:pPr>
            <w:r>
              <w:t>68.00 ± 5.08</w:t>
            </w:r>
          </w:p>
        </w:tc>
      </w:tr>
      <w:tr w:rsidR="006A5F4F" w14:paraId="5F3F6CC9" w14:textId="77777777">
        <w:trPr>
          <w:jc w:val="center"/>
        </w:trPr>
        <w:tc>
          <w:tcPr>
            <w:tcW w:w="2268" w:type="dxa"/>
            <w:tcBorders>
              <w:bottom w:val="single" w:sz="8" w:space="0" w:color="000000"/>
            </w:tcBorders>
            <w:vAlign w:val="center"/>
          </w:tcPr>
          <w:p w14:paraId="65D83486" w14:textId="77777777" w:rsidR="006A5F4F" w:rsidRDefault="00000000">
            <w:pPr>
              <w:jc w:val="center"/>
            </w:pPr>
            <w:r>
              <w:t>Treatment</w:t>
            </w:r>
          </w:p>
        </w:tc>
        <w:tc>
          <w:tcPr>
            <w:tcW w:w="2268" w:type="dxa"/>
            <w:tcBorders>
              <w:bottom w:val="single" w:sz="8" w:space="0" w:color="000000"/>
            </w:tcBorders>
            <w:vAlign w:val="center"/>
          </w:tcPr>
          <w:p w14:paraId="3263DD16" w14:textId="77777777" w:rsidR="006A5F4F" w:rsidRDefault="00000000">
            <w:pPr>
              <w:jc w:val="center"/>
            </w:pPr>
            <w:r>
              <w:t>68.02 ± 1.67</w:t>
            </w:r>
          </w:p>
        </w:tc>
        <w:tc>
          <w:tcPr>
            <w:tcW w:w="2268" w:type="dxa"/>
            <w:tcBorders>
              <w:bottom w:val="single" w:sz="8" w:space="0" w:color="000000"/>
            </w:tcBorders>
            <w:vAlign w:val="center"/>
          </w:tcPr>
          <w:p w14:paraId="3C2557C1" w14:textId="77777777" w:rsidR="006A5F4F" w:rsidRDefault="00000000">
            <w:pPr>
              <w:jc w:val="center"/>
            </w:pPr>
            <w:r>
              <w:t>32.01 ± 24.71</w:t>
            </w:r>
          </w:p>
        </w:tc>
        <w:tc>
          <w:tcPr>
            <w:tcW w:w="2268" w:type="dxa"/>
            <w:tcBorders>
              <w:bottom w:val="single" w:sz="8" w:space="0" w:color="000000"/>
            </w:tcBorders>
            <w:vAlign w:val="center"/>
          </w:tcPr>
          <w:p w14:paraId="7FA45AE1" w14:textId="77777777" w:rsidR="006A5F4F" w:rsidRDefault="00000000">
            <w:pPr>
              <w:jc w:val="center"/>
            </w:pPr>
            <w:r>
              <w:t>52.09 ± 14.03</w:t>
            </w:r>
          </w:p>
        </w:tc>
      </w:tr>
    </w:tbl>
    <w:p w14:paraId="1F3D4F63" w14:textId="77777777" w:rsidR="006A5F4F" w:rsidRDefault="00000000">
      <w:pPr>
        <w:spacing w:after="120" w:line="360" w:lineRule="auto"/>
      </w:pPr>
      <w:r>
        <w:t>Note: Values are presented as mean ± standard deviation. Week 5 represents the post-induction period, and week 9 represents the post-treatment period in the treatment group.</w:t>
      </w:r>
    </w:p>
    <w:p w14:paraId="0E1B3FD1" w14:textId="77777777" w:rsidR="006A5F4F" w:rsidRDefault="00000000">
      <w:pPr>
        <w:spacing w:after="120" w:line="360" w:lineRule="auto"/>
        <w:ind w:firstLine="425"/>
        <w:jc w:val="both"/>
      </w:pPr>
      <w:r>
        <w:t>The Shapiro-Wilk test and Levene's test indicated that the control group data were normally distributed and homogeneous; therefore, repeated-measures analysis of variance followed by paired t-tests was used. In the control group, pairwise comparisons showed no statistically significant differences between baseline and week 5, baseline and week 9, or week 5 and week 9 (Table II).</w:t>
      </w:r>
    </w:p>
    <w:p w14:paraId="466BE6E7" w14:textId="77777777" w:rsidR="006A5F4F" w:rsidRDefault="00000000">
      <w:pPr>
        <w:spacing w:after="120" w:line="360" w:lineRule="auto"/>
      </w:pPr>
      <w:r>
        <w:rPr>
          <w:b/>
        </w:rPr>
        <w:t>Table II. Pairwise comparisons of Y-maze spontaneous alternation scores in the control group.</w:t>
      </w:r>
    </w:p>
    <w:tbl>
      <w:tblPr>
        <w:tblW w:w="0" w:type="auto"/>
        <w:jc w:val="center"/>
        <w:tblLayout w:type="fixed"/>
        <w:tblLook w:val="04A0" w:firstRow="1" w:lastRow="0" w:firstColumn="1" w:lastColumn="0" w:noHBand="0" w:noVBand="1"/>
      </w:tblPr>
      <w:tblGrid>
        <w:gridCol w:w="4536"/>
        <w:gridCol w:w="4536"/>
      </w:tblGrid>
      <w:tr w:rsidR="006A5F4F" w14:paraId="22C7F98F" w14:textId="77777777">
        <w:trPr>
          <w:jc w:val="center"/>
        </w:trPr>
        <w:tc>
          <w:tcPr>
            <w:tcW w:w="4536" w:type="dxa"/>
            <w:tcBorders>
              <w:top w:val="single" w:sz="8" w:space="0" w:color="000000"/>
              <w:bottom w:val="single" w:sz="8" w:space="0" w:color="000000"/>
            </w:tcBorders>
            <w:vAlign w:val="center"/>
          </w:tcPr>
          <w:p w14:paraId="34860BAD" w14:textId="77777777" w:rsidR="006A5F4F" w:rsidRDefault="00000000">
            <w:pPr>
              <w:jc w:val="center"/>
            </w:pPr>
            <w:r>
              <w:rPr>
                <w:b/>
              </w:rPr>
              <w:t>Comparison</w:t>
            </w:r>
          </w:p>
        </w:tc>
        <w:tc>
          <w:tcPr>
            <w:tcW w:w="4536" w:type="dxa"/>
            <w:tcBorders>
              <w:top w:val="single" w:sz="8" w:space="0" w:color="000000"/>
              <w:bottom w:val="single" w:sz="8" w:space="0" w:color="000000"/>
            </w:tcBorders>
            <w:vAlign w:val="center"/>
          </w:tcPr>
          <w:p w14:paraId="157ACAEF" w14:textId="77777777" w:rsidR="006A5F4F" w:rsidRDefault="00000000">
            <w:pPr>
              <w:jc w:val="center"/>
            </w:pPr>
            <w:r>
              <w:rPr>
                <w:b/>
              </w:rPr>
              <w:t>p-value</w:t>
            </w:r>
          </w:p>
        </w:tc>
      </w:tr>
      <w:tr w:rsidR="006A5F4F" w14:paraId="6D14675D" w14:textId="77777777">
        <w:trPr>
          <w:jc w:val="center"/>
        </w:trPr>
        <w:tc>
          <w:tcPr>
            <w:tcW w:w="4536" w:type="dxa"/>
            <w:vAlign w:val="center"/>
          </w:tcPr>
          <w:p w14:paraId="6CBDA868" w14:textId="77777777" w:rsidR="006A5F4F" w:rsidRDefault="00000000">
            <w:pPr>
              <w:jc w:val="center"/>
            </w:pPr>
            <w:r>
              <w:t>Baseline vs Week 5</w:t>
            </w:r>
          </w:p>
        </w:tc>
        <w:tc>
          <w:tcPr>
            <w:tcW w:w="4536" w:type="dxa"/>
            <w:vAlign w:val="center"/>
          </w:tcPr>
          <w:p w14:paraId="42F2863B" w14:textId="77777777" w:rsidR="006A5F4F" w:rsidRDefault="00000000">
            <w:pPr>
              <w:jc w:val="center"/>
            </w:pPr>
            <w:r>
              <w:t>0.063</w:t>
            </w:r>
          </w:p>
        </w:tc>
      </w:tr>
      <w:tr w:rsidR="006A5F4F" w14:paraId="14EB5D9C" w14:textId="77777777">
        <w:trPr>
          <w:jc w:val="center"/>
        </w:trPr>
        <w:tc>
          <w:tcPr>
            <w:tcW w:w="4536" w:type="dxa"/>
            <w:vAlign w:val="center"/>
          </w:tcPr>
          <w:p w14:paraId="42CE4422" w14:textId="77777777" w:rsidR="006A5F4F" w:rsidRDefault="00000000">
            <w:pPr>
              <w:jc w:val="center"/>
            </w:pPr>
            <w:r>
              <w:t>Baseline vs Week 9</w:t>
            </w:r>
          </w:p>
        </w:tc>
        <w:tc>
          <w:tcPr>
            <w:tcW w:w="4536" w:type="dxa"/>
            <w:vAlign w:val="center"/>
          </w:tcPr>
          <w:p w14:paraId="7E18B52C" w14:textId="77777777" w:rsidR="006A5F4F" w:rsidRDefault="00000000">
            <w:pPr>
              <w:jc w:val="center"/>
            </w:pPr>
            <w:r>
              <w:t>0.069</w:t>
            </w:r>
          </w:p>
        </w:tc>
      </w:tr>
      <w:tr w:rsidR="006A5F4F" w14:paraId="7E26C947" w14:textId="77777777">
        <w:trPr>
          <w:jc w:val="center"/>
        </w:trPr>
        <w:tc>
          <w:tcPr>
            <w:tcW w:w="4536" w:type="dxa"/>
            <w:tcBorders>
              <w:bottom w:val="single" w:sz="8" w:space="0" w:color="000000"/>
            </w:tcBorders>
            <w:vAlign w:val="center"/>
          </w:tcPr>
          <w:p w14:paraId="2472F0A2" w14:textId="77777777" w:rsidR="006A5F4F" w:rsidRDefault="00000000">
            <w:pPr>
              <w:jc w:val="center"/>
            </w:pPr>
            <w:r>
              <w:t>Week 5 versus Week 9</w:t>
            </w:r>
          </w:p>
        </w:tc>
        <w:tc>
          <w:tcPr>
            <w:tcW w:w="4536" w:type="dxa"/>
            <w:tcBorders>
              <w:bottom w:val="single" w:sz="8" w:space="0" w:color="000000"/>
            </w:tcBorders>
            <w:vAlign w:val="center"/>
          </w:tcPr>
          <w:p w14:paraId="68862ADA" w14:textId="77777777" w:rsidR="006A5F4F" w:rsidRDefault="00000000">
            <w:pPr>
              <w:jc w:val="center"/>
            </w:pPr>
            <w:r>
              <w:t>0.231</w:t>
            </w:r>
          </w:p>
        </w:tc>
      </w:tr>
    </w:tbl>
    <w:p w14:paraId="3104B210" w14:textId="77777777" w:rsidR="006A5F4F" w:rsidRDefault="00000000">
      <w:pPr>
        <w:spacing w:after="120" w:line="360" w:lineRule="auto"/>
      </w:pPr>
      <w:r>
        <w:t>Note: Pairwise comparisons were performed using paired t-tests. Statistical significance was set at p &lt; 0.05.</w:t>
      </w:r>
    </w:p>
    <w:p w14:paraId="1C2FE0AA" w14:textId="77777777" w:rsidR="006A5F4F" w:rsidRDefault="00000000">
      <w:pPr>
        <w:spacing w:after="120" w:line="360" w:lineRule="auto"/>
        <w:ind w:firstLine="425"/>
        <w:jc w:val="both"/>
      </w:pPr>
      <w:r>
        <w:t xml:space="preserve">The treatment group data were not normally distributed; therefore, the Friedman test followed by Wilcoxon signed-rank tests was applied. Pairwise comparisons showed significant differences between baseline and week 5, baseline and week 9, and week 5 and </w:t>
      </w:r>
      <w:r>
        <w:lastRenderedPageBreak/>
        <w:t xml:space="preserve">week 9 (Table III). These findings indicate a significant decrease after </w:t>
      </w:r>
      <w:r>
        <w:rPr>
          <w:i/>
        </w:rPr>
        <w:t>P. gingivalis</w:t>
      </w:r>
      <w:r>
        <w:t xml:space="preserve"> induction and a significant improvement after hyperbaric oxygen therapy.</w:t>
      </w:r>
    </w:p>
    <w:p w14:paraId="73CA8CDB" w14:textId="77777777" w:rsidR="006A5F4F" w:rsidRDefault="00000000">
      <w:pPr>
        <w:spacing w:after="120" w:line="360" w:lineRule="auto"/>
      </w:pPr>
      <w:r>
        <w:rPr>
          <w:b/>
        </w:rPr>
        <w:t>Table III. Pairwise comparisons of Y-maze spontaneous alternation scores in the treatment group.</w:t>
      </w:r>
    </w:p>
    <w:tbl>
      <w:tblPr>
        <w:tblW w:w="0" w:type="auto"/>
        <w:jc w:val="center"/>
        <w:tblLayout w:type="fixed"/>
        <w:tblLook w:val="04A0" w:firstRow="1" w:lastRow="0" w:firstColumn="1" w:lastColumn="0" w:noHBand="0" w:noVBand="1"/>
      </w:tblPr>
      <w:tblGrid>
        <w:gridCol w:w="4536"/>
        <w:gridCol w:w="4536"/>
      </w:tblGrid>
      <w:tr w:rsidR="006A5F4F" w14:paraId="7F722CA0" w14:textId="77777777">
        <w:trPr>
          <w:jc w:val="center"/>
        </w:trPr>
        <w:tc>
          <w:tcPr>
            <w:tcW w:w="4536" w:type="dxa"/>
            <w:tcBorders>
              <w:top w:val="single" w:sz="8" w:space="0" w:color="000000"/>
              <w:bottom w:val="single" w:sz="8" w:space="0" w:color="000000"/>
            </w:tcBorders>
            <w:vAlign w:val="center"/>
          </w:tcPr>
          <w:p w14:paraId="3C8AA91E" w14:textId="77777777" w:rsidR="006A5F4F" w:rsidRDefault="00000000">
            <w:pPr>
              <w:jc w:val="center"/>
            </w:pPr>
            <w:r>
              <w:rPr>
                <w:b/>
              </w:rPr>
              <w:t>Comparison</w:t>
            </w:r>
          </w:p>
        </w:tc>
        <w:tc>
          <w:tcPr>
            <w:tcW w:w="4536" w:type="dxa"/>
            <w:tcBorders>
              <w:top w:val="single" w:sz="8" w:space="0" w:color="000000"/>
              <w:bottom w:val="single" w:sz="8" w:space="0" w:color="000000"/>
            </w:tcBorders>
            <w:vAlign w:val="center"/>
          </w:tcPr>
          <w:p w14:paraId="2E86AB9B" w14:textId="77777777" w:rsidR="006A5F4F" w:rsidRDefault="00000000">
            <w:pPr>
              <w:jc w:val="center"/>
            </w:pPr>
            <w:r>
              <w:rPr>
                <w:b/>
              </w:rPr>
              <w:t>p-value</w:t>
            </w:r>
          </w:p>
        </w:tc>
      </w:tr>
      <w:tr w:rsidR="006A5F4F" w14:paraId="5CC38992" w14:textId="77777777">
        <w:trPr>
          <w:jc w:val="center"/>
        </w:trPr>
        <w:tc>
          <w:tcPr>
            <w:tcW w:w="4536" w:type="dxa"/>
            <w:vAlign w:val="center"/>
          </w:tcPr>
          <w:p w14:paraId="5A26F5BA" w14:textId="77777777" w:rsidR="006A5F4F" w:rsidRDefault="00000000">
            <w:pPr>
              <w:jc w:val="center"/>
            </w:pPr>
            <w:r>
              <w:t>Baseline vs Week 5</w:t>
            </w:r>
          </w:p>
        </w:tc>
        <w:tc>
          <w:tcPr>
            <w:tcW w:w="4536" w:type="dxa"/>
            <w:vAlign w:val="center"/>
          </w:tcPr>
          <w:p w14:paraId="23ADC74D" w14:textId="77777777" w:rsidR="006A5F4F" w:rsidRDefault="00000000">
            <w:pPr>
              <w:jc w:val="center"/>
            </w:pPr>
            <w:r>
              <w:t>&lt; 0.005</w:t>
            </w:r>
          </w:p>
        </w:tc>
      </w:tr>
      <w:tr w:rsidR="006A5F4F" w14:paraId="74DA70E3" w14:textId="77777777">
        <w:trPr>
          <w:jc w:val="center"/>
        </w:trPr>
        <w:tc>
          <w:tcPr>
            <w:tcW w:w="4536" w:type="dxa"/>
            <w:vAlign w:val="center"/>
          </w:tcPr>
          <w:p w14:paraId="54819382" w14:textId="77777777" w:rsidR="006A5F4F" w:rsidRDefault="00000000">
            <w:pPr>
              <w:jc w:val="center"/>
            </w:pPr>
            <w:r>
              <w:t>Baseline vs Week 9</w:t>
            </w:r>
          </w:p>
        </w:tc>
        <w:tc>
          <w:tcPr>
            <w:tcW w:w="4536" w:type="dxa"/>
            <w:vAlign w:val="center"/>
          </w:tcPr>
          <w:p w14:paraId="0A04CA88" w14:textId="77777777" w:rsidR="006A5F4F" w:rsidRDefault="00000000">
            <w:pPr>
              <w:jc w:val="center"/>
            </w:pPr>
            <w:r>
              <w:t>&lt; 0.010</w:t>
            </w:r>
          </w:p>
        </w:tc>
      </w:tr>
      <w:tr w:rsidR="006A5F4F" w14:paraId="57C4CD9C" w14:textId="77777777">
        <w:trPr>
          <w:jc w:val="center"/>
        </w:trPr>
        <w:tc>
          <w:tcPr>
            <w:tcW w:w="4536" w:type="dxa"/>
            <w:tcBorders>
              <w:bottom w:val="single" w:sz="8" w:space="0" w:color="000000"/>
            </w:tcBorders>
            <w:vAlign w:val="center"/>
          </w:tcPr>
          <w:p w14:paraId="7B29981E" w14:textId="77777777" w:rsidR="006A5F4F" w:rsidRDefault="00000000">
            <w:pPr>
              <w:jc w:val="center"/>
            </w:pPr>
            <w:r>
              <w:t>Week 5 versus Week 9</w:t>
            </w:r>
          </w:p>
        </w:tc>
        <w:tc>
          <w:tcPr>
            <w:tcW w:w="4536" w:type="dxa"/>
            <w:tcBorders>
              <w:bottom w:val="single" w:sz="8" w:space="0" w:color="000000"/>
            </w:tcBorders>
            <w:vAlign w:val="center"/>
          </w:tcPr>
          <w:p w14:paraId="05BDA738" w14:textId="77777777" w:rsidR="006A5F4F" w:rsidRDefault="00000000">
            <w:pPr>
              <w:jc w:val="center"/>
            </w:pPr>
            <w:r>
              <w:t>0.041</w:t>
            </w:r>
          </w:p>
        </w:tc>
      </w:tr>
    </w:tbl>
    <w:p w14:paraId="3410B157" w14:textId="77777777" w:rsidR="006A5F4F" w:rsidRDefault="00000000">
      <w:pPr>
        <w:spacing w:after="120" w:line="360" w:lineRule="auto"/>
      </w:pPr>
      <w:r>
        <w:t>Note: Pairwise comparisons were performed using Wilcoxon signed-rank tests. Statistical significance was set at p &lt; 0.05.</w:t>
      </w:r>
    </w:p>
    <w:p w14:paraId="7F701E02" w14:textId="77777777" w:rsidR="006A5F4F" w:rsidRDefault="00000000">
      <w:pPr>
        <w:jc w:val="center"/>
      </w:pPr>
      <w:r>
        <w:rPr>
          <w:noProof/>
        </w:rPr>
        <w:drawing>
          <wp:inline distT="0" distB="0" distL="0" distR="0" wp14:anchorId="3BA2A483" wp14:editId="698E1306">
            <wp:extent cx="5303520" cy="1936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303520" cy="1936608"/>
                    </a:xfrm>
                    <a:prstGeom prst="rect">
                      <a:avLst/>
                    </a:prstGeom>
                  </pic:spPr>
                </pic:pic>
              </a:graphicData>
            </a:graphic>
          </wp:inline>
        </w:drawing>
      </w:r>
    </w:p>
    <w:p w14:paraId="0B3C36E7" w14:textId="77777777" w:rsidR="006A5F4F" w:rsidRDefault="00000000">
      <w:pPr>
        <w:spacing w:after="120" w:line="360" w:lineRule="auto"/>
      </w:pPr>
      <w:r>
        <w:rPr>
          <w:b/>
        </w:rPr>
        <w:t>Figure 1 - Mean and standard deviation of Y-maze spontaneous alternation scores in the control and treatment groups at baseline, week 5, and week 9.</w:t>
      </w:r>
    </w:p>
    <w:p w14:paraId="2012FF48" w14:textId="77777777" w:rsidR="006A5F4F" w:rsidRDefault="00000000">
      <w:pPr>
        <w:pStyle w:val="Heading1"/>
        <w:spacing w:before="240"/>
      </w:pPr>
      <w:r>
        <w:lastRenderedPageBreak/>
        <w:t>Discussion</w:t>
      </w:r>
    </w:p>
    <w:p w14:paraId="58093475"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This study demonstrated that </w:t>
      </w:r>
      <w:r w:rsidRPr="00282F55">
        <w:rPr>
          <w:b w:val="0"/>
          <w:bCs/>
          <w:i/>
          <w:iCs/>
          <w:sz w:val="24"/>
          <w:szCs w:val="24"/>
          <w:lang w:val="en-ID"/>
        </w:rPr>
        <w:t>Porphyromonas gingivalis</w:t>
      </w:r>
      <w:r w:rsidRPr="00282F55">
        <w:rPr>
          <w:b w:val="0"/>
          <w:bCs/>
          <w:sz w:val="24"/>
          <w:szCs w:val="24"/>
          <w:lang w:val="en-ID"/>
        </w:rPr>
        <w:t xml:space="preserve">-induced periodontitis was associated with impaired spatial working memory in Sprague-Dawley rats, as indicated by the reduction in spontaneous alternation </w:t>
      </w:r>
      <w:proofErr w:type="spellStart"/>
      <w:r w:rsidRPr="00282F55">
        <w:rPr>
          <w:b w:val="0"/>
          <w:bCs/>
          <w:sz w:val="24"/>
          <w:szCs w:val="24"/>
          <w:lang w:val="en-ID"/>
        </w:rPr>
        <w:t>behavior</w:t>
      </w:r>
      <w:proofErr w:type="spellEnd"/>
      <w:r w:rsidRPr="00282F55">
        <w:rPr>
          <w:b w:val="0"/>
          <w:bCs/>
          <w:sz w:val="24"/>
          <w:szCs w:val="24"/>
          <w:lang w:val="en-ID"/>
        </w:rPr>
        <w:t xml:space="preserve"> in the Y-maze test after the induction period. After hyperbaric oxygen therapy, spatial working memory performance improved, although the score did not fully return to the baseline level. These findings suggest that chronic periodontal infection may contribute to cognitive-related </w:t>
      </w:r>
      <w:proofErr w:type="spellStart"/>
      <w:r w:rsidRPr="00282F55">
        <w:rPr>
          <w:b w:val="0"/>
          <w:bCs/>
          <w:sz w:val="24"/>
          <w:szCs w:val="24"/>
          <w:lang w:val="en-ID"/>
        </w:rPr>
        <w:t>behavioral</w:t>
      </w:r>
      <w:proofErr w:type="spellEnd"/>
      <w:r w:rsidRPr="00282F55">
        <w:rPr>
          <w:b w:val="0"/>
          <w:bCs/>
          <w:sz w:val="24"/>
          <w:szCs w:val="24"/>
          <w:lang w:val="en-ID"/>
        </w:rPr>
        <w:t xml:space="preserve"> impairment and that hyperbaric oxygen therapy may be associated with partial functional recovery in this experimental model.</w:t>
      </w:r>
    </w:p>
    <w:p w14:paraId="742E484A"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The reduction in spontaneous alternation after </w:t>
      </w:r>
      <w:r w:rsidRPr="00282F55">
        <w:rPr>
          <w:b w:val="0"/>
          <w:bCs/>
          <w:i/>
          <w:iCs/>
          <w:sz w:val="24"/>
          <w:szCs w:val="24"/>
          <w:lang w:val="en-ID"/>
        </w:rPr>
        <w:t>P. gingivalis</w:t>
      </w:r>
      <w:r w:rsidRPr="00282F55">
        <w:rPr>
          <w:b w:val="0"/>
          <w:bCs/>
          <w:sz w:val="24"/>
          <w:szCs w:val="24"/>
          <w:lang w:val="en-ID"/>
        </w:rPr>
        <w:t xml:space="preserve"> induction supports the concept that periodontal infection may produce biological consequences beyond local periodontal tissue destruction. Periodontitis is not only a chronic inflammatory disease of the supporting tissues of the teeth but also a potential source of systemic inflammatory burden. In Brazilian Dental Science, recent periodontal research has also emphasized that periodontal health should be interpreted through clinical parameters such as plaque index, gingival index, probing depth, and clinical attachment loss, which reflect the inflammatory and destructive burden affecting periodontal tissues </w:t>
      </w:r>
      <w:r w:rsidRPr="00435DDC">
        <w:rPr>
          <w:b w:val="0"/>
          <w:bCs/>
          <w:sz w:val="24"/>
          <w:szCs w:val="24"/>
          <w:highlight w:val="yellow"/>
          <w:lang w:val="en-ID"/>
        </w:rPr>
        <w:t>[25].</w:t>
      </w:r>
      <w:r w:rsidRPr="00282F55">
        <w:rPr>
          <w:b w:val="0"/>
          <w:bCs/>
          <w:sz w:val="24"/>
          <w:szCs w:val="24"/>
          <w:lang w:val="en-ID"/>
        </w:rPr>
        <w:t xml:space="preserve"> Although the present study did not directly measure these periodontal parameters, the decline in Y-maze performance after repeated </w:t>
      </w:r>
      <w:r w:rsidRPr="00282F55">
        <w:rPr>
          <w:b w:val="0"/>
          <w:bCs/>
          <w:i/>
          <w:iCs/>
          <w:sz w:val="24"/>
          <w:szCs w:val="24"/>
          <w:lang w:val="en-ID"/>
        </w:rPr>
        <w:t>P. gingivalis</w:t>
      </w:r>
      <w:r w:rsidRPr="00282F55">
        <w:rPr>
          <w:b w:val="0"/>
          <w:bCs/>
          <w:sz w:val="24"/>
          <w:szCs w:val="24"/>
          <w:lang w:val="en-ID"/>
        </w:rPr>
        <w:t xml:space="preserve"> exposure is consistent with the broader view that periodontal inflammation may have systemic implications.</w:t>
      </w:r>
    </w:p>
    <w:p w14:paraId="2E982C48"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Several mechanisms may explain the association between </w:t>
      </w:r>
      <w:r w:rsidRPr="00282F55">
        <w:rPr>
          <w:b w:val="0"/>
          <w:bCs/>
          <w:i/>
          <w:iCs/>
          <w:sz w:val="24"/>
          <w:szCs w:val="24"/>
          <w:lang w:val="en-ID"/>
        </w:rPr>
        <w:t>P. gingivalis</w:t>
      </w:r>
      <w:r w:rsidRPr="00282F55">
        <w:rPr>
          <w:b w:val="0"/>
          <w:bCs/>
          <w:sz w:val="24"/>
          <w:szCs w:val="24"/>
          <w:lang w:val="en-ID"/>
        </w:rPr>
        <w:t xml:space="preserve">-induced periodontitis and impaired spatial working memory. </w:t>
      </w:r>
      <w:r w:rsidRPr="00282F55">
        <w:rPr>
          <w:b w:val="0"/>
          <w:bCs/>
          <w:i/>
          <w:iCs/>
          <w:sz w:val="24"/>
          <w:szCs w:val="24"/>
          <w:lang w:val="en-ID"/>
        </w:rPr>
        <w:t>P. gingivalis</w:t>
      </w:r>
      <w:r w:rsidRPr="00282F55">
        <w:rPr>
          <w:b w:val="0"/>
          <w:bCs/>
          <w:sz w:val="24"/>
          <w:szCs w:val="24"/>
          <w:lang w:val="en-ID"/>
        </w:rPr>
        <w:t xml:space="preserve"> is a keystone periodontal pathogen capable of producing virulence factors such as lipopolysaccharide, fimbriae, outer membrane vesicles, and gingipain proteases. These components may promote local periodontal tissue destruction and facilitate the dissemination of inflammatory signals into the systemic circulation [1,5,15]. Once systemic inflammation is established, circulating cytokines and bacterial products may contribute to endothelial dysfunction, blood-brain barrier alteration, microglial activation, oxidative stress, and synaptic impairment, particularly in brain regions involved in learning and memory, such as the hippocampus [6-9,17,18].</w:t>
      </w:r>
    </w:p>
    <w:p w14:paraId="1EE78121"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The present findings are also compatible with previous experimental evidence showing that </w:t>
      </w:r>
      <w:r w:rsidRPr="00282F55">
        <w:rPr>
          <w:b w:val="0"/>
          <w:bCs/>
          <w:i/>
          <w:iCs/>
          <w:sz w:val="24"/>
          <w:szCs w:val="24"/>
          <w:lang w:val="en-ID"/>
        </w:rPr>
        <w:t>P. gingivalis</w:t>
      </w:r>
      <w:r w:rsidRPr="00282F55">
        <w:rPr>
          <w:b w:val="0"/>
          <w:bCs/>
          <w:sz w:val="24"/>
          <w:szCs w:val="24"/>
          <w:lang w:val="en-ID"/>
        </w:rPr>
        <w:t xml:space="preserve"> and its extracellular vesicles can influence neuroinflammatory pathways and cognitive-related outcomes. Outer membrane vesicles derived from </w:t>
      </w:r>
      <w:r w:rsidRPr="00282F55">
        <w:rPr>
          <w:b w:val="0"/>
          <w:bCs/>
          <w:i/>
          <w:iCs/>
          <w:sz w:val="24"/>
          <w:szCs w:val="24"/>
          <w:lang w:val="en-ID"/>
        </w:rPr>
        <w:t>P. gingivalis</w:t>
      </w:r>
      <w:r w:rsidRPr="00282F55">
        <w:rPr>
          <w:b w:val="0"/>
          <w:bCs/>
          <w:sz w:val="24"/>
          <w:szCs w:val="24"/>
          <w:lang w:val="en-ID"/>
        </w:rPr>
        <w:t xml:space="preserve"> have been reported to trigger inflammasome activation, neuroinflammation, tau phosphorylation, and memory dysfunction in mice [5]. Another experimental study indicated that extracellular vesicles from </w:t>
      </w:r>
      <w:r w:rsidRPr="00282F55">
        <w:rPr>
          <w:b w:val="0"/>
          <w:bCs/>
          <w:i/>
          <w:iCs/>
          <w:sz w:val="24"/>
          <w:szCs w:val="24"/>
          <w:lang w:val="en-ID"/>
        </w:rPr>
        <w:t>P. gingivalis</w:t>
      </w:r>
      <w:r w:rsidRPr="00282F55">
        <w:rPr>
          <w:b w:val="0"/>
          <w:bCs/>
          <w:sz w:val="24"/>
          <w:szCs w:val="24"/>
          <w:lang w:val="en-ID"/>
        </w:rPr>
        <w:t xml:space="preserve"> may induce cognitive impairment through trigeminal nerve-mediated mechanisms [20]. These findings are important because they suggest that oral infection may affect the central nervous system not only through hematogenous dissemination but also through neural communication pathways. In the present study, these mechanisms were not directly examined; however, the </w:t>
      </w:r>
      <w:proofErr w:type="spellStart"/>
      <w:r w:rsidRPr="00282F55">
        <w:rPr>
          <w:b w:val="0"/>
          <w:bCs/>
          <w:sz w:val="24"/>
          <w:szCs w:val="24"/>
          <w:lang w:val="en-ID"/>
        </w:rPr>
        <w:t>behavioral</w:t>
      </w:r>
      <w:proofErr w:type="spellEnd"/>
      <w:r w:rsidRPr="00282F55">
        <w:rPr>
          <w:b w:val="0"/>
          <w:bCs/>
          <w:sz w:val="24"/>
          <w:szCs w:val="24"/>
          <w:lang w:val="en-ID"/>
        </w:rPr>
        <w:t xml:space="preserve"> impairment observed after </w:t>
      </w:r>
      <w:r w:rsidRPr="00282F55">
        <w:rPr>
          <w:b w:val="0"/>
          <w:bCs/>
          <w:i/>
          <w:iCs/>
          <w:sz w:val="24"/>
          <w:szCs w:val="24"/>
          <w:lang w:val="en-ID"/>
        </w:rPr>
        <w:t>P. gingivalis</w:t>
      </w:r>
      <w:r w:rsidRPr="00282F55">
        <w:rPr>
          <w:b w:val="0"/>
          <w:bCs/>
          <w:sz w:val="24"/>
          <w:szCs w:val="24"/>
          <w:lang w:val="en-ID"/>
        </w:rPr>
        <w:t xml:space="preserve"> induction provides functional support for the potential relevance of the oral-brain axis.</w:t>
      </w:r>
    </w:p>
    <w:p w14:paraId="786344EA"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lastRenderedPageBreak/>
        <w:t xml:space="preserve">The use of the Y-maze spontaneous alternation test in this study allowed assessment of spatial working memory through exploratory </w:t>
      </w:r>
      <w:proofErr w:type="spellStart"/>
      <w:r w:rsidRPr="00282F55">
        <w:rPr>
          <w:b w:val="0"/>
          <w:bCs/>
          <w:sz w:val="24"/>
          <w:szCs w:val="24"/>
          <w:lang w:val="en-ID"/>
        </w:rPr>
        <w:t>behavior</w:t>
      </w:r>
      <w:proofErr w:type="spellEnd"/>
      <w:r w:rsidRPr="00282F55">
        <w:rPr>
          <w:b w:val="0"/>
          <w:bCs/>
          <w:sz w:val="24"/>
          <w:szCs w:val="24"/>
          <w:lang w:val="en-ID"/>
        </w:rPr>
        <w:t xml:space="preserve">. Spontaneous alternation reflects the natural tendency of rodents to explore a novel arm rather than returning repeatedly to the same arm, and this </w:t>
      </w:r>
      <w:proofErr w:type="spellStart"/>
      <w:r w:rsidRPr="00282F55">
        <w:rPr>
          <w:b w:val="0"/>
          <w:bCs/>
          <w:sz w:val="24"/>
          <w:szCs w:val="24"/>
          <w:lang w:val="en-ID"/>
        </w:rPr>
        <w:t>behavior</w:t>
      </w:r>
      <w:proofErr w:type="spellEnd"/>
      <w:r w:rsidRPr="00282F55">
        <w:rPr>
          <w:b w:val="0"/>
          <w:bCs/>
          <w:sz w:val="24"/>
          <w:szCs w:val="24"/>
          <w:lang w:val="en-ID"/>
        </w:rPr>
        <w:t xml:space="preserve"> is commonly used as an indicator of short-term spatial working memory. The marked reduction in spontaneous alternation in the treatment group after </w:t>
      </w:r>
      <w:r w:rsidRPr="00282F55">
        <w:rPr>
          <w:b w:val="0"/>
          <w:bCs/>
          <w:i/>
          <w:iCs/>
          <w:sz w:val="24"/>
          <w:szCs w:val="24"/>
          <w:lang w:val="en-ID"/>
        </w:rPr>
        <w:t>P. gingivalis</w:t>
      </w:r>
      <w:r w:rsidRPr="00282F55">
        <w:rPr>
          <w:b w:val="0"/>
          <w:bCs/>
          <w:sz w:val="24"/>
          <w:szCs w:val="24"/>
          <w:lang w:val="en-ID"/>
        </w:rPr>
        <w:t xml:space="preserve"> induction suggests disruption of working memory performance. This pattern is in line with previous </w:t>
      </w:r>
      <w:proofErr w:type="spellStart"/>
      <w:r w:rsidRPr="00282F55">
        <w:rPr>
          <w:b w:val="0"/>
          <w:bCs/>
          <w:sz w:val="24"/>
          <w:szCs w:val="24"/>
          <w:lang w:val="en-ID"/>
        </w:rPr>
        <w:t>behavioral</w:t>
      </w:r>
      <w:proofErr w:type="spellEnd"/>
      <w:r w:rsidRPr="00282F55">
        <w:rPr>
          <w:b w:val="0"/>
          <w:bCs/>
          <w:sz w:val="24"/>
          <w:szCs w:val="24"/>
          <w:lang w:val="en-ID"/>
        </w:rPr>
        <w:t xml:space="preserve"> studies showing that inflammatory insults may impair hippocampal-dependent memory processes [13,15,19]. In contrast, the control group showed relatively stable Y-maze performance across observation points, indicating that the observed decline in the treatment group was not likely attributable to repeated testing alone.</w:t>
      </w:r>
    </w:p>
    <w:p w14:paraId="7BBF0422" w14:textId="5870BF2F"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The improvement in spontaneous alternation after hyperbaric oxygen therapy suggests that increased oxygen availability may help attenuate functional impairment associated with chronic periodontal infection. Hyperbaric oxygen therapy increases dissolved oxygen content in plasma, improves tissue oxygenation, and may enhance oxygen diffusion into hypoxic or inflamed tissues. Beyond its oxygenation effect, hyperbaric oxygen therapy has been reported to modulate inflammatory responses, reduce oxidative stress, improve microcirculation, and support tissue repair mechanisms [7,11,13,21]. In neurological and cognitive contexts, recent studies have suggested that hyperbaric oxygen therapy may improve cognitive function through mechanisms involving vascular function, autophagy-related </w:t>
      </w:r>
      <w:proofErr w:type="spellStart"/>
      <w:r w:rsidRPr="00282F55">
        <w:rPr>
          <w:b w:val="0"/>
          <w:bCs/>
          <w:sz w:val="24"/>
          <w:szCs w:val="24"/>
          <w:lang w:val="en-ID"/>
        </w:rPr>
        <w:t>signaling</w:t>
      </w:r>
      <w:proofErr w:type="spellEnd"/>
      <w:r w:rsidRPr="00282F55">
        <w:rPr>
          <w:b w:val="0"/>
          <w:bCs/>
          <w:sz w:val="24"/>
          <w:szCs w:val="24"/>
          <w:lang w:val="en-ID"/>
        </w:rPr>
        <w:t>, inflammatory modulation, and neuronal repair [11-14,18,21].</w:t>
      </w:r>
    </w:p>
    <w:p w14:paraId="6A0E800A"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The partial recovery observed in this study is biologically meaningful. Although spatial working memory improved after hyperbaric oxygen therapy, the post-treatment score remained lower than the baseline value. This indicates that hyperbaric oxygen therapy may attenuate cognitive-related </w:t>
      </w:r>
      <w:proofErr w:type="spellStart"/>
      <w:r w:rsidRPr="00282F55">
        <w:rPr>
          <w:b w:val="0"/>
          <w:bCs/>
          <w:sz w:val="24"/>
          <w:szCs w:val="24"/>
          <w:lang w:val="en-ID"/>
        </w:rPr>
        <w:t>behavioral</w:t>
      </w:r>
      <w:proofErr w:type="spellEnd"/>
      <w:r w:rsidRPr="00282F55">
        <w:rPr>
          <w:b w:val="0"/>
          <w:bCs/>
          <w:sz w:val="24"/>
          <w:szCs w:val="24"/>
          <w:lang w:val="en-ID"/>
        </w:rPr>
        <w:t xml:space="preserve"> impairment but may not fully reverse the consequences of sustained inflammatory exposure induced by </w:t>
      </w:r>
      <w:r w:rsidRPr="00282F55">
        <w:rPr>
          <w:b w:val="0"/>
          <w:bCs/>
          <w:i/>
          <w:iCs/>
          <w:sz w:val="24"/>
          <w:szCs w:val="24"/>
          <w:lang w:val="en-ID"/>
        </w:rPr>
        <w:t>P. gingivalis</w:t>
      </w:r>
      <w:r w:rsidRPr="00282F55">
        <w:rPr>
          <w:b w:val="0"/>
          <w:bCs/>
          <w:sz w:val="24"/>
          <w:szCs w:val="24"/>
          <w:lang w:val="en-ID"/>
        </w:rPr>
        <w:t xml:space="preserve">. Chronic periodontal infection may produce persistent systemic and neural changes, including prolonged cytokine activation, oxidative stress, and altered neuronal </w:t>
      </w:r>
      <w:proofErr w:type="spellStart"/>
      <w:r w:rsidRPr="00282F55">
        <w:rPr>
          <w:b w:val="0"/>
          <w:bCs/>
          <w:sz w:val="24"/>
          <w:szCs w:val="24"/>
          <w:lang w:val="en-ID"/>
        </w:rPr>
        <w:t>signaling</w:t>
      </w:r>
      <w:proofErr w:type="spellEnd"/>
      <w:r w:rsidRPr="00282F55">
        <w:rPr>
          <w:b w:val="0"/>
          <w:bCs/>
          <w:sz w:val="24"/>
          <w:szCs w:val="24"/>
          <w:lang w:val="en-ID"/>
        </w:rPr>
        <w:t>, which may require longer treatment duration or combined therapeutic approaches to achieve more complete recovery. Therefore, the present findings should be interpreted as evidence of partial functional improvement rather than complete restoration of cognitive performance.</w:t>
      </w:r>
    </w:p>
    <w:p w14:paraId="4952EADB"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The observed improvement may also be discussed in relation to oral tissue biology and inflammatory mediator regulation. Recent experimental dental research published in Brazilian Dental Science showed that nerve growth factor and substance P expression can be evaluated in rat dental pulp neurons as biological indicators related to dental pain and neural inflammatory responses </w:t>
      </w:r>
      <w:r w:rsidRPr="00AC114A">
        <w:rPr>
          <w:b w:val="0"/>
          <w:bCs/>
          <w:sz w:val="24"/>
          <w:szCs w:val="24"/>
          <w:highlight w:val="yellow"/>
          <w:lang w:val="en-ID"/>
        </w:rPr>
        <w:t>[26].</w:t>
      </w:r>
      <w:r w:rsidRPr="00282F55">
        <w:rPr>
          <w:b w:val="0"/>
          <w:bCs/>
          <w:sz w:val="24"/>
          <w:szCs w:val="24"/>
          <w:lang w:val="en-ID"/>
        </w:rPr>
        <w:t xml:space="preserve"> Although that study used a different oral tissue model, it supports the broader concept that oral inflammatory insults can be associated with measurable neural mediator responses. In another recent BDS study, gingival wound healing after periodontal soft-tissue procedures was evaluated using growth factors such as transforming growth factor-β1, platelet-derived growth factor-BB, and basic fibroblast growth factor, highlighting the importance of biological mediators in gingival tissue repair </w:t>
      </w:r>
      <w:r w:rsidRPr="00AC114A">
        <w:rPr>
          <w:b w:val="0"/>
          <w:bCs/>
          <w:sz w:val="24"/>
          <w:szCs w:val="24"/>
          <w:highlight w:val="yellow"/>
          <w:lang w:val="en-ID"/>
        </w:rPr>
        <w:t>[27].</w:t>
      </w:r>
      <w:r w:rsidRPr="00282F55">
        <w:rPr>
          <w:b w:val="0"/>
          <w:bCs/>
          <w:sz w:val="24"/>
          <w:szCs w:val="24"/>
          <w:lang w:val="en-ID"/>
        </w:rPr>
        <w:t xml:space="preserve"> These findings are relevant to the present study because they reinforce the need to interpret oral inflammation and healing as biologically active processes involving local tissue responses, neural mediators, and systemic inflammatory pathways.</w:t>
      </w:r>
    </w:p>
    <w:p w14:paraId="0D08AAA1"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lastRenderedPageBreak/>
        <w:t xml:space="preserve">The findings of this study add to the growing evidence that periodontitis may be relevant to systemic and neurological outcomes. Recent studies have strengthened the association between periodontal infection, </w:t>
      </w:r>
      <w:r w:rsidRPr="00282F55">
        <w:rPr>
          <w:b w:val="0"/>
          <w:bCs/>
          <w:i/>
          <w:iCs/>
          <w:sz w:val="24"/>
          <w:szCs w:val="24"/>
          <w:lang w:val="en-ID"/>
        </w:rPr>
        <w:t>P. gingivalis</w:t>
      </w:r>
      <w:r w:rsidRPr="00282F55">
        <w:rPr>
          <w:b w:val="0"/>
          <w:bCs/>
          <w:sz w:val="24"/>
          <w:szCs w:val="24"/>
          <w:lang w:val="en-ID"/>
        </w:rPr>
        <w:t xml:space="preserve">-related virulence factors, neuroinflammation, and Alzheimer’s disease-like pathology [3,6,9,17,24]. Although the present study did not investigate Alzheimer’s disease pathology or neurodegenerative biomarkers, the decline in spatial working memory after </w:t>
      </w:r>
      <w:r w:rsidRPr="00282F55">
        <w:rPr>
          <w:b w:val="0"/>
          <w:bCs/>
          <w:i/>
          <w:iCs/>
          <w:sz w:val="24"/>
          <w:szCs w:val="24"/>
          <w:lang w:val="en-ID"/>
        </w:rPr>
        <w:t>P. gingivalis</w:t>
      </w:r>
      <w:r w:rsidRPr="00282F55">
        <w:rPr>
          <w:b w:val="0"/>
          <w:bCs/>
          <w:sz w:val="24"/>
          <w:szCs w:val="24"/>
          <w:lang w:val="en-ID"/>
        </w:rPr>
        <w:t xml:space="preserve"> induction is consistent with the hypothesis that chronic periodontal infection may influence brain function. This is particularly important in dental science because it expands the significance of periodontal disease beyond tooth-supporting tissues and places oral infection within a wider systemic health framework.</w:t>
      </w:r>
    </w:p>
    <w:p w14:paraId="20869884"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This study also has several limitations. First, a </w:t>
      </w:r>
      <w:r w:rsidRPr="00282F55">
        <w:rPr>
          <w:b w:val="0"/>
          <w:bCs/>
          <w:i/>
          <w:iCs/>
          <w:sz w:val="24"/>
          <w:szCs w:val="24"/>
          <w:lang w:val="en-ID"/>
        </w:rPr>
        <w:t>P. gingivalis</w:t>
      </w:r>
      <w:r w:rsidRPr="00282F55">
        <w:rPr>
          <w:b w:val="0"/>
          <w:bCs/>
          <w:sz w:val="24"/>
          <w:szCs w:val="24"/>
          <w:lang w:val="en-ID"/>
        </w:rPr>
        <w:t xml:space="preserve">-induced periodontitis group without hyperbaric oxygen therapy was not included. Therefore, the improvement observed at week 9 cannot be attributed exclusively to hyperbaric oxygen therapy, and the possibility of spontaneous recovery over time cannot be completely excluded. Second, periodontal tissue destruction, alveolar bone loss, histopathological changes, and local periodontal inflammatory markers were not directly evaluated. As a result, the degree of periodontal destruction induced by </w:t>
      </w:r>
      <w:r w:rsidRPr="00282F55">
        <w:rPr>
          <w:b w:val="0"/>
          <w:bCs/>
          <w:i/>
          <w:iCs/>
          <w:sz w:val="24"/>
          <w:szCs w:val="24"/>
          <w:lang w:val="en-ID"/>
        </w:rPr>
        <w:t>P. gingivalis</w:t>
      </w:r>
      <w:r w:rsidRPr="00282F55">
        <w:rPr>
          <w:b w:val="0"/>
          <w:bCs/>
          <w:sz w:val="24"/>
          <w:szCs w:val="24"/>
          <w:lang w:val="en-ID"/>
        </w:rPr>
        <w:t xml:space="preserve"> could not be correlated with </w:t>
      </w:r>
      <w:proofErr w:type="spellStart"/>
      <w:r w:rsidRPr="00282F55">
        <w:rPr>
          <w:b w:val="0"/>
          <w:bCs/>
          <w:sz w:val="24"/>
          <w:szCs w:val="24"/>
          <w:lang w:val="en-ID"/>
        </w:rPr>
        <w:t>behavioral</w:t>
      </w:r>
      <w:proofErr w:type="spellEnd"/>
      <w:r w:rsidRPr="00282F55">
        <w:rPr>
          <w:b w:val="0"/>
          <w:bCs/>
          <w:sz w:val="24"/>
          <w:szCs w:val="24"/>
          <w:lang w:val="en-ID"/>
        </w:rPr>
        <w:t xml:space="preserve"> impairment. Third, molecular markers related to neuroinflammation, oxidative stress, blood-brain barrier integrity, and neuronal injury were not assessed. Fourth, spatial working memory was evaluated only using the Y-maze test; therefore, future studies should include additional </w:t>
      </w:r>
      <w:proofErr w:type="spellStart"/>
      <w:r w:rsidRPr="00282F55">
        <w:rPr>
          <w:b w:val="0"/>
          <w:bCs/>
          <w:sz w:val="24"/>
          <w:szCs w:val="24"/>
          <w:lang w:val="en-ID"/>
        </w:rPr>
        <w:t>behavioral</w:t>
      </w:r>
      <w:proofErr w:type="spellEnd"/>
      <w:r w:rsidRPr="00282F55">
        <w:rPr>
          <w:b w:val="0"/>
          <w:bCs/>
          <w:sz w:val="24"/>
          <w:szCs w:val="24"/>
          <w:lang w:val="en-ID"/>
        </w:rPr>
        <w:t xml:space="preserve"> tests to provide a more comprehensive assessment of cognitive function.</w:t>
      </w:r>
    </w:p>
    <w:p w14:paraId="6695B201"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Future research should include a more complete experimental design with a non-treated periodontitis group, a hyperbaric oxygen-only group, and molecular assessment of both periodontal and brain tissues. Evaluation of cytokines, oxidative stress markers, microglial activation, blood-brain barrier proteins, hippocampal histopathology, and </w:t>
      </w:r>
      <w:r w:rsidRPr="00282F55">
        <w:rPr>
          <w:b w:val="0"/>
          <w:bCs/>
          <w:i/>
          <w:iCs/>
          <w:sz w:val="24"/>
          <w:szCs w:val="24"/>
          <w:lang w:val="en-ID"/>
        </w:rPr>
        <w:t>P. gingivalis</w:t>
      </w:r>
      <w:r w:rsidRPr="00282F55">
        <w:rPr>
          <w:b w:val="0"/>
          <w:bCs/>
          <w:sz w:val="24"/>
          <w:szCs w:val="24"/>
          <w:lang w:val="en-ID"/>
        </w:rPr>
        <w:t xml:space="preserve">-derived virulence factors would help clarify the biological mechanisms underlying the </w:t>
      </w:r>
      <w:proofErr w:type="spellStart"/>
      <w:r w:rsidRPr="00282F55">
        <w:rPr>
          <w:b w:val="0"/>
          <w:bCs/>
          <w:sz w:val="24"/>
          <w:szCs w:val="24"/>
          <w:lang w:val="en-ID"/>
        </w:rPr>
        <w:t>behavioral</w:t>
      </w:r>
      <w:proofErr w:type="spellEnd"/>
      <w:r w:rsidRPr="00282F55">
        <w:rPr>
          <w:b w:val="0"/>
          <w:bCs/>
          <w:sz w:val="24"/>
          <w:szCs w:val="24"/>
          <w:lang w:val="en-ID"/>
        </w:rPr>
        <w:t xml:space="preserve"> changes observed in this study. In addition, direct measurement of periodontal destruction and systemic inflammatory markers would strengthen the causal interpretation between periodontal infection, systemic inflammation, and cognitive-related </w:t>
      </w:r>
      <w:proofErr w:type="spellStart"/>
      <w:r w:rsidRPr="00282F55">
        <w:rPr>
          <w:b w:val="0"/>
          <w:bCs/>
          <w:sz w:val="24"/>
          <w:szCs w:val="24"/>
          <w:lang w:val="en-ID"/>
        </w:rPr>
        <w:t>behavioral</w:t>
      </w:r>
      <w:proofErr w:type="spellEnd"/>
      <w:r w:rsidRPr="00282F55">
        <w:rPr>
          <w:b w:val="0"/>
          <w:bCs/>
          <w:sz w:val="24"/>
          <w:szCs w:val="24"/>
          <w:lang w:val="en-ID"/>
        </w:rPr>
        <w:t xml:space="preserve"> impairment.</w:t>
      </w:r>
    </w:p>
    <w:p w14:paraId="17DAB718"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Overall, this study supports the relevance of the oral-brain axis in periodontal research. </w:t>
      </w:r>
      <w:r w:rsidRPr="00282F55">
        <w:rPr>
          <w:b w:val="0"/>
          <w:bCs/>
          <w:i/>
          <w:iCs/>
          <w:sz w:val="24"/>
          <w:szCs w:val="24"/>
          <w:lang w:val="en-ID"/>
        </w:rPr>
        <w:t>P. gingivalis</w:t>
      </w:r>
      <w:r w:rsidRPr="00282F55">
        <w:rPr>
          <w:b w:val="0"/>
          <w:bCs/>
          <w:sz w:val="24"/>
          <w:szCs w:val="24"/>
          <w:lang w:val="en-ID"/>
        </w:rPr>
        <w:t xml:space="preserve">-induced periodontitis was associated with impaired spatial working memory, while hyperbaric oxygen therapy was associated with partial improvement in Y-maze performance. These findings suggest that chronic periodontal infection may contribute to cognitive-related </w:t>
      </w:r>
      <w:proofErr w:type="spellStart"/>
      <w:r w:rsidRPr="00282F55">
        <w:rPr>
          <w:b w:val="0"/>
          <w:bCs/>
          <w:sz w:val="24"/>
          <w:szCs w:val="24"/>
          <w:lang w:val="en-ID"/>
        </w:rPr>
        <w:t>behavioral</w:t>
      </w:r>
      <w:proofErr w:type="spellEnd"/>
      <w:r w:rsidRPr="00282F55">
        <w:rPr>
          <w:b w:val="0"/>
          <w:bCs/>
          <w:sz w:val="24"/>
          <w:szCs w:val="24"/>
          <w:lang w:val="en-ID"/>
        </w:rPr>
        <w:t xml:space="preserve"> impairment and that hyperbaric oxygen therapy may have potential as an adjunctive approach for reducing functional impairment associated with inflammatory oral-systemic interactions. However, further studies incorporating histological, molecular, and </w:t>
      </w:r>
      <w:proofErr w:type="spellStart"/>
      <w:r w:rsidRPr="00282F55">
        <w:rPr>
          <w:b w:val="0"/>
          <w:bCs/>
          <w:sz w:val="24"/>
          <w:szCs w:val="24"/>
          <w:lang w:val="en-ID"/>
        </w:rPr>
        <w:t>behavioral</w:t>
      </w:r>
      <w:proofErr w:type="spellEnd"/>
      <w:r w:rsidRPr="00282F55">
        <w:rPr>
          <w:b w:val="0"/>
          <w:bCs/>
          <w:sz w:val="24"/>
          <w:szCs w:val="24"/>
          <w:lang w:val="en-ID"/>
        </w:rPr>
        <w:t xml:space="preserve"> outcomes are required to confirm the mechanisms and therapeutic implications of these findings.</w:t>
      </w:r>
    </w:p>
    <w:p w14:paraId="58116215" w14:textId="77777777" w:rsidR="006A5F4F" w:rsidRDefault="00000000">
      <w:pPr>
        <w:pStyle w:val="Heading1"/>
        <w:spacing w:before="240"/>
      </w:pPr>
      <w:r>
        <w:t>Conclusion</w:t>
      </w:r>
    </w:p>
    <w:p w14:paraId="2DECA7B5" w14:textId="77777777" w:rsidR="006A5F4F" w:rsidRDefault="00000000">
      <w:pPr>
        <w:spacing w:after="120" w:line="360" w:lineRule="auto"/>
        <w:ind w:firstLine="425"/>
        <w:jc w:val="both"/>
      </w:pPr>
      <w:r>
        <w:rPr>
          <w:i/>
        </w:rPr>
        <w:t>P. gingivalis</w:t>
      </w:r>
      <w:r>
        <w:t xml:space="preserve">-induced periodontitis was associated with impaired spatial working memory in Sprague-Dawley rats, as indicated by reduced spontaneous alternation performance in </w:t>
      </w:r>
      <w:r>
        <w:lastRenderedPageBreak/>
        <w:t xml:space="preserve">the Y-maze test. Hyperbaric oxygen therapy administered at 2.0 atmospheres absolute for four weeks was associated with improved spatial working memory after </w:t>
      </w:r>
      <w:r>
        <w:rPr>
          <w:i/>
        </w:rPr>
        <w:t>P. gingivalis</w:t>
      </w:r>
      <w:r>
        <w:t xml:space="preserve"> induction, although performance did not fully return to baseline level. These data support the study hypothesis that hyperbaric oxygen therapy may attenuate cognitive-related behavioral impairment in this experimental periodontitis model.</w:t>
      </w:r>
    </w:p>
    <w:p w14:paraId="6AEA89B1" w14:textId="77777777" w:rsidR="006A5F4F" w:rsidRDefault="00000000">
      <w:pPr>
        <w:pStyle w:val="Heading1"/>
        <w:spacing w:before="240"/>
      </w:pPr>
      <w:r>
        <w:t>Acknowledgments</w:t>
      </w:r>
    </w:p>
    <w:p w14:paraId="42B13B52" w14:textId="77777777" w:rsidR="006A5F4F" w:rsidRDefault="00000000">
      <w:pPr>
        <w:spacing w:after="120" w:line="360" w:lineRule="auto"/>
        <w:ind w:firstLine="425"/>
        <w:jc w:val="both"/>
      </w:pPr>
      <w:r>
        <w:t>The authors would like to thank the laboratory staff and all supporting institutions involved in this study for their technical assistance and support during the experimental procedures.</w:t>
      </w:r>
    </w:p>
    <w:p w14:paraId="243D818C" w14:textId="77777777" w:rsidR="006A5F4F" w:rsidRDefault="00000000">
      <w:pPr>
        <w:pStyle w:val="Heading1"/>
        <w:spacing w:before="240"/>
      </w:pPr>
      <w:r>
        <w:t>Funding</w:t>
      </w:r>
    </w:p>
    <w:p w14:paraId="669F99A5" w14:textId="77777777" w:rsidR="006A5F4F" w:rsidRDefault="00000000">
      <w:pPr>
        <w:spacing w:after="120" w:line="360" w:lineRule="auto"/>
        <w:ind w:firstLine="425"/>
        <w:jc w:val="both"/>
      </w:pPr>
      <w:r>
        <w:t>This research did not receive any specific grant from funding agencies in the public, commercial, or not-for-profit sectors.</w:t>
      </w:r>
    </w:p>
    <w:p w14:paraId="13D63B37" w14:textId="77777777" w:rsidR="006A5F4F" w:rsidRDefault="00000000">
      <w:pPr>
        <w:pStyle w:val="Heading1"/>
        <w:spacing w:before="240"/>
      </w:pPr>
      <w:r>
        <w:t>Conflict of Interest</w:t>
      </w:r>
    </w:p>
    <w:p w14:paraId="1CAA7284" w14:textId="77777777" w:rsidR="006A5F4F" w:rsidRDefault="00000000">
      <w:pPr>
        <w:spacing w:after="120" w:line="360" w:lineRule="auto"/>
        <w:ind w:firstLine="425"/>
        <w:jc w:val="both"/>
      </w:pPr>
      <w:r>
        <w:t>The authors have no conflicts of interest to declare.</w:t>
      </w:r>
    </w:p>
    <w:p w14:paraId="51F7FB02" w14:textId="77777777" w:rsidR="006A5F4F" w:rsidRDefault="00000000">
      <w:pPr>
        <w:pStyle w:val="Heading1"/>
        <w:spacing w:before="240"/>
      </w:pPr>
      <w:r>
        <w:t>Regulatory Statement</w:t>
      </w:r>
    </w:p>
    <w:p w14:paraId="31655963" w14:textId="77777777" w:rsidR="006A5F4F" w:rsidRDefault="00000000">
      <w:pPr>
        <w:spacing w:after="120" w:line="360" w:lineRule="auto"/>
        <w:ind w:firstLine="425"/>
        <w:jc w:val="both"/>
      </w:pPr>
      <w:r>
        <w:t>This study was conducted in accordance with the institutional guidelines for the care and use of laboratory animals. The study protocol was reviewed and approved by the Institutional Research Ethics Committee (approval number: EC/101/KEPK-FKGUHT/X/2024).</w:t>
      </w:r>
    </w:p>
    <w:p w14:paraId="182306C1" w14:textId="77777777" w:rsidR="006A5F4F" w:rsidRDefault="00000000">
      <w:pPr>
        <w:pStyle w:val="Heading1"/>
        <w:spacing w:before="240"/>
      </w:pPr>
      <w:r>
        <w:t>References</w:t>
      </w:r>
    </w:p>
    <w:p w14:paraId="12C6E126" w14:textId="3874EC94" w:rsidR="006A5F4F" w:rsidRDefault="00000000" w:rsidP="009D4E5D">
      <w:pPr>
        <w:pStyle w:val="ListParagraph"/>
        <w:numPr>
          <w:ilvl w:val="0"/>
          <w:numId w:val="5"/>
        </w:numPr>
        <w:spacing w:after="60"/>
        <w:jc w:val="both"/>
      </w:pPr>
      <w:r w:rsidRPr="009D4E5D">
        <w:rPr>
          <w:sz w:val="22"/>
        </w:rPr>
        <w:t xml:space="preserve">Ma X, Yoo JW, Shin YJ, Park HS, Son YH, Kim DH. Alleviation of </w:t>
      </w:r>
      <w:r w:rsidRPr="009D4E5D">
        <w:rPr>
          <w:i/>
          <w:sz w:val="22"/>
        </w:rPr>
        <w:t>Porphyromonas gingivalis</w:t>
      </w:r>
      <w:r w:rsidRPr="009D4E5D">
        <w:rPr>
          <w:sz w:val="22"/>
        </w:rPr>
        <w:t xml:space="preserve"> or Its Extracellular Vesicles Provoked Periodontitis and Cognitive Impairment by </w:t>
      </w:r>
      <w:r w:rsidRPr="009D4E5D">
        <w:rPr>
          <w:i/>
          <w:sz w:val="22"/>
        </w:rPr>
        <w:t>Lactobacillus pentosus</w:t>
      </w:r>
      <w:r w:rsidRPr="009D4E5D">
        <w:rPr>
          <w:sz w:val="22"/>
        </w:rPr>
        <w:t xml:space="preserve"> NK357 and </w:t>
      </w:r>
      <w:r w:rsidRPr="009D4E5D">
        <w:rPr>
          <w:i/>
          <w:sz w:val="22"/>
        </w:rPr>
        <w:t>Bifidobacterium bifidum</w:t>
      </w:r>
      <w:r w:rsidRPr="009D4E5D">
        <w:rPr>
          <w:sz w:val="22"/>
        </w:rPr>
        <w:t xml:space="preserve"> NK391. Nutrients. 2023 Mar 1;15(5). doi:10.3390/NU15051068 PubMed PMID: 36904068.</w:t>
      </w:r>
    </w:p>
    <w:p w14:paraId="72B829C5" w14:textId="3DBBC479" w:rsidR="006A5F4F" w:rsidRDefault="00000000" w:rsidP="009D4E5D">
      <w:pPr>
        <w:pStyle w:val="ListParagraph"/>
        <w:numPr>
          <w:ilvl w:val="0"/>
          <w:numId w:val="5"/>
        </w:numPr>
        <w:spacing w:after="60"/>
        <w:jc w:val="both"/>
      </w:pPr>
      <w:r w:rsidRPr="009D4E5D">
        <w:rPr>
          <w:sz w:val="22"/>
        </w:rPr>
        <w:t>Budisulistyo T, Samekto W, Pudjonarko D, Suryawati H, Suryadi S, Wahyuni M. Correlation between Chronic Pain with BDNF Levels, Histophatology of Hippocampus, and Spatial Memory in Wistar Rats. Open Access Maced J Med Sci. 2023 Jan 7;11(B):259–63. doi:10.3889/OAMJMS.2023.10710</w:t>
      </w:r>
    </w:p>
    <w:p w14:paraId="1E2768E6" w14:textId="455BFDE0" w:rsidR="006A5F4F" w:rsidRDefault="00000000" w:rsidP="009D4E5D">
      <w:pPr>
        <w:pStyle w:val="ListParagraph"/>
        <w:numPr>
          <w:ilvl w:val="0"/>
          <w:numId w:val="5"/>
        </w:numPr>
        <w:spacing w:after="60"/>
        <w:jc w:val="both"/>
      </w:pPr>
      <w:r w:rsidRPr="009D4E5D">
        <w:rPr>
          <w:sz w:val="22"/>
        </w:rPr>
        <w:t>Kong L, Li J, Gao L, Zhao Y, Chen W, Wang X, et al. Periodontitis-induced neuroinflammation triggers IFITM3-Aβ axis to cause alzheimer’s disease-like pathology and cognitive decline. Alzheimers Res Ther. 2025 Dec 1;17(1). doi:10.1186/S13195-025-01818-3 PubMed PMID: 40684176.</w:t>
      </w:r>
    </w:p>
    <w:p w14:paraId="68EFFC9E" w14:textId="1D9630D5" w:rsidR="006A5F4F" w:rsidRDefault="00000000" w:rsidP="009D4E5D">
      <w:pPr>
        <w:pStyle w:val="ListParagraph"/>
        <w:numPr>
          <w:ilvl w:val="0"/>
          <w:numId w:val="5"/>
        </w:numPr>
        <w:spacing w:after="60"/>
        <w:jc w:val="both"/>
      </w:pPr>
      <w:r w:rsidRPr="009D4E5D">
        <w:rPr>
          <w:sz w:val="22"/>
        </w:rPr>
        <w:t>Maroon JC. The effect of hyperbaric oxygen therapy on cognition, performance, proteomics, and telomere length—The difference between zero and one: A case report. Front Neurol. 2022 Jul 29;13. doi:10.3389/FNEUR.2022.949536</w:t>
      </w:r>
    </w:p>
    <w:p w14:paraId="59BB3B06" w14:textId="42777439" w:rsidR="006A5F4F" w:rsidRDefault="00000000" w:rsidP="009D4E5D">
      <w:pPr>
        <w:pStyle w:val="ListParagraph"/>
        <w:numPr>
          <w:ilvl w:val="0"/>
          <w:numId w:val="5"/>
        </w:numPr>
        <w:spacing w:after="60"/>
        <w:jc w:val="both"/>
      </w:pPr>
      <w:r w:rsidRPr="009D4E5D">
        <w:rPr>
          <w:sz w:val="22"/>
        </w:rPr>
        <w:lastRenderedPageBreak/>
        <w:t xml:space="preserve">Gong T, Chen Q, Mao H, Zhang Y, Ren H, Xu M, et al. Outer membrane vesicles of </w:t>
      </w:r>
      <w:r w:rsidRPr="009D4E5D">
        <w:rPr>
          <w:i/>
          <w:sz w:val="22"/>
        </w:rPr>
        <w:t>Porphyromonas gingivalis</w:t>
      </w:r>
      <w:r w:rsidRPr="009D4E5D">
        <w:rPr>
          <w:sz w:val="22"/>
        </w:rPr>
        <w:t xml:space="preserve"> trigger NLRP3 inflammasome and induce neuroinflammation, tau phosphorylation, and memory dysfunction in mice. Front Cell Infect Microbiol. 2022 Aug 9;12. doi:10.3389/FCIMB.2022.925435 PubMed PMID: 36017373.</w:t>
      </w:r>
    </w:p>
    <w:p w14:paraId="7ED43828" w14:textId="0A93D465" w:rsidR="006A5F4F" w:rsidRDefault="00000000" w:rsidP="009D4E5D">
      <w:pPr>
        <w:pStyle w:val="ListParagraph"/>
        <w:numPr>
          <w:ilvl w:val="0"/>
          <w:numId w:val="5"/>
        </w:numPr>
        <w:spacing w:after="60"/>
        <w:jc w:val="both"/>
      </w:pPr>
      <w:r w:rsidRPr="009D4E5D">
        <w:rPr>
          <w:sz w:val="22"/>
        </w:rPr>
        <w:t>Cichońska D, Mazuś M, Kusiak A. Recent Aspects of Periodontitis and Alzheimer’s Disease—A Narrative Review. International Journal of Molecular Sciences 2024, Vol 25,. 2024 Feb 23;25(5). doi:10.3390/IJMS25052612 PubMed PMID: 38473858.</w:t>
      </w:r>
    </w:p>
    <w:p w14:paraId="2E7B54B6" w14:textId="1A3E08CA" w:rsidR="006A5F4F" w:rsidRDefault="00000000" w:rsidP="009D4E5D">
      <w:pPr>
        <w:pStyle w:val="ListParagraph"/>
        <w:numPr>
          <w:ilvl w:val="0"/>
          <w:numId w:val="5"/>
        </w:numPr>
        <w:spacing w:after="60"/>
        <w:jc w:val="both"/>
      </w:pPr>
      <w:r w:rsidRPr="009D4E5D">
        <w:rPr>
          <w:sz w:val="22"/>
        </w:rPr>
        <w:t>Bosco G, Brizzolari A, Paganini M, Camporesi E, Vezzoli A, Mrakic-Sposta S. Oxy-inflammation in hyperbaric oxygen therapy applications. Eur J Transl Myol. 2025;35(1):12783. doi:10.4081/EJTM.2025.12783 PubMed PMID: 39834265.</w:t>
      </w:r>
    </w:p>
    <w:p w14:paraId="4C6D9F76" w14:textId="368B9F7B" w:rsidR="006A5F4F" w:rsidRDefault="00000000" w:rsidP="009D4E5D">
      <w:pPr>
        <w:pStyle w:val="ListParagraph"/>
        <w:numPr>
          <w:ilvl w:val="0"/>
          <w:numId w:val="5"/>
        </w:numPr>
        <w:spacing w:after="60"/>
        <w:jc w:val="both"/>
      </w:pPr>
      <w:r w:rsidRPr="009D4E5D">
        <w:rPr>
          <w:sz w:val="22"/>
        </w:rPr>
        <w:t>Tan S, Chen W, Kong G, Wei L, Xie Y. Peripheral inflammation and neurocognitive impairment: correlations, underlying mechanisms, and therapeutic implications. Front Aging Neurosci. 2023 Nov 29;15:1305790. doi:10.3389/FNAGI.2023.1305790</w:t>
      </w:r>
    </w:p>
    <w:p w14:paraId="248B4770" w14:textId="7645B8BA" w:rsidR="006A5F4F" w:rsidRDefault="00000000" w:rsidP="009D4E5D">
      <w:pPr>
        <w:pStyle w:val="ListParagraph"/>
        <w:numPr>
          <w:ilvl w:val="0"/>
          <w:numId w:val="5"/>
        </w:numPr>
        <w:spacing w:after="60"/>
        <w:jc w:val="both"/>
      </w:pPr>
      <w:r w:rsidRPr="009D4E5D">
        <w:rPr>
          <w:sz w:val="22"/>
        </w:rPr>
        <w:t xml:space="preserve">Magnusson A, Wu R, Demirel I. </w:t>
      </w:r>
      <w:r w:rsidRPr="009D4E5D">
        <w:rPr>
          <w:i/>
          <w:sz w:val="22"/>
        </w:rPr>
        <w:t>Porphyromonas gingivalis</w:t>
      </w:r>
      <w:r w:rsidRPr="009D4E5D">
        <w:rPr>
          <w:sz w:val="22"/>
        </w:rPr>
        <w:t xml:space="preserve"> triggers microglia activation and neurodegenerative processes through NOX4. Front Cell Infect Microbiol. 2024 Oct 14;14:1451683. doi:10.3389/FCIMB.2024.1451683 PubMed PMID: 39469453.</w:t>
      </w:r>
    </w:p>
    <w:p w14:paraId="0E4057CD" w14:textId="2838E3BB" w:rsidR="006A5F4F" w:rsidRDefault="00000000" w:rsidP="009D4E5D">
      <w:pPr>
        <w:pStyle w:val="ListParagraph"/>
        <w:numPr>
          <w:ilvl w:val="0"/>
          <w:numId w:val="5"/>
        </w:numPr>
        <w:spacing w:after="60"/>
        <w:jc w:val="both"/>
      </w:pPr>
      <w:r w:rsidRPr="009D4E5D">
        <w:rPr>
          <w:sz w:val="22"/>
        </w:rPr>
        <w:t xml:space="preserve">Jung S, Park H. Pathological implications of </w:t>
      </w:r>
      <w:r w:rsidRPr="009D4E5D">
        <w:rPr>
          <w:i/>
          <w:sz w:val="22"/>
        </w:rPr>
        <w:t>Porphyromonas gingivalis</w:t>
      </w:r>
      <w:r w:rsidRPr="009D4E5D">
        <w:rPr>
          <w:sz w:val="22"/>
        </w:rPr>
        <w:t xml:space="preserve"> in Alzheimer’s disease and therapeutic potential of gingipain inhibitors. Oral Biology Research. 2025 Mar 31;49(1). doi:10.21851/OBR.25.002</w:t>
      </w:r>
    </w:p>
    <w:p w14:paraId="55750B38" w14:textId="25D34085" w:rsidR="006A5F4F" w:rsidRDefault="00000000" w:rsidP="009D4E5D">
      <w:pPr>
        <w:pStyle w:val="ListParagraph"/>
        <w:numPr>
          <w:ilvl w:val="0"/>
          <w:numId w:val="5"/>
        </w:numPr>
        <w:spacing w:after="60"/>
        <w:jc w:val="both"/>
      </w:pPr>
      <w:r w:rsidRPr="009D4E5D">
        <w:rPr>
          <w:sz w:val="22"/>
        </w:rPr>
        <w:t>Shapira R, Gdalyahu A, Gottfried I, Sasson E, Hadanny A, Efrati S, et al. Hyperbaric oxygen therapy alleviates vascular dysfunction and amyloid burden in an Alzheimer’s disease mouse model and in elderly patients. Aging (Albany NY). 2021 Sep 15;13(17):20935. doi:10.18632/AGING.203485 PubMed PMID: 34499614.</w:t>
      </w:r>
    </w:p>
    <w:p w14:paraId="063C4295" w14:textId="7C4E134D" w:rsidR="006A5F4F" w:rsidRDefault="00000000" w:rsidP="009D4E5D">
      <w:pPr>
        <w:pStyle w:val="ListParagraph"/>
        <w:numPr>
          <w:ilvl w:val="0"/>
          <w:numId w:val="5"/>
        </w:numPr>
        <w:spacing w:after="60"/>
        <w:jc w:val="both"/>
      </w:pPr>
      <w:r w:rsidRPr="009D4E5D">
        <w:rPr>
          <w:sz w:val="22"/>
        </w:rPr>
        <w:t>Lin G, Zhao L, Lin J, Li X, Xu L. Clinical evidence of hyperbaric oxygen therapy for Alzheimer’s disease: a systematic review and meta-analysis of randomized controlled trials. Front Aging Neurosci. 2024;16. doi:10.3389/FNAGI.2024.1360148</w:t>
      </w:r>
    </w:p>
    <w:p w14:paraId="50D2FC6F" w14:textId="56733FFF" w:rsidR="006A5F4F" w:rsidRDefault="00000000" w:rsidP="009D4E5D">
      <w:pPr>
        <w:pStyle w:val="ListParagraph"/>
        <w:numPr>
          <w:ilvl w:val="0"/>
          <w:numId w:val="5"/>
        </w:numPr>
        <w:spacing w:after="60"/>
        <w:jc w:val="both"/>
      </w:pPr>
      <w:r w:rsidRPr="009D4E5D">
        <w:rPr>
          <w:sz w:val="22"/>
        </w:rPr>
        <w:t>Marcinkowska AB, Mankowska ND, Kot J, Winklewski PJ. Impact of Hyperbaric Oxygen Therapy on Cognitive Functions: a Systematic Review. Neuropsychol Rev. 2022 Mar 1;32(1):99–126. doi:10.1007/S11065-021-09500-9 PubMed PMID: 33847854.</w:t>
      </w:r>
    </w:p>
    <w:p w14:paraId="492B11E7" w14:textId="3C0FBD8F" w:rsidR="006A5F4F" w:rsidRDefault="00000000" w:rsidP="009D4E5D">
      <w:pPr>
        <w:pStyle w:val="ListParagraph"/>
        <w:numPr>
          <w:ilvl w:val="0"/>
          <w:numId w:val="5"/>
        </w:numPr>
        <w:spacing w:after="60"/>
        <w:jc w:val="both"/>
      </w:pPr>
      <w:r w:rsidRPr="009D4E5D">
        <w:rPr>
          <w:sz w:val="22"/>
        </w:rPr>
        <w:t>Li B, Li H, Chen H, Sui Y, Zeng J, Lin X, et al. Utilizing Hyperbaric Oxygen Therapy to Improve Cognitive Function in Patients With Alzheimer’s Disease by Activating Autophagy-Related Signaling Pathways. Physiol Res. 2025;74(1):141–7. doi:10.33549/PHYSIOLRES.935447 PubMed PMID: 40126150.</w:t>
      </w:r>
    </w:p>
    <w:p w14:paraId="145AB41F" w14:textId="7831FFE2" w:rsidR="006A5F4F" w:rsidRDefault="00000000" w:rsidP="009D4E5D">
      <w:pPr>
        <w:pStyle w:val="ListParagraph"/>
        <w:numPr>
          <w:ilvl w:val="0"/>
          <w:numId w:val="5"/>
        </w:numPr>
        <w:spacing w:after="60"/>
        <w:jc w:val="both"/>
      </w:pPr>
      <w:r w:rsidRPr="009D4E5D">
        <w:rPr>
          <w:sz w:val="22"/>
        </w:rPr>
        <w:t>Kim J, Kang H, Lee YB, Lee B, Lee D. A quantitative analysis of spontaneous alternation behaviors on a Y-maze reveals adverse effects of acute social isolation on spatial working memory. Sci Rep. 2023 Dec 1;13(1). doi:10.1038/S41598-023-41996-4 PubMed PMID: 37679447.</w:t>
      </w:r>
    </w:p>
    <w:p w14:paraId="76BCBDA2" w14:textId="0C64EC8F" w:rsidR="006A5F4F" w:rsidRDefault="00000000" w:rsidP="009D4E5D">
      <w:pPr>
        <w:pStyle w:val="ListParagraph"/>
        <w:numPr>
          <w:ilvl w:val="0"/>
          <w:numId w:val="5"/>
        </w:numPr>
        <w:spacing w:after="60"/>
        <w:jc w:val="both"/>
      </w:pPr>
      <w:r w:rsidRPr="009D4E5D">
        <w:rPr>
          <w:sz w:val="22"/>
        </w:rPr>
        <w:t>Hadanny A, Catalogna M, Yaniv S, Stolar O, Rothstein L, Shabi A, et al. Hyperbaric oxygen therapy in children with post-concussion syndrome improves cognitive and behavioral function: a randomized controlled trial. Sci Rep. 2022 Dec 1;12(1). doi:10.1038/S41598-022-19395-Y PubMed PMID: 36151105.</w:t>
      </w:r>
    </w:p>
    <w:p w14:paraId="41C3EEC8" w14:textId="55BC9C7D" w:rsidR="006A5F4F" w:rsidRDefault="00000000" w:rsidP="009D4E5D">
      <w:pPr>
        <w:pStyle w:val="ListParagraph"/>
        <w:numPr>
          <w:ilvl w:val="0"/>
          <w:numId w:val="5"/>
        </w:numPr>
        <w:spacing w:after="60"/>
        <w:jc w:val="both"/>
      </w:pPr>
      <w:r w:rsidRPr="009D4E5D">
        <w:rPr>
          <w:sz w:val="22"/>
        </w:rPr>
        <w:t xml:space="preserve">Cheng X, Chi L, Lin T, Liang F, Pei Z, Sun J, et al. Exogenous monocyte myeloid-derived suppressor cells ameliorate immune imbalance, neuroinflammation and cognitive impairment in 5xFAD mice infected with </w:t>
      </w:r>
      <w:r w:rsidRPr="009D4E5D">
        <w:rPr>
          <w:i/>
          <w:sz w:val="22"/>
        </w:rPr>
        <w:t>Porphyromonas gingivalis</w:t>
      </w:r>
      <w:r w:rsidRPr="009D4E5D">
        <w:rPr>
          <w:sz w:val="22"/>
        </w:rPr>
        <w:t>. J Neuroinflammation. 2023 Dec 1;20(1). doi:10.1186/S12974-023-02743-8 PubMed PMID: 36864466.</w:t>
      </w:r>
    </w:p>
    <w:p w14:paraId="14AC3D1C" w14:textId="2658E17A" w:rsidR="006A5F4F" w:rsidRDefault="00000000" w:rsidP="009D4E5D">
      <w:pPr>
        <w:pStyle w:val="ListParagraph"/>
        <w:numPr>
          <w:ilvl w:val="0"/>
          <w:numId w:val="5"/>
        </w:numPr>
        <w:spacing w:after="60"/>
        <w:jc w:val="both"/>
      </w:pPr>
      <w:r w:rsidRPr="009D4E5D">
        <w:rPr>
          <w:sz w:val="22"/>
        </w:rPr>
        <w:t>Wang S, Chen B, Yuan M, Liu S, Fan H, Yang X, et al. Enriched oxygen improves age-related cognitive impairment through enhancing autophagy. Front Aging Neurosci. 2024;16. doi:10.3389/FNAGI.2024.1340117</w:t>
      </w:r>
    </w:p>
    <w:p w14:paraId="2EB11578" w14:textId="1F8436B7" w:rsidR="006A5F4F" w:rsidRDefault="00000000" w:rsidP="009D4E5D">
      <w:pPr>
        <w:pStyle w:val="ListParagraph"/>
        <w:numPr>
          <w:ilvl w:val="0"/>
          <w:numId w:val="5"/>
        </w:numPr>
        <w:spacing w:after="60"/>
        <w:jc w:val="both"/>
      </w:pPr>
      <w:r w:rsidRPr="009D4E5D">
        <w:rPr>
          <w:sz w:val="22"/>
        </w:rPr>
        <w:lastRenderedPageBreak/>
        <w:t>d’Isa R, Comi G, Leocani L. Apparatus design and behavioural testing protocol for the evaluation of spatial working memory in mice through the spontaneous alternation T-maze. Sci Rep. 2021 Dec 1;11(1). doi:10.1038/S41598-021-00402-7 PubMed PMID: 34707108.</w:t>
      </w:r>
    </w:p>
    <w:p w14:paraId="5A915C35" w14:textId="0AB94376" w:rsidR="006A5F4F" w:rsidRDefault="00000000" w:rsidP="009D4E5D">
      <w:pPr>
        <w:pStyle w:val="ListParagraph"/>
        <w:numPr>
          <w:ilvl w:val="0"/>
          <w:numId w:val="5"/>
        </w:numPr>
        <w:spacing w:after="60"/>
        <w:jc w:val="both"/>
      </w:pPr>
      <w:r w:rsidRPr="009D4E5D">
        <w:rPr>
          <w:sz w:val="22"/>
        </w:rPr>
        <w:t xml:space="preserve">Ma X, Shin YJ, Yoo JW, Park HS, Kim DH. Extracellular vesicles derived from </w:t>
      </w:r>
      <w:r w:rsidRPr="009D4E5D">
        <w:rPr>
          <w:i/>
          <w:sz w:val="22"/>
        </w:rPr>
        <w:t>Porphyromonas gingivalis</w:t>
      </w:r>
      <w:r w:rsidRPr="009D4E5D">
        <w:rPr>
          <w:sz w:val="22"/>
        </w:rPr>
        <w:t xml:space="preserve"> induce trigeminal nerve-mediated cognitive impairment. J Adv Res. 2023 Dec 1;54:293–303. doi:10.1016/J.JARE.2023.02.006 PubMed PMID: 36796586.</w:t>
      </w:r>
    </w:p>
    <w:p w14:paraId="158B3F43" w14:textId="0B44BBB7" w:rsidR="006A5F4F" w:rsidRDefault="00000000" w:rsidP="009D4E5D">
      <w:pPr>
        <w:pStyle w:val="ListParagraph"/>
        <w:numPr>
          <w:ilvl w:val="0"/>
          <w:numId w:val="5"/>
        </w:numPr>
        <w:spacing w:after="60"/>
        <w:jc w:val="both"/>
      </w:pPr>
      <w:r w:rsidRPr="009D4E5D">
        <w:rPr>
          <w:sz w:val="22"/>
        </w:rPr>
        <w:t>Gottfried I, Schottlender N, Ashery U. Hyperbaric Oxygen Treatment—From Mechanisms to Cognitive Improvement. Biomolecules. 2021 Oct 1;11(10). doi:10.3390/BIOM11101520 PubMed PMID: 34680155.</w:t>
      </w:r>
    </w:p>
    <w:p w14:paraId="1A06B74C" w14:textId="10BA7315" w:rsidR="006A5F4F" w:rsidRDefault="00000000" w:rsidP="009D4E5D">
      <w:pPr>
        <w:pStyle w:val="ListParagraph"/>
        <w:numPr>
          <w:ilvl w:val="0"/>
          <w:numId w:val="5"/>
        </w:numPr>
        <w:spacing w:after="60"/>
        <w:jc w:val="both"/>
      </w:pPr>
      <w:r w:rsidRPr="009D4E5D">
        <w:rPr>
          <w:sz w:val="22"/>
        </w:rPr>
        <w:t>Gl S. Current Review: Hyperbaric Oxygen Analysis with Appropriate Cognitive Assessment. Journal of Clinical Medical Research. 2024 Dec 9;1–5. doi:10.46889/JCMR.2024.5315</w:t>
      </w:r>
    </w:p>
    <w:p w14:paraId="0EB29CCE" w14:textId="65423CCB" w:rsidR="006A5F4F" w:rsidRDefault="00000000" w:rsidP="009D4E5D">
      <w:pPr>
        <w:pStyle w:val="ListParagraph"/>
        <w:numPr>
          <w:ilvl w:val="0"/>
          <w:numId w:val="5"/>
        </w:numPr>
        <w:spacing w:after="60"/>
        <w:jc w:val="both"/>
      </w:pPr>
      <w:r w:rsidRPr="009D4E5D">
        <w:rPr>
          <w:sz w:val="22"/>
        </w:rPr>
        <w:t>Shabi Shlifer A, Suzin G, Shorer R, Lang E, Finci S, Elman-Shina K, et al. Hyperbaric oxygen therapy improves post-concussion symptoms in adults with childhood traumatic brain injury: a retrospective cohort study. Front Neurol. 2025;16. doi:10.3389/FNEUR.2025.1641033</w:t>
      </w:r>
    </w:p>
    <w:p w14:paraId="3284EE0E" w14:textId="76D354E5" w:rsidR="009D4E5D" w:rsidRPr="009D4E5D" w:rsidRDefault="00000000" w:rsidP="009D4E5D">
      <w:pPr>
        <w:pStyle w:val="ListParagraph"/>
        <w:numPr>
          <w:ilvl w:val="0"/>
          <w:numId w:val="5"/>
        </w:numPr>
        <w:spacing w:after="60"/>
        <w:jc w:val="both"/>
        <w:rPr>
          <w:sz w:val="22"/>
        </w:rPr>
      </w:pPr>
      <w:r w:rsidRPr="009D4E5D">
        <w:rPr>
          <w:sz w:val="22"/>
        </w:rPr>
        <w:t xml:space="preserve">Huang Z, Hao M, Shi N, Wang X, Yuan L, Yuan H, et al. </w:t>
      </w:r>
      <w:r w:rsidRPr="009D4E5D">
        <w:rPr>
          <w:i/>
          <w:sz w:val="22"/>
        </w:rPr>
        <w:t>Porphyromonas gingivalis</w:t>
      </w:r>
      <w:r w:rsidRPr="009D4E5D">
        <w:rPr>
          <w:sz w:val="22"/>
        </w:rPr>
        <w:t>: a potential trigger of neurodegenerative disease. Front Immunol. 2025;16. doi:10.3389/FIMMU.2025.1482033 PubMed PMID: 40028317.</w:t>
      </w:r>
    </w:p>
    <w:p w14:paraId="045AA368" w14:textId="3E04B24A" w:rsidR="009D4E5D" w:rsidRPr="00AC114A" w:rsidRDefault="009D4E5D" w:rsidP="009D4E5D">
      <w:pPr>
        <w:pStyle w:val="ListParagraph"/>
        <w:numPr>
          <w:ilvl w:val="0"/>
          <w:numId w:val="5"/>
        </w:numPr>
        <w:spacing w:line="240" w:lineRule="auto"/>
        <w:rPr>
          <w:rFonts w:ascii="Times New Roman" w:eastAsia="Times New Roman" w:hAnsi="Times New Roman" w:cs="Times New Roman"/>
          <w:szCs w:val="24"/>
          <w:highlight w:val="yellow"/>
          <w:lang w:val="en-ID" w:eastAsia="en-ID"/>
        </w:rPr>
      </w:pPr>
      <w:proofErr w:type="spellStart"/>
      <w:r w:rsidRPr="00AC114A">
        <w:rPr>
          <w:rFonts w:ascii="Times New Roman" w:eastAsia="Times New Roman" w:hAnsi="Times New Roman" w:cs="Times New Roman"/>
          <w:szCs w:val="24"/>
          <w:highlight w:val="yellow"/>
          <w:lang w:val="en-ID" w:eastAsia="en-ID"/>
        </w:rPr>
        <w:t>Widjiastuti</w:t>
      </w:r>
      <w:proofErr w:type="spellEnd"/>
      <w:r w:rsidRPr="00AC114A">
        <w:rPr>
          <w:rFonts w:ascii="Times New Roman" w:eastAsia="Times New Roman" w:hAnsi="Times New Roman" w:cs="Times New Roman"/>
          <w:szCs w:val="24"/>
          <w:highlight w:val="yellow"/>
          <w:lang w:val="en-ID" w:eastAsia="en-ID"/>
        </w:rPr>
        <w:t xml:space="preserve"> I, </w:t>
      </w:r>
      <w:proofErr w:type="spellStart"/>
      <w:r w:rsidRPr="00AC114A">
        <w:rPr>
          <w:rFonts w:ascii="Times New Roman" w:eastAsia="Times New Roman" w:hAnsi="Times New Roman" w:cs="Times New Roman"/>
          <w:szCs w:val="24"/>
          <w:highlight w:val="yellow"/>
          <w:lang w:val="en-ID" w:eastAsia="en-ID"/>
        </w:rPr>
        <w:t>Setyabudi</w:t>
      </w:r>
      <w:proofErr w:type="spellEnd"/>
      <w:r w:rsidRPr="00AC114A">
        <w:rPr>
          <w:rFonts w:ascii="Times New Roman" w:eastAsia="Times New Roman" w:hAnsi="Times New Roman" w:cs="Times New Roman"/>
          <w:szCs w:val="24"/>
          <w:highlight w:val="yellow"/>
          <w:lang w:val="en-ID" w:eastAsia="en-ID"/>
        </w:rPr>
        <w:t xml:space="preserve">, Samuel GA, </w:t>
      </w:r>
      <w:proofErr w:type="spellStart"/>
      <w:r w:rsidRPr="00AC114A">
        <w:rPr>
          <w:rFonts w:ascii="Times New Roman" w:eastAsia="Times New Roman" w:hAnsi="Times New Roman" w:cs="Times New Roman"/>
          <w:szCs w:val="24"/>
          <w:highlight w:val="yellow"/>
          <w:lang w:val="en-ID" w:eastAsia="en-ID"/>
        </w:rPr>
        <w:t>Basalamah</w:t>
      </w:r>
      <w:proofErr w:type="spellEnd"/>
      <w:r w:rsidRPr="00AC114A">
        <w:rPr>
          <w:rFonts w:ascii="Times New Roman" w:eastAsia="Times New Roman" w:hAnsi="Times New Roman" w:cs="Times New Roman"/>
          <w:szCs w:val="24"/>
          <w:highlight w:val="yellow"/>
          <w:lang w:val="en-ID" w:eastAsia="en-ID"/>
        </w:rPr>
        <w:t xml:space="preserve"> KF. The effect of calcium hydroxide in combination with propolis extract on decreasing nerve growth factor and substance P expression in rat dental pulp neuron. Braz Dent Sci. 2024 Apr 1;27(1). doi:10.4322/BDS.2024.E4023</w:t>
      </w:r>
    </w:p>
    <w:p w14:paraId="1B21453A" w14:textId="36588C26" w:rsidR="009D4E5D" w:rsidRPr="00AC114A" w:rsidRDefault="009D4E5D" w:rsidP="009D4E5D">
      <w:pPr>
        <w:pStyle w:val="ListParagraph"/>
        <w:numPr>
          <w:ilvl w:val="0"/>
          <w:numId w:val="5"/>
        </w:numPr>
        <w:spacing w:line="240" w:lineRule="auto"/>
        <w:rPr>
          <w:rFonts w:ascii="Times New Roman" w:eastAsia="Times New Roman" w:hAnsi="Times New Roman" w:cs="Times New Roman"/>
          <w:szCs w:val="24"/>
          <w:highlight w:val="yellow"/>
          <w:lang w:val="en-ID" w:eastAsia="en-ID"/>
        </w:rPr>
      </w:pPr>
      <w:r w:rsidRPr="00AC114A">
        <w:rPr>
          <w:rFonts w:ascii="Times New Roman" w:eastAsia="Times New Roman" w:hAnsi="Times New Roman" w:cs="Times New Roman"/>
          <w:szCs w:val="24"/>
          <w:highlight w:val="yellow"/>
          <w:lang w:val="en-ID" w:eastAsia="en-ID"/>
        </w:rPr>
        <w:t>Almeida TM de O, Borges MHN, Sette-De-</w:t>
      </w:r>
      <w:proofErr w:type="spellStart"/>
      <w:r w:rsidRPr="00AC114A">
        <w:rPr>
          <w:rFonts w:ascii="Times New Roman" w:eastAsia="Times New Roman" w:hAnsi="Times New Roman" w:cs="Times New Roman"/>
          <w:szCs w:val="24"/>
          <w:highlight w:val="yellow"/>
          <w:lang w:val="en-ID" w:eastAsia="en-ID"/>
        </w:rPr>
        <w:t>souza</w:t>
      </w:r>
      <w:proofErr w:type="spellEnd"/>
      <w:r w:rsidRPr="00AC114A">
        <w:rPr>
          <w:rFonts w:ascii="Times New Roman" w:eastAsia="Times New Roman" w:hAnsi="Times New Roman" w:cs="Times New Roman"/>
          <w:szCs w:val="24"/>
          <w:highlight w:val="yellow"/>
          <w:lang w:val="en-ID" w:eastAsia="en-ID"/>
        </w:rPr>
        <w:t xml:space="preserve"> PH, Pinheiro MA, Vieira BR, Sampaio GA de M. Incorporation of red propolis into ionomer restorative cements: an antimicrobial and fluoride release analysis. Braz Dent Sci. 2025 Nov 25;28(4</w:t>
      </w:r>
      <w:proofErr w:type="gramStart"/>
      <w:r w:rsidRPr="00AC114A">
        <w:rPr>
          <w:rFonts w:ascii="Times New Roman" w:eastAsia="Times New Roman" w:hAnsi="Times New Roman" w:cs="Times New Roman"/>
          <w:szCs w:val="24"/>
          <w:highlight w:val="yellow"/>
          <w:lang w:val="en-ID" w:eastAsia="en-ID"/>
        </w:rPr>
        <w:t>):e</w:t>
      </w:r>
      <w:proofErr w:type="gramEnd"/>
      <w:r w:rsidRPr="00AC114A">
        <w:rPr>
          <w:rFonts w:ascii="Times New Roman" w:eastAsia="Times New Roman" w:hAnsi="Times New Roman" w:cs="Times New Roman"/>
          <w:szCs w:val="24"/>
          <w:highlight w:val="yellow"/>
          <w:lang w:val="en-ID" w:eastAsia="en-ID"/>
        </w:rPr>
        <w:t>4697–e4697. doi:10.4322/BDS.2025.E4697</w:t>
      </w:r>
    </w:p>
    <w:p w14:paraId="488D6A71" w14:textId="77777777" w:rsidR="009D4E5D" w:rsidRPr="00AC114A" w:rsidRDefault="009D4E5D" w:rsidP="009D4E5D">
      <w:pPr>
        <w:pStyle w:val="ListParagraph"/>
        <w:numPr>
          <w:ilvl w:val="0"/>
          <w:numId w:val="5"/>
        </w:numPr>
        <w:spacing w:line="240" w:lineRule="auto"/>
        <w:rPr>
          <w:rFonts w:ascii="Times New Roman" w:eastAsia="Times New Roman" w:hAnsi="Times New Roman" w:cs="Times New Roman"/>
          <w:szCs w:val="24"/>
          <w:highlight w:val="yellow"/>
          <w:lang w:val="en-ID" w:eastAsia="en-ID"/>
        </w:rPr>
      </w:pPr>
      <w:r w:rsidRPr="00AC114A">
        <w:rPr>
          <w:rFonts w:ascii="Times New Roman" w:eastAsia="Times New Roman" w:hAnsi="Times New Roman" w:cs="Times New Roman"/>
          <w:szCs w:val="24"/>
          <w:highlight w:val="yellow"/>
          <w:lang w:val="en-ID" w:eastAsia="en-ID"/>
        </w:rPr>
        <w:t>Alwan AM, Al-</w:t>
      </w:r>
      <w:proofErr w:type="spellStart"/>
      <w:r w:rsidRPr="00AC114A">
        <w:rPr>
          <w:rFonts w:ascii="Times New Roman" w:eastAsia="Times New Roman" w:hAnsi="Times New Roman" w:cs="Times New Roman"/>
          <w:szCs w:val="24"/>
          <w:highlight w:val="yellow"/>
          <w:lang w:val="en-ID" w:eastAsia="en-ID"/>
        </w:rPr>
        <w:t>Karawi</w:t>
      </w:r>
      <w:proofErr w:type="spellEnd"/>
      <w:r w:rsidRPr="00AC114A">
        <w:rPr>
          <w:rFonts w:ascii="Times New Roman" w:eastAsia="Times New Roman" w:hAnsi="Times New Roman" w:cs="Times New Roman"/>
          <w:szCs w:val="24"/>
          <w:highlight w:val="yellow"/>
          <w:lang w:val="en-ID" w:eastAsia="en-ID"/>
        </w:rPr>
        <w:t xml:space="preserve"> SI, Abdul-Wahab GA. The impact of traditional smokers versus electronic cigarette smokers on periodontal parameters in </w:t>
      </w:r>
      <w:proofErr w:type="spellStart"/>
      <w:r w:rsidRPr="00AC114A">
        <w:rPr>
          <w:rFonts w:ascii="Times New Roman" w:eastAsia="Times New Roman" w:hAnsi="Times New Roman" w:cs="Times New Roman"/>
          <w:szCs w:val="24"/>
          <w:highlight w:val="yellow"/>
          <w:lang w:val="en-ID" w:eastAsia="en-ID"/>
        </w:rPr>
        <w:t>iraqi</w:t>
      </w:r>
      <w:proofErr w:type="spellEnd"/>
      <w:r w:rsidRPr="00AC114A">
        <w:rPr>
          <w:rFonts w:ascii="Times New Roman" w:eastAsia="Times New Roman" w:hAnsi="Times New Roman" w:cs="Times New Roman"/>
          <w:szCs w:val="24"/>
          <w:highlight w:val="yellow"/>
          <w:lang w:val="en-ID" w:eastAsia="en-ID"/>
        </w:rPr>
        <w:t xml:space="preserve"> males. Braz Dent Sci. 2024 Jun 11;27(1). doi:10.4322/BDS.2024.E4166</w:t>
      </w:r>
    </w:p>
    <w:p w14:paraId="18BB1279" w14:textId="77777777" w:rsidR="009D4E5D" w:rsidRPr="009D4E5D" w:rsidRDefault="009D4E5D" w:rsidP="009D4E5D">
      <w:pPr>
        <w:spacing w:after="60"/>
        <w:jc w:val="both"/>
        <w:rPr>
          <w:sz w:val="22"/>
        </w:rPr>
      </w:pPr>
    </w:p>
    <w:p w14:paraId="05F261F4" w14:textId="77777777" w:rsidR="009D4E5D" w:rsidRDefault="009D4E5D">
      <w:pPr>
        <w:spacing w:after="60"/>
        <w:ind w:left="283" w:hanging="283"/>
        <w:jc w:val="both"/>
      </w:pPr>
    </w:p>
    <w:sectPr w:rsidR="009D4E5D">
      <w:footerReference w:type="default" r:id="rId8"/>
      <w:pgSz w:w="11909" w:h="16834"/>
      <w:pgMar w:top="1134" w:right="1134" w:bottom="1134" w:left="1134"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C6CC4" w14:textId="77777777" w:rsidR="004B3887" w:rsidRDefault="004B3887" w:rsidP="008229F8">
      <w:pPr>
        <w:spacing w:line="240" w:lineRule="auto"/>
      </w:pPr>
      <w:r>
        <w:separator/>
      </w:r>
    </w:p>
  </w:endnote>
  <w:endnote w:type="continuationSeparator" w:id="0">
    <w:p w14:paraId="5A55E61E" w14:textId="77777777" w:rsidR="004B3887" w:rsidRDefault="004B3887" w:rsidP="00822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065"/>
      <w:docPartObj>
        <w:docPartGallery w:val="Page Numbers (Bottom of Page)"/>
        <w:docPartUnique/>
      </w:docPartObj>
    </w:sdtPr>
    <w:sdtContent>
      <w:p w14:paraId="257DB966" w14:textId="77777777" w:rsidR="003E19E7" w:rsidRDefault="003E19E7">
        <w:pPr>
          <w:pStyle w:val="Footer"/>
          <w:jc w:val="right"/>
        </w:pPr>
        <w:r>
          <w:fldChar w:fldCharType="begin"/>
        </w:r>
        <w:r>
          <w:instrText>PAGE   \* MERGEFORMAT</w:instrText>
        </w:r>
        <w:r>
          <w:fldChar w:fldCharType="separate"/>
        </w:r>
        <w:r>
          <w:rPr>
            <w:lang w:val="nl-NL"/>
          </w:rPr>
          <w:t>2</w:t>
        </w:r>
        <w:r>
          <w:fldChar w:fldCharType="end"/>
        </w:r>
      </w:p>
    </w:sdtContent>
  </w:sdt>
  <w:p w14:paraId="633E5738" w14:textId="77777777" w:rsidR="003E19E7" w:rsidRDefault="003E1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73676" w14:textId="77777777" w:rsidR="004B3887" w:rsidRDefault="004B3887" w:rsidP="008229F8">
      <w:pPr>
        <w:spacing w:line="240" w:lineRule="auto"/>
      </w:pPr>
      <w:r>
        <w:separator/>
      </w:r>
    </w:p>
  </w:footnote>
  <w:footnote w:type="continuationSeparator" w:id="0">
    <w:p w14:paraId="5F9D3BDC" w14:textId="77777777" w:rsidR="004B3887" w:rsidRDefault="004B3887" w:rsidP="008229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311"/>
    <w:multiLevelType w:val="hybridMultilevel"/>
    <w:tmpl w:val="5AEA1EC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9B8133A"/>
    <w:multiLevelType w:val="hybridMultilevel"/>
    <w:tmpl w:val="99E681E0"/>
    <w:lvl w:ilvl="0" w:tplc="46EAF6DA">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890412"/>
    <w:multiLevelType w:val="hybridMultilevel"/>
    <w:tmpl w:val="A8AA2A1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0B752E2"/>
    <w:multiLevelType w:val="hybridMultilevel"/>
    <w:tmpl w:val="F3301D3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45213D90"/>
    <w:multiLevelType w:val="hybridMultilevel"/>
    <w:tmpl w:val="FAEE3B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0BB1E64"/>
    <w:multiLevelType w:val="multilevel"/>
    <w:tmpl w:val="449ED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33317091">
    <w:abstractNumId w:val="5"/>
  </w:num>
  <w:num w:numId="2" w16cid:durableId="6366885">
    <w:abstractNumId w:val="0"/>
  </w:num>
  <w:num w:numId="3" w16cid:durableId="1284994982">
    <w:abstractNumId w:val="2"/>
  </w:num>
  <w:num w:numId="4" w16cid:durableId="1442145917">
    <w:abstractNumId w:val="3"/>
  </w:num>
  <w:num w:numId="5" w16cid:durableId="1989358793">
    <w:abstractNumId w:val="4"/>
  </w:num>
  <w:num w:numId="6" w16cid:durableId="1373531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39C"/>
    <w:rsid w:val="0002231C"/>
    <w:rsid w:val="00034978"/>
    <w:rsid w:val="000642F7"/>
    <w:rsid w:val="00072E7A"/>
    <w:rsid w:val="000B0C5A"/>
    <w:rsid w:val="000F79D4"/>
    <w:rsid w:val="00174536"/>
    <w:rsid w:val="001804AE"/>
    <w:rsid w:val="001904DC"/>
    <w:rsid w:val="001B498A"/>
    <w:rsid w:val="001F42A4"/>
    <w:rsid w:val="00213E2B"/>
    <w:rsid w:val="00240A11"/>
    <w:rsid w:val="00282F55"/>
    <w:rsid w:val="002864D1"/>
    <w:rsid w:val="002F1619"/>
    <w:rsid w:val="002F6134"/>
    <w:rsid w:val="00356BEE"/>
    <w:rsid w:val="00363785"/>
    <w:rsid w:val="00366923"/>
    <w:rsid w:val="003B0CBE"/>
    <w:rsid w:val="003D396B"/>
    <w:rsid w:val="003E19E7"/>
    <w:rsid w:val="00410F86"/>
    <w:rsid w:val="00435DDC"/>
    <w:rsid w:val="00446710"/>
    <w:rsid w:val="004558D5"/>
    <w:rsid w:val="00493A66"/>
    <w:rsid w:val="0049738B"/>
    <w:rsid w:val="004B335B"/>
    <w:rsid w:val="004B3887"/>
    <w:rsid w:val="004D71FF"/>
    <w:rsid w:val="00536B7C"/>
    <w:rsid w:val="005A64BE"/>
    <w:rsid w:val="005C5EDE"/>
    <w:rsid w:val="005E73EA"/>
    <w:rsid w:val="006135E5"/>
    <w:rsid w:val="00653E8D"/>
    <w:rsid w:val="006567AE"/>
    <w:rsid w:val="00684BEC"/>
    <w:rsid w:val="006A0EC5"/>
    <w:rsid w:val="006A3F4D"/>
    <w:rsid w:val="006A5F4F"/>
    <w:rsid w:val="006D45CA"/>
    <w:rsid w:val="00710783"/>
    <w:rsid w:val="00731E4C"/>
    <w:rsid w:val="00752C3F"/>
    <w:rsid w:val="00753BCB"/>
    <w:rsid w:val="00780318"/>
    <w:rsid w:val="00783AE1"/>
    <w:rsid w:val="00802BDE"/>
    <w:rsid w:val="008229F8"/>
    <w:rsid w:val="00860F41"/>
    <w:rsid w:val="00887CE9"/>
    <w:rsid w:val="008A35F4"/>
    <w:rsid w:val="008A7E18"/>
    <w:rsid w:val="008B4180"/>
    <w:rsid w:val="008D1903"/>
    <w:rsid w:val="008F5179"/>
    <w:rsid w:val="00913114"/>
    <w:rsid w:val="00921597"/>
    <w:rsid w:val="00930026"/>
    <w:rsid w:val="0093503D"/>
    <w:rsid w:val="009812AE"/>
    <w:rsid w:val="009D4E5D"/>
    <w:rsid w:val="00A3395B"/>
    <w:rsid w:val="00AA566D"/>
    <w:rsid w:val="00AA75C9"/>
    <w:rsid w:val="00AC114A"/>
    <w:rsid w:val="00AC4698"/>
    <w:rsid w:val="00B15406"/>
    <w:rsid w:val="00B64630"/>
    <w:rsid w:val="00BB0BF9"/>
    <w:rsid w:val="00BB6575"/>
    <w:rsid w:val="00BF03DF"/>
    <w:rsid w:val="00C045BF"/>
    <w:rsid w:val="00C816E9"/>
    <w:rsid w:val="00C87C2C"/>
    <w:rsid w:val="00CA7080"/>
    <w:rsid w:val="00CB6529"/>
    <w:rsid w:val="00CE4B3C"/>
    <w:rsid w:val="00CF639C"/>
    <w:rsid w:val="00D3350B"/>
    <w:rsid w:val="00D47E6E"/>
    <w:rsid w:val="00D70710"/>
    <w:rsid w:val="00DD043A"/>
    <w:rsid w:val="00E15961"/>
    <w:rsid w:val="00E22074"/>
    <w:rsid w:val="00E962A4"/>
    <w:rsid w:val="00EB45E6"/>
    <w:rsid w:val="00ED0803"/>
    <w:rsid w:val="00EE3840"/>
    <w:rsid w:val="00EE5D52"/>
    <w:rsid w:val="00F34BF5"/>
    <w:rsid w:val="00F45308"/>
    <w:rsid w:val="00F512B2"/>
    <w:rsid w:val="00F62474"/>
    <w:rsid w:val="00FB00EE"/>
    <w:rsid w:val="00FB1946"/>
    <w:rsid w:val="00FB69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A168"/>
  <w15:docId w15:val="{944B287E-EAAA-4A11-B11F-205CE911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uiPriority w:val="9"/>
    <w:qFormat/>
    <w:pPr>
      <w:keepNext/>
      <w:keepLines/>
      <w:spacing w:before="400" w:after="120"/>
      <w:outlineLvl w:val="0"/>
    </w:pPr>
    <w:rPr>
      <w:b/>
      <w:sz w:val="28"/>
      <w:szCs w:val="40"/>
    </w:rPr>
  </w:style>
  <w:style w:type="paragraph" w:styleId="Heading2">
    <w:name w:val="heading 2"/>
    <w:basedOn w:val="Normal"/>
    <w:next w:val="Normal"/>
    <w:uiPriority w:val="9"/>
    <w:semiHidden/>
    <w:unhideWhenUsed/>
    <w:qFormat/>
    <w:pPr>
      <w:keepNext/>
      <w:keepLines/>
      <w:spacing w:before="360" w:after="120"/>
      <w:outlineLvl w:val="1"/>
    </w:pPr>
    <w:rPr>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C4698"/>
    <w:pPr>
      <w:ind w:left="720"/>
      <w:contextualSpacing/>
    </w:pPr>
  </w:style>
  <w:style w:type="paragraph" w:styleId="Header">
    <w:name w:val="header"/>
    <w:basedOn w:val="Normal"/>
    <w:link w:val="HeaderChar"/>
    <w:uiPriority w:val="99"/>
    <w:unhideWhenUsed/>
    <w:rsid w:val="008229F8"/>
    <w:pPr>
      <w:tabs>
        <w:tab w:val="center" w:pos="4536"/>
        <w:tab w:val="right" w:pos="9072"/>
      </w:tabs>
      <w:spacing w:line="240" w:lineRule="auto"/>
    </w:pPr>
  </w:style>
  <w:style w:type="character" w:customStyle="1" w:styleId="HeaderChar">
    <w:name w:val="Header Char"/>
    <w:basedOn w:val="DefaultParagraphFont"/>
    <w:link w:val="Header"/>
    <w:uiPriority w:val="99"/>
    <w:rsid w:val="008229F8"/>
  </w:style>
  <w:style w:type="paragraph" w:styleId="Footer">
    <w:name w:val="footer"/>
    <w:basedOn w:val="Normal"/>
    <w:link w:val="FooterChar"/>
    <w:uiPriority w:val="99"/>
    <w:unhideWhenUsed/>
    <w:rsid w:val="008229F8"/>
    <w:pPr>
      <w:tabs>
        <w:tab w:val="center" w:pos="4536"/>
        <w:tab w:val="right" w:pos="9072"/>
      </w:tabs>
      <w:spacing w:line="240" w:lineRule="auto"/>
    </w:pPr>
  </w:style>
  <w:style w:type="character" w:customStyle="1" w:styleId="FooterChar">
    <w:name w:val="Footer Char"/>
    <w:basedOn w:val="DefaultParagraphFont"/>
    <w:link w:val="Footer"/>
    <w:uiPriority w:val="99"/>
    <w:rsid w:val="008229F8"/>
  </w:style>
  <w:style w:type="character" w:styleId="Hyperlink">
    <w:name w:val="Hyperlink"/>
    <w:basedOn w:val="DefaultParagraphFont"/>
    <w:uiPriority w:val="99"/>
    <w:semiHidden/>
    <w:unhideWhenUsed/>
    <w:rsid w:val="00FB00EE"/>
    <w:rPr>
      <w:color w:val="0000FF"/>
      <w:u w:val="single"/>
    </w:rPr>
  </w:style>
  <w:style w:type="paragraph" w:customStyle="1" w:styleId="MDPI41tablecaption">
    <w:name w:val="MDPI_4.1_table_caption"/>
    <w:qFormat/>
    <w:rsid w:val="00783AE1"/>
    <w:pPr>
      <w:adjustRightInd w:val="0"/>
      <w:snapToGrid w:val="0"/>
      <w:spacing w:before="240" w:after="120" w:line="228" w:lineRule="auto"/>
      <w:ind w:left="2608"/>
      <w:jc w:val="both"/>
    </w:pPr>
    <w:rPr>
      <w:rFonts w:ascii="Palatino Linotype" w:eastAsia="Times New Roman" w:hAnsi="Palatino Linotype" w:cs="Cordia New"/>
      <w:color w:val="000000"/>
      <w:sz w:val="18"/>
      <w:lang w:val="en-US" w:eastAsia="de-DE" w:bidi="en-US"/>
    </w:rPr>
  </w:style>
  <w:style w:type="paragraph" w:customStyle="1" w:styleId="MDPI42tablebody">
    <w:name w:val="MDPI_4.2_table_body"/>
    <w:qFormat/>
    <w:rsid w:val="00783AE1"/>
    <w:pPr>
      <w:adjustRightInd w:val="0"/>
      <w:snapToGrid w:val="0"/>
      <w:spacing w:line="260" w:lineRule="atLeast"/>
      <w:jc w:val="center"/>
    </w:pPr>
    <w:rPr>
      <w:rFonts w:ascii="Palatino Linotype" w:eastAsia="Times New Roman" w:hAnsi="Palatino Linotype" w:cs="Times New Roman"/>
      <w:color w:val="000000"/>
      <w:sz w:val="20"/>
      <w:szCs w:val="20"/>
      <w:lang w:val="en-US" w:eastAsia="de-DE" w:bidi="en-US"/>
    </w:rPr>
  </w:style>
  <w:style w:type="paragraph" w:customStyle="1" w:styleId="MDPI43tablefooter">
    <w:name w:val="MDPI_4.3_table_footer"/>
    <w:next w:val="Normal"/>
    <w:qFormat/>
    <w:rsid w:val="00783AE1"/>
    <w:pPr>
      <w:adjustRightInd w:val="0"/>
      <w:snapToGrid w:val="0"/>
      <w:spacing w:line="228" w:lineRule="auto"/>
      <w:ind w:left="2608"/>
      <w:jc w:val="both"/>
    </w:pPr>
    <w:rPr>
      <w:rFonts w:ascii="Palatino Linotype" w:eastAsia="Times New Roman" w:hAnsi="Palatino Linotype" w:cs="Cordia New"/>
      <w:color w:val="000000"/>
      <w:sz w:val="18"/>
      <w:lang w:val="en-US"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6160">
      <w:bodyDiv w:val="1"/>
      <w:marLeft w:val="0"/>
      <w:marRight w:val="0"/>
      <w:marTop w:val="0"/>
      <w:marBottom w:val="0"/>
      <w:divBdr>
        <w:top w:val="none" w:sz="0" w:space="0" w:color="auto"/>
        <w:left w:val="none" w:sz="0" w:space="0" w:color="auto"/>
        <w:bottom w:val="none" w:sz="0" w:space="0" w:color="auto"/>
        <w:right w:val="none" w:sz="0" w:space="0" w:color="auto"/>
      </w:divBdr>
    </w:div>
    <w:div w:id="125704197">
      <w:bodyDiv w:val="1"/>
      <w:marLeft w:val="0"/>
      <w:marRight w:val="0"/>
      <w:marTop w:val="0"/>
      <w:marBottom w:val="0"/>
      <w:divBdr>
        <w:top w:val="none" w:sz="0" w:space="0" w:color="auto"/>
        <w:left w:val="none" w:sz="0" w:space="0" w:color="auto"/>
        <w:bottom w:val="none" w:sz="0" w:space="0" w:color="auto"/>
        <w:right w:val="none" w:sz="0" w:space="0" w:color="auto"/>
      </w:divBdr>
    </w:div>
    <w:div w:id="437650080">
      <w:bodyDiv w:val="1"/>
      <w:marLeft w:val="0"/>
      <w:marRight w:val="0"/>
      <w:marTop w:val="0"/>
      <w:marBottom w:val="0"/>
      <w:divBdr>
        <w:top w:val="none" w:sz="0" w:space="0" w:color="auto"/>
        <w:left w:val="none" w:sz="0" w:space="0" w:color="auto"/>
        <w:bottom w:val="none" w:sz="0" w:space="0" w:color="auto"/>
        <w:right w:val="none" w:sz="0" w:space="0" w:color="auto"/>
      </w:divBdr>
    </w:div>
    <w:div w:id="449205049">
      <w:bodyDiv w:val="1"/>
      <w:marLeft w:val="0"/>
      <w:marRight w:val="0"/>
      <w:marTop w:val="0"/>
      <w:marBottom w:val="0"/>
      <w:divBdr>
        <w:top w:val="none" w:sz="0" w:space="0" w:color="auto"/>
        <w:left w:val="none" w:sz="0" w:space="0" w:color="auto"/>
        <w:bottom w:val="none" w:sz="0" w:space="0" w:color="auto"/>
        <w:right w:val="none" w:sz="0" w:space="0" w:color="auto"/>
      </w:divBdr>
    </w:div>
    <w:div w:id="464199990">
      <w:bodyDiv w:val="1"/>
      <w:marLeft w:val="0"/>
      <w:marRight w:val="0"/>
      <w:marTop w:val="0"/>
      <w:marBottom w:val="0"/>
      <w:divBdr>
        <w:top w:val="none" w:sz="0" w:space="0" w:color="auto"/>
        <w:left w:val="none" w:sz="0" w:space="0" w:color="auto"/>
        <w:bottom w:val="none" w:sz="0" w:space="0" w:color="auto"/>
        <w:right w:val="none" w:sz="0" w:space="0" w:color="auto"/>
      </w:divBdr>
    </w:div>
    <w:div w:id="671027232">
      <w:bodyDiv w:val="1"/>
      <w:marLeft w:val="0"/>
      <w:marRight w:val="0"/>
      <w:marTop w:val="0"/>
      <w:marBottom w:val="0"/>
      <w:divBdr>
        <w:top w:val="none" w:sz="0" w:space="0" w:color="auto"/>
        <w:left w:val="none" w:sz="0" w:space="0" w:color="auto"/>
        <w:bottom w:val="none" w:sz="0" w:space="0" w:color="auto"/>
        <w:right w:val="none" w:sz="0" w:space="0" w:color="auto"/>
      </w:divBdr>
    </w:div>
    <w:div w:id="928343389">
      <w:bodyDiv w:val="1"/>
      <w:marLeft w:val="0"/>
      <w:marRight w:val="0"/>
      <w:marTop w:val="0"/>
      <w:marBottom w:val="0"/>
      <w:divBdr>
        <w:top w:val="none" w:sz="0" w:space="0" w:color="auto"/>
        <w:left w:val="none" w:sz="0" w:space="0" w:color="auto"/>
        <w:bottom w:val="none" w:sz="0" w:space="0" w:color="auto"/>
        <w:right w:val="none" w:sz="0" w:space="0" w:color="auto"/>
      </w:divBdr>
    </w:div>
    <w:div w:id="2100787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14</Pages>
  <Words>5327</Words>
  <Characters>30369</Characters>
  <Application>Microsoft Office Word</Application>
  <DocSecurity>0</DocSecurity>
  <Lines>253</Lines>
  <Paragraphs>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Oliveira Dal Piva, A.M. (Amanda Maria)</dc:creator>
  <cp:lastModifiedBy>.</cp:lastModifiedBy>
  <cp:revision>21</cp:revision>
  <cp:lastPrinted>2022-08-23T14:33:00Z</cp:lastPrinted>
  <dcterms:created xsi:type="dcterms:W3CDTF">2023-03-24T14:11:00Z</dcterms:created>
  <dcterms:modified xsi:type="dcterms:W3CDTF">2026-05-19T01:55:00Z</dcterms:modified>
</cp:coreProperties>
</file>