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/>
        <w:t>THE MALAYSIAN JOURNAL OF MEDICAL SCIENCES</w:t>
        <w:br/>
        <w:t>AUTHORSHIP AGREEMENT FORM</w:t>
      </w:r>
    </w:p>
    <w:p>
      <w:pPr/>
      <w:r>
        <w:rPr>
          <w:b/>
        </w:rPr>
        <w:t xml:space="preserve">Date: </w:t>
      </w:r>
      <w:r>
        <w:rPr/>
        <w:t>12 October 2026</w:t>
      </w:r>
    </w:p>
    <w:p>
      <w:pPr/>
      <w:r>
        <w:rPr>
          <w:b/>
        </w:rPr>
        <w:t xml:space="preserve">Manuscript title: </w:t>
      </w:r>
      <w:r>
        <w:rPr/>
        <w:t>Glycaemic Control and Lipid Profiles in Adults With Type 2 Diabetes Not Receiving Lipid-Lowering Therapy: A Retrospective Cross-Sectional Study in Indonesia</w:t>
      </w:r>
    </w:p>
    <w:p>
      <w:pPr>
        <w:pStyle w:val="Heading1"/>
        <w:jc w:val="left"/>
      </w:pPr>
      <w:r>
        <w:rPr/>
        <w:t>ETHICAL REQUIREMENT</w:t>
      </w:r>
    </w:p>
    <w:p>
      <w:pPr/>
      <w:r>
        <w:rPr/>
        <w:t>The authors attest to compliance with ethical principles governing human research and institutional approval of the study protocol.</w:t>
      </w:r>
    </w:p>
    <w:p>
      <w:pPr>
        <w:pStyle w:val="Heading1"/>
        <w:jc w:val="left"/>
      </w:pPr>
      <w:r>
        <w:rPr/>
        <w:t>CONFLICT OF INTEREST AND FINANCIAL SUPPORT</w:t>
      </w:r>
    </w:p>
    <w:p>
      <w:pPr/>
      <w:r>
        <w:rPr/>
        <w:t>The authors declare no conflict of interest. No external funding was received for this study.</w:t>
      </w:r>
    </w:p>
    <w:p>
      <w:pPr>
        <w:pStyle w:val="Heading1"/>
        <w:jc w:val="left"/>
      </w:pPr>
      <w:r>
        <w:rPr/>
        <w:t>DUPLICATE PUBLICATIONS</w:t>
      </w:r>
    </w:p>
    <w:p>
      <w:pPr/>
      <w:r>
        <w:rPr/>
        <w:t>The authors certify that this manuscript, or one with substantially similar content, has not been published and is not under consideration elsewhere.</w:t>
      </w:r>
    </w:p>
    <w:p>
      <w:pPr>
        <w:pStyle w:val="Heading1"/>
        <w:jc w:val="left"/>
      </w:pPr>
      <w:r>
        <w:rPr/>
        <w:t>AUTHORSHIP</w:t>
      </w:r>
    </w:p>
    <w:p>
      <w:pPr/>
      <w:r>
        <w:rPr/>
        <w:t>All persons listed as authors qualify for authorship and have approved the manuscript. Contribution codes follow the MJMS authorship agreement categories.</w:t>
      </w:r>
    </w:p>
    <w:p>
      <w:pPr>
        <w:pageBreakBefore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r>
              <w:rPr>
                <w:b/>
              </w:rPr>
              <w:t>Contribution codes*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Author's Name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Signature</w:t>
            </w:r>
          </w:p>
        </w:tc>
      </w:tr>
      <w:tr>
        <w:tc>
          <w:tcPr>
            <w:tcW w:type="dxa" w:w="3120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pPr>
              <w:spacing w:line="240" w:lineRule="auto"/>
            </w:pPr>
            <w:r>
              <w:rPr/>
              <w:t>A, B, C, D, E, G, I</w:t>
            </w:r>
          </w:p>
        </w:tc>
        <w:tc>
          <w:tcPr>
            <w:tcW w:type="dxa" w:w="3120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pPr>
              <w:spacing w:line="240" w:lineRule="auto"/>
            </w:pPr>
            <w:r>
              <w:rPr/>
              <w:t>Linny Luciana</w:t>
            </w:r>
          </w:p>
        </w:tc>
        <w:tc>
          <w:tcPr>
            <w:tcW w:type="dxa" w:w="3120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pPr>
              <w:spacing w:line="240" w:lineRule="auto"/>
            </w:pPr>
            <w:r>
              <w:rPr/>
            </w:r>
          </w:p>
        </w:tc>
      </w:tr>
      <w:tr>
        <w:tc>
          <w:tcPr>
            <w:tcW w:type="dxa" w:w="3120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pPr>
              <w:spacing w:line="240" w:lineRule="auto"/>
            </w:pPr>
            <w:r>
              <w:rPr/>
              <w:t>E, I, J</w:t>
            </w:r>
          </w:p>
        </w:tc>
        <w:tc>
          <w:tcPr>
            <w:tcW w:type="dxa" w:w="3120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pPr>
              <w:spacing w:line="240" w:lineRule="auto"/>
            </w:pPr>
            <w:r>
              <w:rPr/>
              <w:t>Vebriona Angellee</w:t>
            </w:r>
          </w:p>
        </w:tc>
        <w:tc>
          <w:tcPr>
            <w:tcW w:type="dxa" w:w="3120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pPr>
              <w:spacing w:line="240" w:lineRule="auto"/>
            </w:pPr>
            <w:r>
              <w:rPr/>
            </w:r>
          </w:p>
        </w:tc>
      </w:tr>
      <w:tr>
        <w:tc>
          <w:tcPr>
            <w:tcW w:type="dxa" w:w="3120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pPr>
              <w:spacing w:line="240" w:lineRule="auto"/>
            </w:pPr>
            <w:r>
              <w:rPr/>
              <w:t>B, D, E, G</w:t>
            </w:r>
          </w:p>
        </w:tc>
        <w:tc>
          <w:tcPr>
            <w:tcW w:type="dxa" w:w="3120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pPr>
              <w:spacing w:line="240" w:lineRule="auto"/>
            </w:pPr>
            <w:r>
              <w:rPr/>
              <w:t>Tonny Loho</w:t>
            </w:r>
          </w:p>
        </w:tc>
        <w:tc>
          <w:tcPr>
            <w:tcW w:type="dxa" w:w="3120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pPr>
              <w:spacing w:line="240" w:lineRule="auto"/>
            </w:pPr>
            <w:r>
              <w:rPr/>
            </w:r>
          </w:p>
        </w:tc>
      </w:tr>
      <w:tr>
        <w:tc>
          <w:tcPr>
            <w:tcW w:type="dxa" w:w="3120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pPr>
              <w:spacing w:line="240" w:lineRule="auto"/>
            </w:pPr>
            <w:r>
              <w:rPr/>
              <w:t>B, D, E</w:t>
            </w:r>
          </w:p>
        </w:tc>
        <w:tc>
          <w:tcPr>
            <w:tcW w:type="dxa" w:w="3120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pPr>
              <w:spacing w:line="240" w:lineRule="auto"/>
            </w:pPr>
            <w:r>
              <w:rPr/>
              <w:t>Deviana</w:t>
            </w:r>
          </w:p>
        </w:tc>
        <w:tc>
          <w:tcPr>
            <w:tcW w:type="dxa" w:w="3120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pPr>
              <w:spacing w:line="240" w:lineRule="auto"/>
            </w:pPr>
            <w:r>
              <w:rPr/>
            </w:r>
          </w:p>
        </w:tc>
      </w:tr>
      <w:tr>
        <w:tc>
          <w:tcPr>
            <w:tcW w:type="dxa" w:w="3120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pPr>
              <w:spacing w:line="240" w:lineRule="auto"/>
            </w:pPr>
            <w:r>
              <w:rPr/>
              <w:t>D, E</w:t>
            </w:r>
          </w:p>
        </w:tc>
        <w:tc>
          <w:tcPr>
            <w:tcW w:type="dxa" w:w="3120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pPr>
              <w:spacing w:line="240" w:lineRule="auto"/>
            </w:pPr>
            <w:r>
              <w:rPr/>
              <w:t>Harny Edward</w:t>
            </w:r>
          </w:p>
        </w:tc>
        <w:tc>
          <w:tcPr>
            <w:tcW w:type="dxa" w:w="3120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pPr>
              <w:spacing w:line="240" w:lineRule="auto"/>
            </w:pPr>
            <w:r>
              <w:rPr/>
            </w:r>
          </w:p>
        </w:tc>
      </w:tr>
    </w:tbl>
    <w:p>
      <w:pPr>
        <w:spacing w:before="160"/>
      </w:pPr>
      <w:r>
        <w:rPr>
          <w:b/>
        </w:rPr>
        <w:t xml:space="preserve">*MJMS contribution codes: </w:t>
      </w:r>
      <w:r>
        <w:rPr/>
        <w:t>A: Conception and design; B: Analysis and interpretation of the data; C: Drafting of the article; D: Critical revision of the article for important intellectual content; E: Final approval of the article; F: Provision of study materials or patients; G: Statistical expertise; H: Obtaining of funding; I: Administrative, technical, or logistic support; J: Collection and assembly of data.</w:t>
      </w:r>
    </w:p>
    <w:p>
      <w:r>
        <w:rPr>
          <w:b/>
        </w:rPr>
        <w:t>IMPORTANT: All authors must sign before upload. Use the official MJMS Authorship Agreement Form if the submission system requires the journal-provided form.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