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right"/>
      </w:pPr>
      <w:r>
        <w:rPr>
          <w:sz w:val="23"/>
        </w:rPr>
        <w:t>12 October 2026</w:t>
      </w:r>
    </w:p>
    <w:p>
      <w:pPr>
        <w:spacing w:line="276" w:lineRule="auto" w:after="120"/>
        <w:jc w:val="left"/>
      </w:pPr>
      <w:r>
        <w:rPr>
          <w:sz w:val="23"/>
        </w:rPr>
        <w:t>Editor-in-Chief</w:t>
        <w:br/>
        <w:t>Malaysian Journal of Medical Sciences</w:t>
        <w:br/>
        <w:t>Penerbit Universiti Sains Malaysia</w:t>
      </w:r>
    </w:p>
    <w:p>
      <w:pPr>
        <w:spacing w:line="276" w:lineRule="auto" w:after="120"/>
        <w:jc w:val="left"/>
      </w:pPr>
      <w:r>
        <w:rPr>
          <w:sz w:val="23"/>
        </w:rPr>
        <w:t>Dear Editor-in-Chief,</w:t>
      </w:r>
    </w:p>
    <w:p>
      <w:pPr>
        <w:spacing w:line="276" w:lineRule="auto" w:after="120"/>
        <w:jc w:val="left"/>
      </w:pPr>
      <w:r>
        <w:rPr>
          <w:sz w:val="23"/>
        </w:rPr>
        <w:t>On behalf of my co-authors, I am pleased to submit the manuscript entitled “Glycaemic Control and Lipid Profiles in Adults With Type 2 Diabetes Not Receiving Lipid-Lowering Therapy: A Retrospective Cross-Sectional Study in Indonesia” for consideration as an Original Article in the Malaysian Journal of Medical Sciences.</w:t>
      </w:r>
    </w:p>
    <w:p>
      <w:pPr>
        <w:spacing w:line="276" w:lineRule="auto" w:after="120"/>
        <w:jc w:val="left"/>
      </w:pPr>
      <w:r>
        <w:rPr>
          <w:sz w:val="23"/>
        </w:rPr>
        <w:t>This retrospective cross-sectional study evaluates differences in routinely measured lipid parameters according to glycaemic-control status among adults with type 2 diabetes who were not receiving lipid-lowering therapy. Using 120 consecutive de-identified medical records from an Indonesian tertiary-care hospital, the study found higher total cholesterol and triglyceride levels among patients with uncontrolled glycaemia, while LDL-C and HDL-C did not differ significantly between groups. The findings support integrated review of glycaemic and lipid indices in routine cardiometabolic risk assessment.</w:t>
      </w:r>
    </w:p>
    <w:p>
      <w:pPr>
        <w:spacing w:line="276" w:lineRule="auto" w:after="120"/>
        <w:jc w:val="left"/>
      </w:pPr>
      <w:r>
        <w:rPr>
          <w:sz w:val="23"/>
        </w:rPr>
        <w:t>We believe the manuscript is relevant to MJMS because it addresses a clinically important cardiometabolic problem using data from a lower- and middle-income country setting and provides context-specific evidence for diabetes care.</w:t>
      </w:r>
    </w:p>
    <w:p>
      <w:pPr>
        <w:spacing w:line="276" w:lineRule="auto" w:after="120"/>
        <w:jc w:val="left"/>
      </w:pPr>
      <w:r>
        <w:rPr/>
        <w:t>This manuscript is original, has not been published previously, and is not under consideration by another journal. All authors have approved the submission. The authors declare no conflict of interest, and no external funding was received. Ethical approval and institutional permission for use of de-identified medical-record data were obtained before the study. Informed consent was waived by the institutional ethics committee because this retrospective analysis used de-identified secondary medical-record data and involved no direct participant contact.</w:t>
      </w:r>
    </w:p>
    <w:p>
      <w:pPr>
        <w:spacing w:line="276" w:lineRule="auto" w:after="120"/>
        <w:jc w:val="left"/>
      </w:pPr>
      <w:r>
        <w:rPr>
          <w:sz w:val="23"/>
        </w:rPr>
        <w:t>Thank you for considering this manuscript for publication in the Malaysian Journal of Medical Sciences.</w:t>
      </w:r>
    </w:p>
    <w:p>
      <w:pPr>
        <w:spacing w:line="276" w:lineRule="auto" w:after="120"/>
        <w:jc w:val="left"/>
      </w:pPr>
      <w:r>
        <w:rPr>
          <w:sz w:val="23"/>
        </w:rPr>
        <w:t>Sincerely,</w:t>
        <w:br/>
        <w:br/>
        <w:t>Linny Luciana</w:t>
        <w:br/>
        <w:t>Corresponding Author</w:t>
        <w:br/>
        <w:t>Faculty of Medicine, Universitas Kristen Krida Wacana (UKRIDA)</w:t>
        <w:br/>
        <w:t>Jakarta, Indonesia</w:t>
        <w:br/>
        <w:t>Email: linny.luciana@ukrida.ac.id</w:t>
        <w:br/>
        <w:t>Phone: +62 856-9026-035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