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B537" w14:textId="111BBD46" w:rsidR="00233ECA" w:rsidRPr="007734E1" w:rsidRDefault="00916258" w:rsidP="00256FF2">
      <w:pPr>
        <w:spacing w:after="0" w:line="240" w:lineRule="auto"/>
        <w:jc w:val="both"/>
        <w:rPr>
          <w:rFonts w:ascii="Times New Roman" w:eastAsiaTheme="minorHAnsi" w:hAnsi="Times New Roman" w:cs="Times New Roman"/>
          <w:b/>
          <w:kern w:val="2"/>
          <w:sz w:val="24"/>
          <w:szCs w:val="24"/>
        </w:rPr>
      </w:pPr>
      <w:bookmarkStart w:id="0" w:name="_Hlk76812466"/>
      <w:bookmarkStart w:id="1" w:name="_Hlk164947491"/>
      <w:r w:rsidRPr="007734E1">
        <w:rPr>
          <w:rFonts w:ascii="Times New Roman" w:eastAsiaTheme="minorHAnsi" w:hAnsi="Times New Roman" w:cs="Times New Roman"/>
          <w:b/>
          <w:kern w:val="2"/>
          <w:sz w:val="24"/>
          <w:szCs w:val="24"/>
        </w:rPr>
        <w:t xml:space="preserve">Hyperbaric Oxygen Therapy Improves Spatial Working Memory in a </w:t>
      </w:r>
      <w:r w:rsidRPr="006C5D29">
        <w:rPr>
          <w:rFonts w:ascii="Times New Roman" w:eastAsiaTheme="minorHAnsi" w:hAnsi="Times New Roman" w:cs="Times New Roman"/>
          <w:b/>
          <w:i/>
          <w:iCs/>
          <w:kern w:val="2"/>
          <w:sz w:val="24"/>
          <w:szCs w:val="24"/>
        </w:rPr>
        <w:t>Porphyromonas gingivalis</w:t>
      </w:r>
      <w:r w:rsidRPr="007734E1">
        <w:rPr>
          <w:rFonts w:ascii="Times New Roman" w:eastAsiaTheme="minorHAnsi" w:hAnsi="Times New Roman" w:cs="Times New Roman"/>
          <w:b/>
          <w:kern w:val="2"/>
          <w:sz w:val="24"/>
          <w:szCs w:val="24"/>
        </w:rPr>
        <w:t>-Induced Periodontitis Rat Model</w:t>
      </w:r>
    </w:p>
    <w:p w14:paraId="29AF76F0" w14:textId="77777777" w:rsidR="00916258" w:rsidRPr="007734E1" w:rsidRDefault="00916258" w:rsidP="00256FF2">
      <w:pPr>
        <w:spacing w:after="0" w:line="240" w:lineRule="auto"/>
        <w:jc w:val="both"/>
        <w:rPr>
          <w:rFonts w:ascii="Times New Roman" w:eastAsia="Times New Roman" w:hAnsi="Times New Roman" w:cs="Times New Roman"/>
          <w:b/>
          <w:bCs/>
          <w:sz w:val="24"/>
          <w:szCs w:val="24"/>
        </w:rPr>
      </w:pPr>
    </w:p>
    <w:bookmarkEnd w:id="0"/>
    <w:bookmarkEnd w:id="1"/>
    <w:p w14:paraId="16766E16" w14:textId="4E30008F" w:rsidR="00992249" w:rsidRPr="007734E1" w:rsidRDefault="00AF78BE" w:rsidP="009572FE">
      <w:pPr>
        <w:spacing w:line="240" w:lineRule="auto"/>
        <w:jc w:val="both"/>
        <w:outlineLvl w:val="0"/>
        <w:rPr>
          <w:rFonts w:ascii="Times New Roman" w:hAnsi="Times New Roman" w:cs="Times New Roman"/>
          <w:b/>
          <w:sz w:val="24"/>
          <w:szCs w:val="24"/>
        </w:rPr>
      </w:pPr>
      <w:r w:rsidRPr="007734E1">
        <w:rPr>
          <w:rFonts w:ascii="Times New Roman" w:hAnsi="Times New Roman" w:cs="Times New Roman"/>
          <w:b/>
          <w:sz w:val="24"/>
          <w:szCs w:val="24"/>
        </w:rPr>
        <w:t>Abstract</w:t>
      </w:r>
    </w:p>
    <w:p w14:paraId="478484BF" w14:textId="77777777" w:rsidR="001235B6" w:rsidRDefault="001235B6" w:rsidP="001235B6">
      <w:pPr>
        <w:spacing w:after="0" w:line="240" w:lineRule="auto"/>
        <w:jc w:val="both"/>
        <w:rPr>
          <w:rFonts w:ascii="Times New Roman" w:eastAsia="Arial" w:hAnsi="Times New Roman" w:cs="Times New Roman"/>
          <w:lang w:val="en-ID"/>
        </w:rPr>
      </w:pPr>
      <w:r w:rsidRPr="001235B6">
        <w:rPr>
          <w:rFonts w:ascii="Times New Roman" w:eastAsia="Arial" w:hAnsi="Times New Roman" w:cs="Times New Roman"/>
          <w:b/>
          <w:bCs/>
          <w:lang w:val="en-ID"/>
        </w:rPr>
        <w:t>Objective:</w:t>
      </w:r>
      <w:r w:rsidRPr="001235B6">
        <w:rPr>
          <w:rFonts w:ascii="Times New Roman" w:eastAsia="Arial" w:hAnsi="Times New Roman" w:cs="Times New Roman"/>
          <w:lang w:val="en-ID"/>
        </w:rPr>
        <w:t xml:space="preserve"> This study evaluated the effect of hyperbaric oxygen therapy on spatial working memory in a </w:t>
      </w:r>
      <w:r w:rsidRPr="001235B6">
        <w:rPr>
          <w:rFonts w:ascii="Times New Roman" w:eastAsia="Arial" w:hAnsi="Times New Roman" w:cs="Times New Roman"/>
          <w:i/>
          <w:iCs/>
          <w:lang w:val="en-ID"/>
        </w:rPr>
        <w:t>Porphyromonas gingivalis</w:t>
      </w:r>
      <w:r w:rsidRPr="001235B6">
        <w:rPr>
          <w:rFonts w:ascii="Times New Roman" w:eastAsia="Arial" w:hAnsi="Times New Roman" w:cs="Times New Roman"/>
          <w:lang w:val="en-ID"/>
        </w:rPr>
        <w:t xml:space="preserve">-induced periodontitis rat model. </w:t>
      </w:r>
    </w:p>
    <w:p w14:paraId="172F37AE" w14:textId="77777777" w:rsidR="001235B6" w:rsidRDefault="001235B6" w:rsidP="001235B6">
      <w:pPr>
        <w:spacing w:after="0" w:line="240" w:lineRule="auto"/>
        <w:jc w:val="both"/>
        <w:rPr>
          <w:rFonts w:ascii="Times New Roman" w:eastAsia="Arial" w:hAnsi="Times New Roman" w:cs="Times New Roman"/>
          <w:lang w:val="en-ID"/>
        </w:rPr>
      </w:pPr>
      <w:r w:rsidRPr="001235B6">
        <w:rPr>
          <w:rFonts w:ascii="Times New Roman" w:eastAsia="Arial" w:hAnsi="Times New Roman" w:cs="Times New Roman"/>
          <w:b/>
          <w:bCs/>
          <w:lang w:val="en-ID"/>
        </w:rPr>
        <w:t>Material and Methods:</w:t>
      </w:r>
      <w:r w:rsidRPr="001235B6">
        <w:rPr>
          <w:rFonts w:ascii="Times New Roman" w:eastAsia="Arial" w:hAnsi="Times New Roman" w:cs="Times New Roman"/>
          <w:lang w:val="en-ID"/>
        </w:rPr>
        <w:t xml:space="preserve"> Twenty-two male Sprague-Dawley rats were assigned to control and treatment groups, with 11 rats in each group. Experimental periodontitis was induced in the treatment group by gingival injection of </w:t>
      </w:r>
      <w:r w:rsidRPr="001235B6">
        <w:rPr>
          <w:rFonts w:ascii="Times New Roman" w:eastAsia="Arial" w:hAnsi="Times New Roman" w:cs="Times New Roman"/>
          <w:i/>
          <w:iCs/>
          <w:lang w:val="en-ID"/>
        </w:rPr>
        <w:t>P. gingivalis</w:t>
      </w:r>
      <w:r w:rsidRPr="001235B6">
        <w:rPr>
          <w:rFonts w:ascii="Times New Roman" w:eastAsia="Arial" w:hAnsi="Times New Roman" w:cs="Times New Roman"/>
          <w:lang w:val="en-ID"/>
        </w:rPr>
        <w:t xml:space="preserve"> suspension at a concentration of 1 × 10⁹ CFU/mL every two days for five weeks. After induction, the treatment group received hyperbaric oxygen therapy at 2.0 atmospheres absolute for 60 minutes per session, five times per week for four consecutive weeks. Spatial working memory was assessed using the Y-maze spontaneous alternation test at baseline, week 5, and week 9. Data were </w:t>
      </w:r>
      <w:proofErr w:type="spellStart"/>
      <w:r w:rsidRPr="001235B6">
        <w:rPr>
          <w:rFonts w:ascii="Times New Roman" w:eastAsia="Arial" w:hAnsi="Times New Roman" w:cs="Times New Roman"/>
          <w:lang w:val="en-ID"/>
        </w:rPr>
        <w:t>analyzed</w:t>
      </w:r>
      <w:proofErr w:type="spellEnd"/>
      <w:r w:rsidRPr="001235B6">
        <w:rPr>
          <w:rFonts w:ascii="Times New Roman" w:eastAsia="Arial" w:hAnsi="Times New Roman" w:cs="Times New Roman"/>
          <w:lang w:val="en-ID"/>
        </w:rPr>
        <w:t xml:space="preserve"> using repeated-measures analysis of variance, paired t-test, Friedman test, and Wilcoxon signed-rank test, with statistical significance set at 0.05. </w:t>
      </w:r>
    </w:p>
    <w:p w14:paraId="536801EF" w14:textId="77777777" w:rsidR="001235B6" w:rsidRDefault="001235B6" w:rsidP="001235B6">
      <w:pPr>
        <w:spacing w:after="0" w:line="240" w:lineRule="auto"/>
        <w:jc w:val="both"/>
        <w:rPr>
          <w:rFonts w:ascii="Times New Roman" w:eastAsia="Arial" w:hAnsi="Times New Roman" w:cs="Times New Roman"/>
          <w:lang w:val="en-ID"/>
        </w:rPr>
      </w:pPr>
      <w:r w:rsidRPr="001235B6">
        <w:rPr>
          <w:rFonts w:ascii="Times New Roman" w:eastAsia="Arial" w:hAnsi="Times New Roman" w:cs="Times New Roman"/>
          <w:b/>
          <w:bCs/>
          <w:lang w:val="en-ID"/>
        </w:rPr>
        <w:t>Results:</w:t>
      </w:r>
      <w:r w:rsidRPr="001235B6">
        <w:rPr>
          <w:rFonts w:ascii="Times New Roman" w:eastAsia="Arial" w:hAnsi="Times New Roman" w:cs="Times New Roman"/>
          <w:lang w:val="en-ID"/>
        </w:rPr>
        <w:t xml:space="preserve"> In the treatment group, spontaneous alternation decreased from 68.02 ± 1.67 at baseline to 32.01 ± 24.71 at week 5 and increased to 52.09 ± 14.03 at week 9. The control group showed no significant change over time. </w:t>
      </w:r>
    </w:p>
    <w:p w14:paraId="1B4E8F50" w14:textId="0977C909" w:rsidR="001235B6" w:rsidRPr="001235B6" w:rsidRDefault="001235B6" w:rsidP="001235B6">
      <w:pPr>
        <w:spacing w:after="0" w:line="240" w:lineRule="auto"/>
        <w:jc w:val="both"/>
        <w:rPr>
          <w:rFonts w:ascii="Times New Roman" w:eastAsia="Arial" w:hAnsi="Times New Roman" w:cs="Times New Roman"/>
          <w:lang w:val="en-ID"/>
        </w:rPr>
      </w:pPr>
      <w:r w:rsidRPr="001235B6">
        <w:rPr>
          <w:rFonts w:ascii="Times New Roman" w:eastAsia="Arial" w:hAnsi="Times New Roman" w:cs="Times New Roman"/>
          <w:b/>
          <w:bCs/>
          <w:lang w:val="en-ID"/>
        </w:rPr>
        <w:t>Conclusions:</w:t>
      </w:r>
      <w:r w:rsidRPr="001235B6">
        <w:rPr>
          <w:rFonts w:ascii="Times New Roman" w:eastAsia="Arial" w:hAnsi="Times New Roman" w:cs="Times New Roman"/>
          <w:lang w:val="en-ID"/>
        </w:rPr>
        <w:t xml:space="preserve"> </w:t>
      </w:r>
      <w:r w:rsidRPr="001235B6">
        <w:rPr>
          <w:rFonts w:ascii="Times New Roman" w:eastAsia="Arial" w:hAnsi="Times New Roman" w:cs="Times New Roman"/>
          <w:i/>
          <w:iCs/>
          <w:lang w:val="en-ID"/>
        </w:rPr>
        <w:t>P. gingivalis</w:t>
      </w:r>
      <w:r w:rsidRPr="001235B6">
        <w:rPr>
          <w:rFonts w:ascii="Times New Roman" w:eastAsia="Arial" w:hAnsi="Times New Roman" w:cs="Times New Roman"/>
          <w:lang w:val="en-ID"/>
        </w:rPr>
        <w:t xml:space="preserve">-induced periodontitis was associated with impaired spatial working memory in Sprague-Dawley rats. Hyperbaric oxygen therapy was associated with partial improvement in Y-maze performance after periodontal pathogen induction. </w:t>
      </w:r>
    </w:p>
    <w:p w14:paraId="4AC3EF72" w14:textId="77777777" w:rsidR="00C60CE6" w:rsidRDefault="00C60CE6" w:rsidP="001235B6">
      <w:pPr>
        <w:spacing w:after="160" w:line="240" w:lineRule="auto"/>
        <w:jc w:val="both"/>
        <w:rPr>
          <w:rFonts w:ascii="Times New Roman" w:eastAsia="Arial" w:hAnsi="Times New Roman" w:cs="Times New Roman"/>
          <w:b/>
          <w:bCs/>
          <w:lang w:val="en-ID"/>
        </w:rPr>
      </w:pPr>
    </w:p>
    <w:p w14:paraId="2FDCA078" w14:textId="02D89B21" w:rsidR="001235B6" w:rsidRPr="001235B6" w:rsidRDefault="001235B6" w:rsidP="001235B6">
      <w:pPr>
        <w:spacing w:after="160" w:line="240" w:lineRule="auto"/>
        <w:jc w:val="both"/>
        <w:rPr>
          <w:rFonts w:ascii="Times New Roman" w:eastAsia="Arial" w:hAnsi="Times New Roman" w:cs="Times New Roman"/>
          <w:lang w:val="en-ID"/>
        </w:rPr>
      </w:pPr>
      <w:r w:rsidRPr="001235B6">
        <w:rPr>
          <w:rFonts w:ascii="Times New Roman" w:eastAsia="Arial" w:hAnsi="Times New Roman" w:cs="Times New Roman"/>
          <w:b/>
          <w:bCs/>
          <w:lang w:val="en-ID"/>
        </w:rPr>
        <w:t>Keywords:</w:t>
      </w:r>
      <w:r w:rsidRPr="001235B6">
        <w:rPr>
          <w:rFonts w:ascii="Times New Roman" w:eastAsia="Arial" w:hAnsi="Times New Roman" w:cs="Times New Roman"/>
          <w:lang w:val="en-ID"/>
        </w:rPr>
        <w:t xml:space="preserve"> Hyperbaric Oxygenation; Memory, Short-Term; Periodontitis; </w:t>
      </w:r>
      <w:r w:rsidRPr="001235B6">
        <w:rPr>
          <w:rFonts w:ascii="Times New Roman" w:eastAsia="Arial" w:hAnsi="Times New Roman" w:cs="Times New Roman"/>
          <w:i/>
          <w:iCs/>
          <w:lang w:val="en-ID"/>
        </w:rPr>
        <w:t>Porphyromonas gingivalis</w:t>
      </w:r>
      <w:r w:rsidRPr="001235B6">
        <w:rPr>
          <w:rFonts w:ascii="Times New Roman" w:eastAsia="Arial" w:hAnsi="Times New Roman" w:cs="Times New Roman"/>
          <w:lang w:val="en-ID"/>
        </w:rPr>
        <w:t xml:space="preserve">; Rats, Sprague-Dawley; Spatial </w:t>
      </w:r>
      <w:proofErr w:type="spellStart"/>
      <w:r w:rsidRPr="001235B6">
        <w:rPr>
          <w:rFonts w:ascii="Times New Roman" w:eastAsia="Arial" w:hAnsi="Times New Roman" w:cs="Times New Roman"/>
          <w:lang w:val="en-ID"/>
        </w:rPr>
        <w:t>Behavior</w:t>
      </w:r>
      <w:proofErr w:type="spellEnd"/>
      <w:r w:rsidRPr="001235B6">
        <w:rPr>
          <w:rFonts w:ascii="Times New Roman" w:eastAsia="Arial" w:hAnsi="Times New Roman" w:cs="Times New Roman"/>
          <w:lang w:val="en-ID"/>
        </w:rPr>
        <w:t>.</w:t>
      </w:r>
    </w:p>
    <w:p w14:paraId="7C1B09CB" w14:textId="5D0E4ABB" w:rsidR="002F7D66" w:rsidRPr="007734E1" w:rsidRDefault="00AF78BE" w:rsidP="00895421">
      <w:pPr>
        <w:spacing w:after="160" w:line="240" w:lineRule="auto"/>
        <w:rPr>
          <w:rFonts w:ascii="Times New Roman" w:hAnsi="Times New Roman" w:cs="Times New Roman"/>
          <w:b/>
          <w:sz w:val="24"/>
          <w:szCs w:val="24"/>
        </w:rPr>
      </w:pPr>
      <w:r w:rsidRPr="007734E1">
        <w:rPr>
          <w:rFonts w:ascii="Times New Roman" w:hAnsi="Times New Roman" w:cs="Times New Roman"/>
          <w:b/>
          <w:sz w:val="24"/>
          <w:szCs w:val="24"/>
        </w:rPr>
        <w:t>Introduction</w:t>
      </w:r>
    </w:p>
    <w:p w14:paraId="7473C038"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Periodontitis is a chronic inflammatory disease that affects the supporting tissues of the teeth and remains one of the major causes of tooth loss worldwide. The disease is initiated and sustained by a </w:t>
      </w:r>
      <w:proofErr w:type="spellStart"/>
      <w:r w:rsidRPr="00AA6F05">
        <w:rPr>
          <w:rFonts w:ascii="Times New Roman" w:eastAsia="Arial" w:hAnsi="Times New Roman" w:cs="Times New Roman"/>
          <w:sz w:val="24"/>
          <w:szCs w:val="24"/>
        </w:rPr>
        <w:t>dysbiotic</w:t>
      </w:r>
      <w:proofErr w:type="spellEnd"/>
      <w:r w:rsidRPr="00AA6F05">
        <w:rPr>
          <w:rFonts w:ascii="Times New Roman" w:eastAsia="Arial" w:hAnsi="Times New Roman" w:cs="Times New Roman"/>
          <w:sz w:val="24"/>
          <w:szCs w:val="24"/>
        </w:rPr>
        <w:t xml:space="preserve"> subgingival biofilm, followed by an exaggerated host inflammatory response that contributes to periodontal tissue destruction, alveolar bone resorption, and progressive impairment of oral health. Among the major periodontal pathogens, </w:t>
      </w:r>
      <w:r w:rsidRPr="00AA6F05">
        <w:rPr>
          <w:rFonts w:ascii="Times New Roman" w:eastAsia="Arial" w:hAnsi="Times New Roman" w:cs="Times New Roman"/>
          <w:i/>
          <w:sz w:val="24"/>
          <w:szCs w:val="24"/>
        </w:rPr>
        <w:t>Porphyromonas gingivalis</w:t>
      </w:r>
      <w:r w:rsidRPr="00AA6F05">
        <w:rPr>
          <w:rFonts w:ascii="Times New Roman" w:eastAsia="Arial" w:hAnsi="Times New Roman" w:cs="Times New Roman"/>
          <w:sz w:val="24"/>
          <w:szCs w:val="24"/>
        </w:rPr>
        <w:t xml:space="preserve"> has received considerable attention because of its ability to disrupt host-microbial homeostasis and promote both local and systemic inflammatory responses. As a Gram-negative anaerobic bacterium,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produces several virulence factors, including lipopolysaccharide, fimbriae, outer membrane vesicles, and gingipain proteases, which play important roles in periodontal tissue damage and immune modulation [1,2].</w:t>
      </w:r>
    </w:p>
    <w:p w14:paraId="17A220E1"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Beyond its established role in periodontal destruction,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has increasingly been implicated in systemic conditions through mechanisms involving microbial dissemination, endotoxemia, and persistent low-grade inflammation. Periodontal infection may facilitate the translocation of bacterial products and inflammatory mediators into the systemic circulation, thereby affecting distant organs. This concept has strengthened the relevance of the oral-systemic axis in dental research, particularly in relation to cardiovascular, metabolic, and neurological disorders [3]. In this context, the potential association between periodontal pathogens and cognitive dysfunction has become an emerging area of interest, suggesting that chronic oral infection may contribute to neuroinflammatory processes that influence brain function.</w:t>
      </w:r>
    </w:p>
    <w:p w14:paraId="41D40705"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Cognitive impairment involves disturbances in memory, attention, and executive function, and may range from mild cognitive deficits to more severe neurodegenerative conditions. Several experimental and clinical studies have suggested that periodontal infection and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w:t>
      </w:r>
      <w:r w:rsidRPr="00AA6F05">
        <w:rPr>
          <w:rFonts w:ascii="Times New Roman" w:eastAsia="Arial" w:hAnsi="Times New Roman" w:cs="Times New Roman"/>
          <w:sz w:val="24"/>
          <w:szCs w:val="24"/>
        </w:rPr>
        <w:lastRenderedPageBreak/>
        <w:t xml:space="preserve">derived virulence factors may be associated with cognitive decline. Gingipains and lipopolysaccharide produced by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may contribute to systemic inflammation, endothelial dysfunction, and altered blood-brain barrier integrity. These processes may allow inflammatory mediators or bacterial components to affect the central nervous system and induce neuroinflammatory responses, particularly in brain regions involved in learning and memory, such as the hippocampus [4,5].</w:t>
      </w:r>
    </w:p>
    <w:p w14:paraId="7E1E15E4"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The possible pathways linking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-associated periodontitis to cognitive impairment include hematogenous dissemination of bacterial components, inflammatory cytokine-mediated disruption of endothelial barriers, and neural communication through cranial nerves such as the trigeminal nerve. Activation of immune signaling pathways by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lipopolysaccharide and gingipain may increase the production of pro-inflammatory cytokines, including interleukin-1beta, tumor necrosis factor-alpha, and interleukin-6. These mediators have been associated with blood-brain barrier dysfunction, microglial activation, oxidative stress, and impaired synaptic function. Although the exact mechanisms remain incompletely understood, these findings support the concept that chronic periodontal infection may influence cognitive function through the oral-brain axis [6-8].</w:t>
      </w:r>
    </w:p>
    <w:p w14:paraId="633ACC2E"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Hyperbaric oxygen therapy is a therapeutic approach that delivers 100% oxygen under increased atmospheric pressure, thereby increasing oxygen availability in tissues. It has been reported to modulate inflammatory responses, improve tissue oxygenation, reduce oxidative injury, and support tissue repair. In experimental models of neurological injury, hyperbaric oxygen therapy has shown potential benefits in improving cognitive and behavioral outcomes. These effects are thought to be related to enhanced oxygen diffusion, reduced inflammatory signaling, improved microcirculation, and possible stabilization of barrier function [9-11]. However, its potential role in mitigating cognitive impairment associated with periodontal pathogen-induced inflammation remains insufficiently explored.</w:t>
      </w:r>
    </w:p>
    <w:p w14:paraId="79D4DBB3" w14:textId="6B72956E" w:rsidR="00895421"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Although previous studies have investigated the systemic effects of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infection and the neuroprotective potential of hyperbaric oxygen therapy separately, limited evidence is available regarding its effect on behavioral impairment associated with experimental periodontitis. Understanding this relationship is relevant for oral science because it expands the perspective of periodontitis beyond local periodontal destruction and highlights its possible systemic consequences. Therefore, this study aimed to evaluate the effect of hyperbaric oxygen therapy on spatial working memory in a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-induced periodontitis rat model using the Y-maze spontaneous alternation test. The study hypothesis was that hyperbaric oxygen therapy would improve spatial working memory after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-induced periodontitis.</w:t>
      </w:r>
    </w:p>
    <w:p w14:paraId="4A9E0EA4" w14:textId="77777777" w:rsidR="00895421" w:rsidRPr="007734E1" w:rsidRDefault="00895421" w:rsidP="00256FF2">
      <w:pPr>
        <w:tabs>
          <w:tab w:val="left" w:pos="3206"/>
        </w:tabs>
        <w:spacing w:after="0" w:line="240" w:lineRule="auto"/>
        <w:rPr>
          <w:rFonts w:ascii="Times New Roman" w:hAnsi="Times New Roman" w:cs="Times New Roman"/>
          <w:b/>
          <w:sz w:val="24"/>
          <w:szCs w:val="24"/>
        </w:rPr>
      </w:pPr>
    </w:p>
    <w:p w14:paraId="62A0DDB1" w14:textId="4AB36127" w:rsidR="002F7D66" w:rsidRPr="007734E1" w:rsidRDefault="00AF78BE" w:rsidP="00895421">
      <w:pPr>
        <w:tabs>
          <w:tab w:val="left" w:pos="3206"/>
        </w:tabs>
        <w:spacing w:after="160" w:line="240" w:lineRule="auto"/>
        <w:rPr>
          <w:rFonts w:ascii="Times New Roman" w:hAnsi="Times New Roman" w:cs="Times New Roman"/>
          <w:b/>
          <w:sz w:val="24"/>
          <w:szCs w:val="24"/>
        </w:rPr>
      </w:pPr>
      <w:r w:rsidRPr="007734E1">
        <w:rPr>
          <w:rFonts w:ascii="Times New Roman" w:hAnsi="Times New Roman" w:cs="Times New Roman"/>
          <w:b/>
          <w:sz w:val="24"/>
          <w:szCs w:val="24"/>
        </w:rPr>
        <w:t>Methods</w:t>
      </w:r>
    </w:p>
    <w:p w14:paraId="1447FB86" w14:textId="77777777" w:rsidR="00AA6F05" w:rsidRPr="00AA6F05" w:rsidRDefault="00AA6F05" w:rsidP="00AA6F05">
      <w:pPr>
        <w:pStyle w:val="Heading2"/>
        <w:spacing w:before="0" w:line="240" w:lineRule="auto"/>
        <w:rPr>
          <w:rFonts w:ascii="Times New Roman" w:hAnsi="Times New Roman" w:cs="Times New Roman"/>
          <w:b/>
          <w:bCs/>
          <w:color w:val="auto"/>
          <w:sz w:val="24"/>
          <w:szCs w:val="24"/>
        </w:rPr>
      </w:pPr>
      <w:r w:rsidRPr="00AA6F05">
        <w:rPr>
          <w:rFonts w:ascii="Times New Roman" w:eastAsia="Arial" w:hAnsi="Times New Roman" w:cs="Times New Roman"/>
          <w:b/>
          <w:bCs/>
          <w:color w:val="auto"/>
          <w:sz w:val="24"/>
          <w:szCs w:val="24"/>
        </w:rPr>
        <w:t>Study design and ethical approval</w:t>
      </w:r>
    </w:p>
    <w:p w14:paraId="2888EF11"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This experimental animal study was conducted to evaluate the effect of hyperbaric oxygen therapy on spatial working memory in a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-induced periodontitis rat model. The study protocol was reviewed and approved by the Institutional Research Ethics Committee (approval number: EC/101/KEPK-FKGUHT/X/2024). All procedures involving animals were performed in accordance with institutional guidelines for the care and use of laboratory animals.</w:t>
      </w:r>
    </w:p>
    <w:p w14:paraId="2848192C" w14:textId="77777777" w:rsidR="00AA6F05" w:rsidRPr="00AA6F05" w:rsidRDefault="00AA6F05" w:rsidP="00AA6F05">
      <w:pPr>
        <w:pStyle w:val="Heading2"/>
        <w:spacing w:before="0" w:line="240" w:lineRule="auto"/>
        <w:rPr>
          <w:rFonts w:ascii="Times New Roman" w:hAnsi="Times New Roman" w:cs="Times New Roman"/>
          <w:b/>
          <w:bCs/>
          <w:color w:val="auto"/>
          <w:sz w:val="24"/>
          <w:szCs w:val="24"/>
        </w:rPr>
      </w:pPr>
      <w:r w:rsidRPr="00AA6F05">
        <w:rPr>
          <w:rFonts w:ascii="Times New Roman" w:eastAsia="Arial" w:hAnsi="Times New Roman" w:cs="Times New Roman"/>
          <w:b/>
          <w:bCs/>
          <w:color w:val="auto"/>
          <w:sz w:val="24"/>
          <w:szCs w:val="24"/>
        </w:rPr>
        <w:t>Animals and housing conditions</w:t>
      </w:r>
    </w:p>
    <w:p w14:paraId="70FA7716"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A total of 22 male Sprague-Dawley rats, aged 10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and weighing 150-180 g, were used in this study. The animals were divided into two groups: control and treatment groups, with 11 rats in each group. Before the experimental procedures, all animals underwent a one-</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acclimatization </w:t>
      </w:r>
      <w:r w:rsidRPr="00AA6F05">
        <w:rPr>
          <w:rFonts w:ascii="Times New Roman" w:eastAsia="Arial" w:hAnsi="Times New Roman" w:cs="Times New Roman"/>
          <w:sz w:val="24"/>
          <w:szCs w:val="24"/>
        </w:rPr>
        <w:lastRenderedPageBreak/>
        <w:t>period under controlled environmental conditions, including temperature of 18-26 °C, relative humidity of 30-70%, and a 12-h light-dark cycle. The animals were housed in standard laboratory cages and provided pellet diet and drinking water ad libitum.</w:t>
      </w:r>
    </w:p>
    <w:p w14:paraId="53B7797B"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Animals were included if they were clinically healthy based on veterinary examination and showed normal physiological characteristics, including smooth fur, clear eyes, normal activity, good appetite, firm feces, and normal social behavior. Animals with congenital abnormalities or clinical signs of illness during acclimatization were excluded. Animals that died during the experimental period were considered dropouts and excluded from the final analysis.</w:t>
      </w:r>
    </w:p>
    <w:p w14:paraId="40BC5281" w14:textId="77777777" w:rsidR="00AA6F05" w:rsidRPr="00AA6F05" w:rsidRDefault="00AA6F05" w:rsidP="00AA6F05">
      <w:pPr>
        <w:pStyle w:val="Heading2"/>
        <w:spacing w:before="0" w:line="240" w:lineRule="auto"/>
        <w:rPr>
          <w:rFonts w:ascii="Times New Roman" w:hAnsi="Times New Roman" w:cs="Times New Roman"/>
          <w:b/>
          <w:bCs/>
          <w:color w:val="auto"/>
          <w:sz w:val="24"/>
          <w:szCs w:val="24"/>
        </w:rPr>
      </w:pPr>
      <w:r w:rsidRPr="00AA6F05">
        <w:rPr>
          <w:rFonts w:ascii="Times New Roman" w:eastAsia="Arial" w:hAnsi="Times New Roman" w:cs="Times New Roman"/>
          <w:b/>
          <w:bCs/>
          <w:color w:val="auto"/>
          <w:sz w:val="24"/>
          <w:szCs w:val="24"/>
        </w:rPr>
        <w:t>Experimental groups</w:t>
      </w:r>
    </w:p>
    <w:p w14:paraId="13B5EB25"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The animals were allocated into two groups. The control group did not receive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induction or hyperbaric oxygen therapy. The treatment group received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induction to establish experimental periodontitis, followed by hyperbaric oxygen therapy. Spatial working memory was assessed in both groups at baseline before induction,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after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induction,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 after completion of hyperbaric oxygen therapy.</w:t>
      </w:r>
    </w:p>
    <w:p w14:paraId="450A9A78" w14:textId="77777777" w:rsidR="00AA6F05" w:rsidRPr="00AA6F05" w:rsidRDefault="00AA6F05" w:rsidP="00AA6F05">
      <w:pPr>
        <w:pStyle w:val="Heading2"/>
        <w:spacing w:before="0" w:line="240" w:lineRule="auto"/>
        <w:rPr>
          <w:rFonts w:ascii="Times New Roman" w:hAnsi="Times New Roman" w:cs="Times New Roman"/>
          <w:b/>
          <w:bCs/>
          <w:color w:val="auto"/>
          <w:sz w:val="24"/>
          <w:szCs w:val="24"/>
        </w:rPr>
      </w:pPr>
      <w:r w:rsidRPr="00AA6F05">
        <w:rPr>
          <w:rFonts w:ascii="Times New Roman" w:eastAsia="Arial" w:hAnsi="Times New Roman" w:cs="Times New Roman"/>
          <w:b/>
          <w:bCs/>
          <w:color w:val="auto"/>
          <w:sz w:val="24"/>
          <w:szCs w:val="24"/>
        </w:rPr>
        <w:t>Induction of experimental periodontitis</w:t>
      </w:r>
    </w:p>
    <w:p w14:paraId="42D4D7FE"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Experimental periodontitis was induced in the treatment group using </w:t>
      </w:r>
      <w:r w:rsidRPr="00AA6F05">
        <w:rPr>
          <w:rFonts w:ascii="Times New Roman" w:eastAsia="Arial" w:hAnsi="Times New Roman" w:cs="Times New Roman"/>
          <w:i/>
          <w:sz w:val="24"/>
          <w:szCs w:val="24"/>
        </w:rPr>
        <w:t>Porphyromonas gingivalis</w:t>
      </w:r>
      <w:r w:rsidRPr="00AA6F05">
        <w:rPr>
          <w:rFonts w:ascii="Times New Roman" w:eastAsia="Arial" w:hAnsi="Times New Roman" w:cs="Times New Roman"/>
          <w:sz w:val="24"/>
          <w:szCs w:val="24"/>
        </w:rPr>
        <w:t xml:space="preserve"> ATCC 33277 PK/5. Bacterial suspension was prepared at a concentration of 1 x 10^9 CFU/</w:t>
      </w:r>
      <w:proofErr w:type="spellStart"/>
      <w:r w:rsidRPr="00AA6F05">
        <w:rPr>
          <w:rFonts w:ascii="Times New Roman" w:eastAsia="Arial" w:hAnsi="Times New Roman" w:cs="Times New Roman"/>
          <w:sz w:val="24"/>
          <w:szCs w:val="24"/>
        </w:rPr>
        <w:t>mL.</w:t>
      </w:r>
      <w:proofErr w:type="spellEnd"/>
      <w:r w:rsidRPr="00AA6F05">
        <w:rPr>
          <w:rFonts w:ascii="Times New Roman" w:eastAsia="Arial" w:hAnsi="Times New Roman" w:cs="Times New Roman"/>
          <w:sz w:val="24"/>
          <w:szCs w:val="24"/>
        </w:rPr>
        <w:t xml:space="preserve"> A volume of 3 </w:t>
      </w:r>
      <w:proofErr w:type="spellStart"/>
      <w:r w:rsidRPr="00AA6F05">
        <w:rPr>
          <w:rFonts w:ascii="Times New Roman" w:eastAsia="Arial" w:hAnsi="Times New Roman" w:cs="Times New Roman"/>
          <w:sz w:val="24"/>
          <w:szCs w:val="24"/>
        </w:rPr>
        <w:t>μL</w:t>
      </w:r>
      <w:proofErr w:type="spellEnd"/>
      <w:r w:rsidRPr="00AA6F05">
        <w:rPr>
          <w:rFonts w:ascii="Times New Roman" w:eastAsia="Arial" w:hAnsi="Times New Roman" w:cs="Times New Roman"/>
          <w:sz w:val="24"/>
          <w:szCs w:val="24"/>
        </w:rPr>
        <w:t xml:space="preserve"> of the bacterial suspension was injected into the gingival tissue of the mandibular second molar region on both the right and left sides using a 5 </w:t>
      </w:r>
      <w:proofErr w:type="spellStart"/>
      <w:r w:rsidRPr="00AA6F05">
        <w:rPr>
          <w:rFonts w:ascii="Times New Roman" w:eastAsia="Arial" w:hAnsi="Times New Roman" w:cs="Times New Roman"/>
          <w:sz w:val="24"/>
          <w:szCs w:val="24"/>
        </w:rPr>
        <w:t>μL</w:t>
      </w:r>
      <w:proofErr w:type="spellEnd"/>
      <w:r w:rsidRPr="00AA6F05">
        <w:rPr>
          <w:rFonts w:ascii="Times New Roman" w:eastAsia="Arial" w:hAnsi="Times New Roman" w:cs="Times New Roman"/>
          <w:sz w:val="24"/>
          <w:szCs w:val="24"/>
        </w:rPr>
        <w:t xml:space="preserve"> </w:t>
      </w:r>
      <w:proofErr w:type="spellStart"/>
      <w:r w:rsidRPr="00AA6F05">
        <w:rPr>
          <w:rFonts w:ascii="Times New Roman" w:eastAsia="Arial" w:hAnsi="Times New Roman" w:cs="Times New Roman"/>
          <w:sz w:val="24"/>
          <w:szCs w:val="24"/>
        </w:rPr>
        <w:t>microsyringe</w:t>
      </w:r>
      <w:proofErr w:type="spellEnd"/>
      <w:r w:rsidRPr="00AA6F05">
        <w:rPr>
          <w:rFonts w:ascii="Times New Roman" w:eastAsia="Arial" w:hAnsi="Times New Roman" w:cs="Times New Roman"/>
          <w:sz w:val="24"/>
          <w:szCs w:val="24"/>
        </w:rPr>
        <w:t xml:space="preserve"> (Hamilton Company, Reno, NV, USA).</w:t>
      </w:r>
    </w:p>
    <w:p w14:paraId="7A6F0269"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The injection was performed every two days for five consecutive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to establish chronic periodontal infection. This protocol was adapted from a previously described experimental periodontitis model [12].</w:t>
      </w:r>
    </w:p>
    <w:p w14:paraId="0FBC7FDE" w14:textId="77777777" w:rsidR="00AA6F05" w:rsidRPr="00AA6F05" w:rsidRDefault="00AA6F05" w:rsidP="00AA6F05">
      <w:pPr>
        <w:pStyle w:val="Heading2"/>
        <w:spacing w:before="0" w:line="240" w:lineRule="auto"/>
        <w:rPr>
          <w:rFonts w:ascii="Times New Roman" w:hAnsi="Times New Roman" w:cs="Times New Roman"/>
          <w:b/>
          <w:bCs/>
          <w:color w:val="auto"/>
          <w:sz w:val="24"/>
          <w:szCs w:val="24"/>
        </w:rPr>
      </w:pPr>
      <w:r w:rsidRPr="00AA6F05">
        <w:rPr>
          <w:rFonts w:ascii="Times New Roman" w:eastAsia="Arial" w:hAnsi="Times New Roman" w:cs="Times New Roman"/>
          <w:b/>
          <w:bCs/>
          <w:color w:val="auto"/>
          <w:sz w:val="24"/>
          <w:szCs w:val="24"/>
        </w:rPr>
        <w:t>Hyperbaric oxygen therapy protocol</w:t>
      </w:r>
    </w:p>
    <w:p w14:paraId="4D8215BB"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After the five-</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induction period, rats in the treatment group received hyperbaric oxygen therapy using a hyperbaric chamber pressurized to 2.0 atmospheres absolute with 100% medical oxygen. The protocol consisted of gradual compression, therapeutic oxygen exposure, and controlled decompression.</w:t>
      </w:r>
    </w:p>
    <w:p w14:paraId="1288759D"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Compression was performed gradually at a rate of 0.1 atmospheres absolute/min until the chamber reached 2.0 atmospheres absolute. Therapeutic exposure was administered for 60 min/session and divided into two 30-min oxygen exposure periods separated by a 5-min interval at target pressure. Decompression was then performed at a rate of 0.1 atmospheres absolute/min to minimize the risk of barotrauma.</w:t>
      </w:r>
    </w:p>
    <w:p w14:paraId="1814B0E0"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Before each session, the animals were fasted for 4-6 h and underwent brief physical observation to ensure suitability for therapy. During exposure, the animals were continuously monitored through the chamber window. The session was terminated if signs of severe distress were observed. After each session, the animals were transferred to a recovery cage and observed for approximately 30 min. Hyperbaric oxygen therapy was administered five times/</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for four consecutive wk.</w:t>
      </w:r>
    </w:p>
    <w:p w14:paraId="6CD234A0" w14:textId="77777777" w:rsidR="00AA6F05" w:rsidRPr="00AA6F05" w:rsidRDefault="00AA6F05" w:rsidP="00AA6F05">
      <w:pPr>
        <w:pStyle w:val="Heading2"/>
        <w:spacing w:before="0" w:line="240" w:lineRule="auto"/>
        <w:rPr>
          <w:rFonts w:ascii="Times New Roman" w:hAnsi="Times New Roman" w:cs="Times New Roman"/>
          <w:b/>
          <w:bCs/>
          <w:sz w:val="24"/>
          <w:szCs w:val="24"/>
        </w:rPr>
      </w:pPr>
      <w:r w:rsidRPr="00AA6F05">
        <w:rPr>
          <w:rFonts w:ascii="Times New Roman" w:eastAsia="Arial" w:hAnsi="Times New Roman" w:cs="Times New Roman"/>
          <w:b/>
          <w:bCs/>
          <w:color w:val="auto"/>
          <w:sz w:val="24"/>
          <w:szCs w:val="24"/>
        </w:rPr>
        <w:t>Y-maze spontaneous alternation test</w:t>
      </w:r>
    </w:p>
    <w:p w14:paraId="5739C141"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Spatial working memory was assessed using the Y-maze spontaneous alternation test. The apparatus consisted of three identical arms labeled A, B, and C, positioned at 120° angles relative to each other. Each arm measured approximately 30 cm x 8 cm x 15 cm and was constructed from polyvinyl chloride.</w:t>
      </w:r>
    </w:p>
    <w:p w14:paraId="5DB7C070"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Before testing, each rat was acclimatized to the testing room for 10-15 min to reduce stress-related behavioral variation. During the test, the rat was placed at the end of one arm and allowed to freely </w:t>
      </w:r>
      <w:r w:rsidRPr="00AA6F05">
        <w:rPr>
          <w:rFonts w:ascii="Times New Roman" w:eastAsia="Arial" w:hAnsi="Times New Roman" w:cs="Times New Roman"/>
          <w:sz w:val="24"/>
          <w:szCs w:val="24"/>
        </w:rPr>
        <w:lastRenderedPageBreak/>
        <w:t>explore the maze for 5-8 min. Animal movement was recorded using a video camera to document the sequence and number of arm entries.</w:t>
      </w:r>
    </w:p>
    <w:p w14:paraId="6D5E831E"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An arm entry was considered valid when the entire body of the rat, including the tail, had completely entered the arm. The total number of arm entries and spontaneous alternations were recorded. A spontaneous alternation was defined as consecutive entries into three different arms. The percentage of spontaneous alternation was calculated using the following formula:</w:t>
      </w:r>
    </w:p>
    <w:p w14:paraId="5DD90E75"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Spontaneous alternation (%) = [number of spontaneous alternations / (total arm entries - 2)] x 100</w:t>
      </w:r>
    </w:p>
    <w:p w14:paraId="6B0C8262"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The maze was cleaned with 70% alcohol between testing sessions to remove odor cues that could influence exploratory behavior. Behavioral assessments were conducted at baseline before induction,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after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induction,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 after hyperbaric oxygen therapy.</w:t>
      </w:r>
    </w:p>
    <w:p w14:paraId="59F2C84F" w14:textId="77777777" w:rsidR="00AA6F05" w:rsidRPr="00AA6F05" w:rsidRDefault="00AA6F05" w:rsidP="00AA6F05">
      <w:pPr>
        <w:pStyle w:val="Heading2"/>
        <w:spacing w:before="0" w:line="240" w:lineRule="auto"/>
        <w:rPr>
          <w:rFonts w:ascii="Times New Roman" w:hAnsi="Times New Roman" w:cs="Times New Roman"/>
          <w:b/>
          <w:bCs/>
          <w:color w:val="auto"/>
          <w:sz w:val="24"/>
          <w:szCs w:val="24"/>
        </w:rPr>
      </w:pPr>
      <w:r w:rsidRPr="00AA6F05">
        <w:rPr>
          <w:rFonts w:ascii="Times New Roman" w:eastAsia="Arial" w:hAnsi="Times New Roman" w:cs="Times New Roman"/>
          <w:b/>
          <w:bCs/>
          <w:color w:val="auto"/>
          <w:sz w:val="24"/>
          <w:szCs w:val="24"/>
        </w:rPr>
        <w:t>Statistical analysis</w:t>
      </w:r>
    </w:p>
    <w:p w14:paraId="51FB6F51"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Data were analyzed using IBM SPSS Statistics version 27.0 (IBM Corp., Armonk, NY, USA). Descriptive statistics were presented as mean +/- standard deviation. The Shapiro-Wilk test was used to assess data normality, and Levene's test was used to evaluate homogeneity of variance.</w:t>
      </w:r>
    </w:p>
    <w:p w14:paraId="35EA507E"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For normally distributed data in the control group, repeated-measures analysis of variance was used to compare spatial working memory scores across the three observation time points, followed by paired t-tests for pairwise comparisons. For non-normally distributed data in the treatment group, the Friedman test was used to evaluate differences across the three time points, followed by Wilcoxon signed-rank tests for pairwise comparisons. A p-value of less than 0.05 was considered statistically significant.</w:t>
      </w:r>
    </w:p>
    <w:p w14:paraId="5789D4DE" w14:textId="77777777" w:rsidR="000D44C9" w:rsidRPr="007734E1" w:rsidRDefault="000D44C9" w:rsidP="00256FF2">
      <w:pPr>
        <w:tabs>
          <w:tab w:val="left" w:pos="3206"/>
        </w:tabs>
        <w:spacing w:after="0" w:line="240" w:lineRule="auto"/>
        <w:jc w:val="both"/>
        <w:rPr>
          <w:rFonts w:ascii="Times New Roman" w:hAnsi="Times New Roman" w:cs="Times New Roman"/>
          <w:sz w:val="24"/>
          <w:szCs w:val="24"/>
        </w:rPr>
      </w:pPr>
    </w:p>
    <w:p w14:paraId="67414CFA" w14:textId="2AE6C7C3" w:rsidR="002F7D66" w:rsidRPr="007734E1" w:rsidRDefault="00AF78BE" w:rsidP="00256FF2">
      <w:pPr>
        <w:spacing w:line="240" w:lineRule="auto"/>
        <w:jc w:val="both"/>
        <w:rPr>
          <w:rFonts w:ascii="Times New Roman" w:hAnsi="Times New Roman" w:cs="Times New Roman"/>
          <w:b/>
          <w:bCs/>
          <w:sz w:val="24"/>
          <w:szCs w:val="24"/>
        </w:rPr>
      </w:pPr>
      <w:r w:rsidRPr="007734E1">
        <w:rPr>
          <w:rFonts w:ascii="Times New Roman" w:hAnsi="Times New Roman" w:cs="Times New Roman"/>
          <w:b/>
          <w:bCs/>
          <w:sz w:val="24"/>
          <w:szCs w:val="24"/>
        </w:rPr>
        <w:t xml:space="preserve">Results  </w:t>
      </w:r>
    </w:p>
    <w:p w14:paraId="416CAA97"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Spatial working memory was assessed using the Y-maze spontaneous alternation test at baseline,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after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induction,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 after completion of hyperbaric oxygen therapy. Descriptive data are presented in Table 1.</w:t>
      </w:r>
    </w:p>
    <w:p w14:paraId="00D94564"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The control group showed relatively stable spontaneous alternation scores over time. In the treatment group, the mean spontaneous alternation score decreased after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induction and increased after hyperbaric oxygen therapy, although it did not return to baseline level.</w:t>
      </w:r>
    </w:p>
    <w:p w14:paraId="07942A01" w14:textId="77777777" w:rsidR="00AA6F05" w:rsidRDefault="00AA6F05" w:rsidP="00AA6F05">
      <w:pPr>
        <w:spacing w:after="0" w:line="240" w:lineRule="auto"/>
        <w:jc w:val="both"/>
        <w:rPr>
          <w:rFonts w:ascii="Times New Roman" w:eastAsia="Arial" w:hAnsi="Times New Roman" w:cs="Times New Roman"/>
          <w:sz w:val="24"/>
          <w:szCs w:val="24"/>
        </w:rPr>
      </w:pPr>
    </w:p>
    <w:p w14:paraId="2A47BB56" w14:textId="16C46645"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Table 1. Y-maze spontaneous alternation scores.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4"/>
        <w:gridCol w:w="2350"/>
        <w:gridCol w:w="2323"/>
        <w:gridCol w:w="2323"/>
      </w:tblGrid>
      <w:tr w:rsidR="00AA6F05" w:rsidRPr="00AA6F05" w14:paraId="22820E7A" w14:textId="77777777" w:rsidTr="003B1479">
        <w:trPr>
          <w:jc w:val="center"/>
        </w:trPr>
        <w:tc>
          <w:tcPr>
            <w:tcW w:w="2493" w:type="dxa"/>
            <w:tcBorders>
              <w:top w:val="single" w:sz="4" w:space="0" w:color="auto"/>
              <w:bottom w:val="single" w:sz="4" w:space="0" w:color="auto"/>
            </w:tcBorders>
            <w:vAlign w:val="center"/>
          </w:tcPr>
          <w:p w14:paraId="1CEA99F4"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Group</w:t>
            </w:r>
          </w:p>
        </w:tc>
        <w:tc>
          <w:tcPr>
            <w:tcW w:w="2493" w:type="dxa"/>
            <w:tcBorders>
              <w:top w:val="single" w:sz="4" w:space="0" w:color="auto"/>
              <w:bottom w:val="single" w:sz="4" w:space="0" w:color="auto"/>
            </w:tcBorders>
            <w:vAlign w:val="center"/>
          </w:tcPr>
          <w:p w14:paraId="6F20DE19"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Baseline</w:t>
            </w:r>
          </w:p>
        </w:tc>
        <w:tc>
          <w:tcPr>
            <w:tcW w:w="2493" w:type="dxa"/>
            <w:tcBorders>
              <w:top w:val="single" w:sz="4" w:space="0" w:color="auto"/>
              <w:bottom w:val="single" w:sz="4" w:space="0" w:color="auto"/>
            </w:tcBorders>
            <w:vAlign w:val="center"/>
          </w:tcPr>
          <w:p w14:paraId="5AF54CF8"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Week 5</w:t>
            </w:r>
          </w:p>
        </w:tc>
        <w:tc>
          <w:tcPr>
            <w:tcW w:w="2493" w:type="dxa"/>
            <w:tcBorders>
              <w:top w:val="single" w:sz="4" w:space="0" w:color="auto"/>
              <w:bottom w:val="single" w:sz="4" w:space="0" w:color="auto"/>
            </w:tcBorders>
            <w:vAlign w:val="center"/>
          </w:tcPr>
          <w:p w14:paraId="0F96AD46"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Week 9</w:t>
            </w:r>
          </w:p>
        </w:tc>
      </w:tr>
      <w:tr w:rsidR="00AA6F05" w:rsidRPr="00AA6F05" w14:paraId="0FA04603" w14:textId="77777777" w:rsidTr="003B1479">
        <w:trPr>
          <w:jc w:val="center"/>
        </w:trPr>
        <w:tc>
          <w:tcPr>
            <w:tcW w:w="2493" w:type="dxa"/>
            <w:tcBorders>
              <w:top w:val="single" w:sz="4" w:space="0" w:color="auto"/>
            </w:tcBorders>
            <w:vAlign w:val="center"/>
          </w:tcPr>
          <w:p w14:paraId="72723310"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Control</w:t>
            </w:r>
          </w:p>
        </w:tc>
        <w:tc>
          <w:tcPr>
            <w:tcW w:w="2493" w:type="dxa"/>
            <w:tcBorders>
              <w:top w:val="single" w:sz="4" w:space="0" w:color="auto"/>
            </w:tcBorders>
            <w:vAlign w:val="center"/>
          </w:tcPr>
          <w:p w14:paraId="221DD75D"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70.85 +/- 4.97</w:t>
            </w:r>
          </w:p>
        </w:tc>
        <w:tc>
          <w:tcPr>
            <w:tcW w:w="2493" w:type="dxa"/>
            <w:tcBorders>
              <w:top w:val="single" w:sz="4" w:space="0" w:color="auto"/>
            </w:tcBorders>
            <w:vAlign w:val="center"/>
          </w:tcPr>
          <w:p w14:paraId="6DDBC9A6"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65.45 +/- 9.60</w:t>
            </w:r>
          </w:p>
        </w:tc>
        <w:tc>
          <w:tcPr>
            <w:tcW w:w="2493" w:type="dxa"/>
            <w:tcBorders>
              <w:top w:val="single" w:sz="4" w:space="0" w:color="auto"/>
            </w:tcBorders>
            <w:vAlign w:val="center"/>
          </w:tcPr>
          <w:p w14:paraId="23D3CE5B"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68.00 +/- 5.08</w:t>
            </w:r>
          </w:p>
        </w:tc>
      </w:tr>
      <w:tr w:rsidR="00AA6F05" w:rsidRPr="00AA6F05" w14:paraId="2B48A807" w14:textId="77777777" w:rsidTr="003B1479">
        <w:trPr>
          <w:jc w:val="center"/>
        </w:trPr>
        <w:tc>
          <w:tcPr>
            <w:tcW w:w="2493" w:type="dxa"/>
            <w:vAlign w:val="center"/>
          </w:tcPr>
          <w:p w14:paraId="12AAA979"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Treatment</w:t>
            </w:r>
          </w:p>
        </w:tc>
        <w:tc>
          <w:tcPr>
            <w:tcW w:w="2493" w:type="dxa"/>
            <w:vAlign w:val="center"/>
          </w:tcPr>
          <w:p w14:paraId="38344C44"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68.02 +/- 1.67</w:t>
            </w:r>
          </w:p>
        </w:tc>
        <w:tc>
          <w:tcPr>
            <w:tcW w:w="2493" w:type="dxa"/>
            <w:vAlign w:val="center"/>
          </w:tcPr>
          <w:p w14:paraId="495EA737"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32.01 +/- 24.71</w:t>
            </w:r>
          </w:p>
        </w:tc>
        <w:tc>
          <w:tcPr>
            <w:tcW w:w="2493" w:type="dxa"/>
            <w:vAlign w:val="center"/>
          </w:tcPr>
          <w:p w14:paraId="4F41D301"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52.09 +/- 14.03</w:t>
            </w:r>
          </w:p>
        </w:tc>
      </w:tr>
    </w:tbl>
    <w:p w14:paraId="1D62E624"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Note: Values are presented as mean +/- standard deviation. Week 5 represents the post-induction period, and week 9 represents the post-treatment period in the treatment group.</w:t>
      </w:r>
    </w:p>
    <w:p w14:paraId="5F2D3A27" w14:textId="77777777" w:rsidR="003B1479" w:rsidRDefault="003B1479" w:rsidP="00AA6F05">
      <w:pPr>
        <w:spacing w:after="0" w:line="240" w:lineRule="auto"/>
        <w:jc w:val="both"/>
        <w:rPr>
          <w:rFonts w:ascii="Times New Roman" w:eastAsia="Arial" w:hAnsi="Times New Roman" w:cs="Times New Roman"/>
          <w:sz w:val="24"/>
          <w:szCs w:val="24"/>
        </w:rPr>
      </w:pPr>
    </w:p>
    <w:p w14:paraId="7623C57F" w14:textId="0F55871E"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The Shapiro-Wilk test and Levene's test indicated that the control group data were normally distributed and homogeneous; therefore, repeated-measures analysis of variance followed by paired t-tests was used. In the control group, pairwise comparisons showed no statistically significant differences between baseline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baseline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 or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 (Table 2).</w:t>
      </w:r>
    </w:p>
    <w:p w14:paraId="17B85C94" w14:textId="77777777" w:rsidR="00AA6F05" w:rsidRDefault="00AA6F05" w:rsidP="00AA6F05">
      <w:pPr>
        <w:spacing w:after="0" w:line="240" w:lineRule="auto"/>
        <w:jc w:val="both"/>
        <w:rPr>
          <w:rFonts w:ascii="Times New Roman" w:eastAsia="Arial" w:hAnsi="Times New Roman" w:cs="Times New Roman"/>
          <w:sz w:val="24"/>
          <w:szCs w:val="24"/>
        </w:rPr>
      </w:pPr>
    </w:p>
    <w:p w14:paraId="555C91D8" w14:textId="71A66688"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Table 2. Pairwise comparisons of Y-maze spontaneous alternation scores in the control group.</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9"/>
        <w:gridCol w:w="4651"/>
      </w:tblGrid>
      <w:tr w:rsidR="00AA6F05" w:rsidRPr="00AA6F05" w14:paraId="73F447E9" w14:textId="77777777" w:rsidTr="00AA6F05">
        <w:trPr>
          <w:jc w:val="center"/>
        </w:trPr>
        <w:tc>
          <w:tcPr>
            <w:tcW w:w="4986" w:type="dxa"/>
            <w:tcBorders>
              <w:top w:val="single" w:sz="4" w:space="0" w:color="auto"/>
              <w:bottom w:val="single" w:sz="4" w:space="0" w:color="auto"/>
            </w:tcBorders>
            <w:vAlign w:val="center"/>
          </w:tcPr>
          <w:p w14:paraId="5B53FD49"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Comparison</w:t>
            </w:r>
          </w:p>
        </w:tc>
        <w:tc>
          <w:tcPr>
            <w:tcW w:w="4986" w:type="dxa"/>
            <w:tcBorders>
              <w:top w:val="single" w:sz="4" w:space="0" w:color="auto"/>
              <w:bottom w:val="single" w:sz="4" w:space="0" w:color="auto"/>
            </w:tcBorders>
            <w:vAlign w:val="center"/>
          </w:tcPr>
          <w:p w14:paraId="4028AFFD"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p-value</w:t>
            </w:r>
          </w:p>
        </w:tc>
      </w:tr>
      <w:tr w:rsidR="00AA6F05" w:rsidRPr="00AA6F05" w14:paraId="70F2E546" w14:textId="77777777" w:rsidTr="00AA6F05">
        <w:trPr>
          <w:jc w:val="center"/>
        </w:trPr>
        <w:tc>
          <w:tcPr>
            <w:tcW w:w="4986" w:type="dxa"/>
            <w:tcBorders>
              <w:top w:val="single" w:sz="4" w:space="0" w:color="auto"/>
            </w:tcBorders>
            <w:vAlign w:val="center"/>
          </w:tcPr>
          <w:p w14:paraId="7D77AF06"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Baseline vs Week 5</w:t>
            </w:r>
          </w:p>
        </w:tc>
        <w:tc>
          <w:tcPr>
            <w:tcW w:w="4986" w:type="dxa"/>
            <w:tcBorders>
              <w:top w:val="single" w:sz="4" w:space="0" w:color="auto"/>
            </w:tcBorders>
            <w:vAlign w:val="center"/>
          </w:tcPr>
          <w:p w14:paraId="73828345"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0.063</w:t>
            </w:r>
          </w:p>
        </w:tc>
      </w:tr>
      <w:tr w:rsidR="00AA6F05" w:rsidRPr="00AA6F05" w14:paraId="56747C60" w14:textId="77777777" w:rsidTr="00AA6F05">
        <w:trPr>
          <w:jc w:val="center"/>
        </w:trPr>
        <w:tc>
          <w:tcPr>
            <w:tcW w:w="4986" w:type="dxa"/>
            <w:vAlign w:val="center"/>
          </w:tcPr>
          <w:p w14:paraId="3152AE55"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Baseline vs Week 9</w:t>
            </w:r>
          </w:p>
        </w:tc>
        <w:tc>
          <w:tcPr>
            <w:tcW w:w="4986" w:type="dxa"/>
            <w:vAlign w:val="center"/>
          </w:tcPr>
          <w:p w14:paraId="4BF6CF1D"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0.069</w:t>
            </w:r>
          </w:p>
        </w:tc>
      </w:tr>
      <w:tr w:rsidR="00AA6F05" w:rsidRPr="00AA6F05" w14:paraId="784A64B9" w14:textId="77777777" w:rsidTr="00AA6F05">
        <w:trPr>
          <w:jc w:val="center"/>
        </w:trPr>
        <w:tc>
          <w:tcPr>
            <w:tcW w:w="4986" w:type="dxa"/>
            <w:vAlign w:val="center"/>
          </w:tcPr>
          <w:p w14:paraId="4DD45DD8"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Week 5 vs Week 9</w:t>
            </w:r>
          </w:p>
        </w:tc>
        <w:tc>
          <w:tcPr>
            <w:tcW w:w="4986" w:type="dxa"/>
            <w:vAlign w:val="center"/>
          </w:tcPr>
          <w:p w14:paraId="672101AE"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0.231</w:t>
            </w:r>
          </w:p>
        </w:tc>
      </w:tr>
    </w:tbl>
    <w:p w14:paraId="5906F85A"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lastRenderedPageBreak/>
        <w:t>Note: Pairwise comparisons were performed using paired t-tests. Statistical significance was set at p &lt; 0.05.</w:t>
      </w:r>
    </w:p>
    <w:p w14:paraId="1B75D3F4" w14:textId="77777777" w:rsidR="003B1479" w:rsidRDefault="003B1479" w:rsidP="00AA6F05">
      <w:pPr>
        <w:spacing w:after="0" w:line="240" w:lineRule="auto"/>
        <w:jc w:val="both"/>
        <w:rPr>
          <w:rFonts w:ascii="Times New Roman" w:eastAsia="Arial" w:hAnsi="Times New Roman" w:cs="Times New Roman"/>
          <w:sz w:val="24"/>
          <w:szCs w:val="24"/>
        </w:rPr>
      </w:pPr>
    </w:p>
    <w:p w14:paraId="7B728B4E" w14:textId="651CC31B"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The treatment group data were not normally distributed; therefore, the Friedman test followed by Wilcoxon signed-rank tests was applied. Pairwise comparisons showed significant differences between baseline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baseline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 (Table 3). These findings indicate a significant decrease after </w:t>
      </w:r>
      <w:r w:rsidRPr="00AA6F05">
        <w:rPr>
          <w:rFonts w:ascii="Times New Roman" w:eastAsia="Arial" w:hAnsi="Times New Roman" w:cs="Times New Roman"/>
          <w:i/>
          <w:sz w:val="24"/>
          <w:szCs w:val="24"/>
        </w:rPr>
        <w:t>P. gingivalis</w:t>
      </w:r>
      <w:r w:rsidRPr="00AA6F05">
        <w:rPr>
          <w:rFonts w:ascii="Times New Roman" w:eastAsia="Arial" w:hAnsi="Times New Roman" w:cs="Times New Roman"/>
          <w:sz w:val="24"/>
          <w:szCs w:val="24"/>
        </w:rPr>
        <w:t xml:space="preserve"> induction and a significant improvement after hyperbaric oxygen therapy.</w:t>
      </w:r>
    </w:p>
    <w:p w14:paraId="46F0DD35" w14:textId="77777777" w:rsidR="003B1479" w:rsidRDefault="003B1479" w:rsidP="00AA6F05">
      <w:pPr>
        <w:spacing w:after="0" w:line="240" w:lineRule="auto"/>
        <w:jc w:val="both"/>
        <w:rPr>
          <w:rFonts w:ascii="Times New Roman" w:eastAsia="Arial" w:hAnsi="Times New Roman" w:cs="Times New Roman"/>
          <w:sz w:val="24"/>
          <w:szCs w:val="24"/>
        </w:rPr>
      </w:pPr>
    </w:p>
    <w:p w14:paraId="74571DC7" w14:textId="1250F5C2"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Table 3. Pairwise comparisons of Y-maze spontaneous alternation scores in the treatment group.</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9"/>
        <w:gridCol w:w="4651"/>
      </w:tblGrid>
      <w:tr w:rsidR="00AA6F05" w:rsidRPr="00AA6F05" w14:paraId="2EAC6CE5" w14:textId="77777777" w:rsidTr="00AA6F05">
        <w:trPr>
          <w:jc w:val="center"/>
        </w:trPr>
        <w:tc>
          <w:tcPr>
            <w:tcW w:w="4986" w:type="dxa"/>
            <w:tcBorders>
              <w:top w:val="single" w:sz="4" w:space="0" w:color="auto"/>
              <w:bottom w:val="single" w:sz="4" w:space="0" w:color="auto"/>
            </w:tcBorders>
            <w:vAlign w:val="center"/>
          </w:tcPr>
          <w:p w14:paraId="4D1E519B"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Comparison</w:t>
            </w:r>
          </w:p>
        </w:tc>
        <w:tc>
          <w:tcPr>
            <w:tcW w:w="4986" w:type="dxa"/>
            <w:tcBorders>
              <w:top w:val="single" w:sz="4" w:space="0" w:color="auto"/>
              <w:bottom w:val="single" w:sz="4" w:space="0" w:color="auto"/>
            </w:tcBorders>
            <w:vAlign w:val="center"/>
          </w:tcPr>
          <w:p w14:paraId="1F2D79F5"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b/>
                <w:sz w:val="24"/>
                <w:szCs w:val="24"/>
              </w:rPr>
              <w:t>p-value</w:t>
            </w:r>
          </w:p>
        </w:tc>
      </w:tr>
      <w:tr w:rsidR="00AA6F05" w:rsidRPr="00AA6F05" w14:paraId="2EE0454D" w14:textId="77777777" w:rsidTr="00AA6F05">
        <w:trPr>
          <w:jc w:val="center"/>
        </w:trPr>
        <w:tc>
          <w:tcPr>
            <w:tcW w:w="4986" w:type="dxa"/>
            <w:tcBorders>
              <w:top w:val="single" w:sz="4" w:space="0" w:color="auto"/>
            </w:tcBorders>
            <w:vAlign w:val="center"/>
          </w:tcPr>
          <w:p w14:paraId="27DA4C35"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Baseline vs Week 5</w:t>
            </w:r>
          </w:p>
        </w:tc>
        <w:tc>
          <w:tcPr>
            <w:tcW w:w="4986" w:type="dxa"/>
            <w:tcBorders>
              <w:top w:val="single" w:sz="4" w:space="0" w:color="auto"/>
            </w:tcBorders>
            <w:vAlign w:val="center"/>
          </w:tcPr>
          <w:p w14:paraId="7CAA5DE0"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&lt; 0.005</w:t>
            </w:r>
          </w:p>
        </w:tc>
      </w:tr>
      <w:tr w:rsidR="00AA6F05" w:rsidRPr="00AA6F05" w14:paraId="64EC10F2" w14:textId="77777777" w:rsidTr="00AA6F05">
        <w:trPr>
          <w:jc w:val="center"/>
        </w:trPr>
        <w:tc>
          <w:tcPr>
            <w:tcW w:w="4986" w:type="dxa"/>
            <w:vAlign w:val="center"/>
          </w:tcPr>
          <w:p w14:paraId="6CCF563D"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Baseline vs Week 9</w:t>
            </w:r>
          </w:p>
        </w:tc>
        <w:tc>
          <w:tcPr>
            <w:tcW w:w="4986" w:type="dxa"/>
            <w:vAlign w:val="center"/>
          </w:tcPr>
          <w:p w14:paraId="692C55FF"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&lt; 0.010</w:t>
            </w:r>
          </w:p>
        </w:tc>
      </w:tr>
      <w:tr w:rsidR="00AA6F05" w:rsidRPr="00AA6F05" w14:paraId="4C31D825" w14:textId="77777777" w:rsidTr="00AA6F05">
        <w:trPr>
          <w:jc w:val="center"/>
        </w:trPr>
        <w:tc>
          <w:tcPr>
            <w:tcW w:w="4986" w:type="dxa"/>
            <w:vAlign w:val="center"/>
          </w:tcPr>
          <w:p w14:paraId="4F52F0AD"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Week 5 vs Week 9</w:t>
            </w:r>
          </w:p>
        </w:tc>
        <w:tc>
          <w:tcPr>
            <w:tcW w:w="4986" w:type="dxa"/>
            <w:vAlign w:val="center"/>
          </w:tcPr>
          <w:p w14:paraId="3BE7F1BE" w14:textId="77777777" w:rsidR="00AA6F05" w:rsidRPr="00AA6F05" w:rsidRDefault="00AA6F05" w:rsidP="00AA6F05">
            <w:pPr>
              <w:spacing w:after="0" w:line="240" w:lineRule="auto"/>
              <w:jc w:val="center"/>
              <w:rPr>
                <w:rFonts w:ascii="Times New Roman" w:hAnsi="Times New Roman" w:cs="Times New Roman"/>
                <w:sz w:val="24"/>
                <w:szCs w:val="24"/>
              </w:rPr>
            </w:pPr>
            <w:r w:rsidRPr="00AA6F05">
              <w:rPr>
                <w:rFonts w:ascii="Times New Roman" w:eastAsia="Arial" w:hAnsi="Times New Roman" w:cs="Times New Roman"/>
                <w:sz w:val="24"/>
                <w:szCs w:val="24"/>
              </w:rPr>
              <w:t>0.041</w:t>
            </w:r>
          </w:p>
        </w:tc>
      </w:tr>
    </w:tbl>
    <w:p w14:paraId="2F3DE047"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Note: Pairwise comparisons were performed using Wilcoxon signed-rank tests. Statistical significance was set at p &lt; 0.05.</w:t>
      </w:r>
    </w:p>
    <w:p w14:paraId="73D1DFA7" w14:textId="77777777" w:rsidR="00AA6F05" w:rsidRPr="00AA6F05" w:rsidRDefault="00AA6F05" w:rsidP="00AA6F05">
      <w:pPr>
        <w:spacing w:line="240" w:lineRule="auto"/>
        <w:jc w:val="center"/>
        <w:rPr>
          <w:rFonts w:ascii="Times New Roman" w:hAnsi="Times New Roman" w:cs="Times New Roman"/>
          <w:sz w:val="24"/>
          <w:szCs w:val="24"/>
        </w:rPr>
      </w:pPr>
      <w:r w:rsidRPr="00AA6F05">
        <w:rPr>
          <w:rFonts w:ascii="Times New Roman" w:hAnsi="Times New Roman" w:cs="Times New Roman"/>
          <w:noProof/>
          <w:sz w:val="24"/>
          <w:szCs w:val="24"/>
        </w:rPr>
        <w:drawing>
          <wp:inline distT="0" distB="0" distL="0" distR="0" wp14:anchorId="5D875631" wp14:editId="2C02751C">
            <wp:extent cx="5760000" cy="2103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760000" cy="2103294"/>
                    </a:xfrm>
                    <a:prstGeom prst="rect">
                      <a:avLst/>
                    </a:prstGeom>
                  </pic:spPr>
                </pic:pic>
              </a:graphicData>
            </a:graphic>
          </wp:inline>
        </w:drawing>
      </w:r>
    </w:p>
    <w:p w14:paraId="557DFE08" w14:textId="77777777" w:rsidR="00AA6F05" w:rsidRPr="00AA6F05" w:rsidRDefault="00AA6F05" w:rsidP="00AA6F05">
      <w:pPr>
        <w:spacing w:after="0" w:line="240" w:lineRule="auto"/>
        <w:jc w:val="both"/>
        <w:rPr>
          <w:rFonts w:ascii="Times New Roman" w:hAnsi="Times New Roman" w:cs="Times New Roman"/>
          <w:sz w:val="24"/>
          <w:szCs w:val="24"/>
        </w:rPr>
      </w:pPr>
      <w:r w:rsidRPr="00AA6F05">
        <w:rPr>
          <w:rFonts w:ascii="Times New Roman" w:eastAsia="Arial" w:hAnsi="Times New Roman" w:cs="Times New Roman"/>
          <w:sz w:val="24"/>
          <w:szCs w:val="24"/>
        </w:rPr>
        <w:t xml:space="preserve">Figure 1. Mean and standard deviation of Y-maze spontaneous alternation scores in the control and treatment groups at baseline,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5, and </w:t>
      </w:r>
      <w:proofErr w:type="spellStart"/>
      <w:r w:rsidRPr="00AA6F05">
        <w:rPr>
          <w:rFonts w:ascii="Times New Roman" w:eastAsia="Arial" w:hAnsi="Times New Roman" w:cs="Times New Roman"/>
          <w:sz w:val="24"/>
          <w:szCs w:val="24"/>
        </w:rPr>
        <w:t>wk</w:t>
      </w:r>
      <w:proofErr w:type="spellEnd"/>
      <w:r w:rsidRPr="00AA6F05">
        <w:rPr>
          <w:rFonts w:ascii="Times New Roman" w:eastAsia="Arial" w:hAnsi="Times New Roman" w:cs="Times New Roman"/>
          <w:sz w:val="24"/>
          <w:szCs w:val="24"/>
        </w:rPr>
        <w:t xml:space="preserve"> 9.</w:t>
      </w:r>
    </w:p>
    <w:p w14:paraId="7B08D1D9" w14:textId="2E46FE59" w:rsidR="0085225B" w:rsidRPr="007734E1" w:rsidRDefault="00AF78BE" w:rsidP="00256FF2">
      <w:pPr>
        <w:pStyle w:val="IOP-CS-SectionHead"/>
        <w:spacing w:line="240" w:lineRule="auto"/>
        <w:rPr>
          <w:rFonts w:ascii="Times New Roman" w:hAnsi="Times New Roman" w:cs="Times New Roman"/>
          <w:sz w:val="24"/>
          <w:szCs w:val="24"/>
        </w:rPr>
      </w:pPr>
      <w:r w:rsidRPr="007734E1">
        <w:rPr>
          <w:rFonts w:ascii="Times New Roman" w:hAnsi="Times New Roman" w:cs="Times New Roman"/>
          <w:sz w:val="24"/>
          <w:szCs w:val="24"/>
        </w:rPr>
        <w:t xml:space="preserve">Discussion </w:t>
      </w:r>
    </w:p>
    <w:p w14:paraId="05BD6028"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 xml:space="preserve">This study demonstrated that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-induced periodontitis was associated with impaired spatial working memory in Sprague-Dawley rats, as indicated by reduced spontaneous alternation behavior in the Y-maze test. After hyperbaric oxygen therapy, spatial working memory performance improved, although the score did not fully return to baseline level. These findings suggest that chronic periodontal infection may contribute to cognitive-related behavioral impairment and that hyperbaric oxygen therapy may be associated with partial functional improvement in this experimental model.</w:t>
      </w:r>
    </w:p>
    <w:p w14:paraId="4D1E7FF3"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 xml:space="preserve">The reduction in spontaneous alternation performance after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 induction supports the concept that periodontal infection may exert systemic effects beyond the oral cavity. Previous studies have reported that exposure to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 lipopolysaccharide may impair Y-maze performance, suggesting disruption of hippocampal-dependent spatial working memory [13,14]. In the present study, a similar decline was observed after intraoral induction, reinforcing the potential relevance of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-associated periodontal inflammation to behavioral outcomes.</w:t>
      </w:r>
    </w:p>
    <w:p w14:paraId="261F6791"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lastRenderedPageBreak/>
        <w:t xml:space="preserve">Several biological mechanisms may explain the relationship between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-induced periodontitis and cognitive impairment.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 produces virulence factors such as lipopolysaccharide, gingipain, fimbriae, and outer membrane vesicles, which may promote periodontal tissue destruction and facilitate inflammatory dissemination into the systemic circulation [15]. These bacterial components can activate innate immune signaling pathways, including Toll-like receptor-related and complement-related responses, leading to the release of pro-inflammatory cytokines such as interleukin-1beta, tumor necrosis factor-alpha, interleukin-6, and interleukin-8 [16,17].</w:t>
      </w:r>
    </w:p>
    <w:p w14:paraId="1DD4FACC"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Systemic inflammatory mediators have been associated with blood-brain barrier dysfunction, microglial activation, oxidative stress, and synaptic impairment [18,19]. In addition to hematogenous dissemination, periodontal pathogen-derived components may also influence the central nervous system through neural pathways, particularly the trigeminal nerve, and through outer membrane vesicle-mediated transport [20,21]. These pathways provide biological plausibility for the oral-brain axis, although they were not directly evaluated in the present study.</w:t>
      </w:r>
    </w:p>
    <w:p w14:paraId="0EA624C7"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The improvement observed after hyperbaric oxygen therapy may be related to enhanced oxygen delivery, improved tissue oxygenation, and modulation of inflammatory and oxidative pathways. Previous experimental studies have suggested that hyperbaric oxygen therapy can improve learning and memory outcomes in models of neurological injury [19]. It has also been associated with reduced inflammatory activity, improved barrier integrity, adaptive antioxidant responses, and better cerebral microcirculation [11,20,21]. In this study, these mechanisms may partially explain the improvement in Y-maze performance after treatment; however, molecular confirmation was not performed.</w:t>
      </w:r>
    </w:p>
    <w:p w14:paraId="16DD9068"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 xml:space="preserve">The partial nature of the recovery is also important. Although spontaneous alternation performance increased after hyperbaric oxygen therapy, it remained lower than baseline. This finding suggests that hyperbaric oxygen therapy may attenuate functional impairment associated with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 induction but may not completely reverse the consequences of chronic inflammatory exposure. Differences among studies may also be influenced by animal model, immune status, age, induction procedure, and treatment protocol [22-24].</w:t>
      </w:r>
    </w:p>
    <w:p w14:paraId="4CF99C67"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 xml:space="preserve">This study has limitations. First, a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-induced periodontitis group without hyperbaric oxygen therapy was not included; therefore, the improvement observed at </w:t>
      </w:r>
      <w:proofErr w:type="spellStart"/>
      <w:r w:rsidRPr="00D43039">
        <w:rPr>
          <w:rFonts w:ascii="Times New Roman" w:eastAsia="Arial" w:hAnsi="Times New Roman" w:cs="Times New Roman"/>
          <w:sz w:val="24"/>
          <w:szCs w:val="24"/>
        </w:rPr>
        <w:t>wk</w:t>
      </w:r>
      <w:proofErr w:type="spellEnd"/>
      <w:r w:rsidRPr="00D43039">
        <w:rPr>
          <w:rFonts w:ascii="Times New Roman" w:eastAsia="Arial" w:hAnsi="Times New Roman" w:cs="Times New Roman"/>
          <w:sz w:val="24"/>
          <w:szCs w:val="24"/>
        </w:rPr>
        <w:t xml:space="preserve"> 9 cannot be attributed exclusively to the intervention, and spontaneous recovery over time cannot be completely excluded. Second, periodontal tissue destruction, alveolar bone loss, histopathological changes, and local periodontal inflammatory markers were not directly assessed. Third, molecular markers related to neuroinflammation, oxidative stress, blood-brain barrier integrity, and neuronal injury were not evaluated. Fourth, spatial working memory was assessed only by the Y-maze test. These limitations indicate that the proposed mechanisms should be interpreted as inferential and require confirmation in future experimental studies.</w:t>
      </w:r>
    </w:p>
    <w:p w14:paraId="1EF20538"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 xml:space="preserve">Overall, the present findings support the relevance of the oral-brain axis in periodontal research.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-associated periodontitis may contribute to cognitive-related behavioral impairment, and hyperbaric oxygen therapy may be associated with partial improvement in spatial working memory after periodontal pathogen exposure.</w:t>
      </w:r>
    </w:p>
    <w:p w14:paraId="0E148E47" w14:textId="77777777" w:rsidR="0085225B" w:rsidRPr="007734E1" w:rsidRDefault="0085225B" w:rsidP="00256FF2">
      <w:pPr>
        <w:spacing w:after="0" w:line="240" w:lineRule="auto"/>
        <w:rPr>
          <w:rFonts w:ascii="Times New Roman" w:hAnsi="Times New Roman" w:cs="Times New Roman"/>
          <w:b/>
          <w:sz w:val="24"/>
          <w:szCs w:val="24"/>
        </w:rPr>
      </w:pPr>
    </w:p>
    <w:p w14:paraId="179794AE" w14:textId="5C3C6911" w:rsidR="0085225B" w:rsidRPr="007734E1" w:rsidRDefault="00AF78BE" w:rsidP="00992249">
      <w:pPr>
        <w:spacing w:after="0" w:line="240" w:lineRule="auto"/>
        <w:rPr>
          <w:rFonts w:ascii="Times New Roman" w:hAnsi="Times New Roman" w:cs="Times New Roman"/>
          <w:b/>
          <w:sz w:val="24"/>
          <w:szCs w:val="24"/>
        </w:rPr>
      </w:pPr>
      <w:r w:rsidRPr="007734E1">
        <w:rPr>
          <w:rFonts w:ascii="Times New Roman" w:hAnsi="Times New Roman" w:cs="Times New Roman"/>
          <w:b/>
          <w:sz w:val="24"/>
          <w:szCs w:val="24"/>
        </w:rPr>
        <w:t>Conclusion</w:t>
      </w:r>
    </w:p>
    <w:p w14:paraId="0D05B766"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-induced periodontitis was associated with impaired spatial working memory in Sprague-Dawley rats, as indicated by reduced spontaneous alternation performance in the Y-maze test. Hyperbaric oxygen therapy administered at 2.0 atmospheres absolute for four </w:t>
      </w:r>
      <w:proofErr w:type="spellStart"/>
      <w:r w:rsidRPr="00D43039">
        <w:rPr>
          <w:rFonts w:ascii="Times New Roman" w:eastAsia="Arial" w:hAnsi="Times New Roman" w:cs="Times New Roman"/>
          <w:sz w:val="24"/>
          <w:szCs w:val="24"/>
        </w:rPr>
        <w:t>wk</w:t>
      </w:r>
      <w:proofErr w:type="spellEnd"/>
      <w:r w:rsidRPr="00D43039">
        <w:rPr>
          <w:rFonts w:ascii="Times New Roman" w:eastAsia="Arial" w:hAnsi="Times New Roman" w:cs="Times New Roman"/>
          <w:sz w:val="24"/>
          <w:szCs w:val="24"/>
        </w:rPr>
        <w:t xml:space="preserve"> was </w:t>
      </w:r>
      <w:r w:rsidRPr="00D43039">
        <w:rPr>
          <w:rFonts w:ascii="Times New Roman" w:eastAsia="Arial" w:hAnsi="Times New Roman" w:cs="Times New Roman"/>
          <w:sz w:val="24"/>
          <w:szCs w:val="24"/>
        </w:rPr>
        <w:lastRenderedPageBreak/>
        <w:t xml:space="preserve">associated with improved spatial working memory after </w:t>
      </w:r>
      <w:r w:rsidRPr="00D43039">
        <w:rPr>
          <w:rFonts w:ascii="Times New Roman" w:eastAsia="Arial" w:hAnsi="Times New Roman" w:cs="Times New Roman"/>
          <w:i/>
          <w:sz w:val="24"/>
          <w:szCs w:val="24"/>
        </w:rPr>
        <w:t>P. gingivalis</w:t>
      </w:r>
      <w:r w:rsidRPr="00D43039">
        <w:rPr>
          <w:rFonts w:ascii="Times New Roman" w:eastAsia="Arial" w:hAnsi="Times New Roman" w:cs="Times New Roman"/>
          <w:sz w:val="24"/>
          <w:szCs w:val="24"/>
        </w:rPr>
        <w:t xml:space="preserve"> induction, although performance did not fully return to baseline level. These data support the study hypothesis that hyperbaric oxygen therapy may attenuate cognitive-related behavioral impairment in this experimental periodontitis model.</w:t>
      </w:r>
    </w:p>
    <w:p w14:paraId="2F597F8D" w14:textId="77777777" w:rsidR="00D43039" w:rsidRPr="00D43039" w:rsidRDefault="00D43039" w:rsidP="00D43039">
      <w:pPr>
        <w:pStyle w:val="Heading1"/>
        <w:spacing w:before="0"/>
        <w:rPr>
          <w:sz w:val="24"/>
          <w:szCs w:val="24"/>
        </w:rPr>
      </w:pPr>
      <w:r w:rsidRPr="00D43039">
        <w:rPr>
          <w:rFonts w:eastAsia="Arial"/>
          <w:sz w:val="24"/>
          <w:szCs w:val="24"/>
        </w:rPr>
        <w:t>Acknowledgments</w:t>
      </w:r>
    </w:p>
    <w:p w14:paraId="177F003E"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The authors would like to thank the laboratory staff and all supporting institutions involved in this study for their technical assistance and support during the experimental procedures.</w:t>
      </w:r>
    </w:p>
    <w:p w14:paraId="7E3910F4" w14:textId="77777777" w:rsidR="00D43039" w:rsidRPr="00D43039" w:rsidRDefault="00D43039" w:rsidP="00D43039">
      <w:pPr>
        <w:pStyle w:val="Heading1"/>
        <w:spacing w:before="0"/>
        <w:rPr>
          <w:sz w:val="24"/>
          <w:szCs w:val="24"/>
        </w:rPr>
      </w:pPr>
      <w:r w:rsidRPr="00D43039">
        <w:rPr>
          <w:rFonts w:eastAsia="Arial"/>
          <w:sz w:val="24"/>
          <w:szCs w:val="24"/>
        </w:rPr>
        <w:t>Funding</w:t>
      </w:r>
    </w:p>
    <w:p w14:paraId="6E4C56F3"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This research did not receive any specific grant from funding agencies in the public, commercial, or not-for-profit sectors.</w:t>
      </w:r>
    </w:p>
    <w:p w14:paraId="01B0A14A" w14:textId="77777777" w:rsidR="00D43039" w:rsidRPr="00D43039" w:rsidRDefault="00D43039" w:rsidP="00D43039">
      <w:pPr>
        <w:pStyle w:val="Heading1"/>
        <w:spacing w:before="0"/>
        <w:rPr>
          <w:sz w:val="24"/>
          <w:szCs w:val="24"/>
        </w:rPr>
      </w:pPr>
      <w:r w:rsidRPr="00D43039">
        <w:rPr>
          <w:rFonts w:eastAsia="Arial"/>
          <w:sz w:val="24"/>
          <w:szCs w:val="24"/>
        </w:rPr>
        <w:t>Conflict of Interest</w:t>
      </w:r>
    </w:p>
    <w:p w14:paraId="702854D8"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The authors have no proprietary, financial, or other personal interest of any nature or kind in any product, service, and/or company presented in this article.</w:t>
      </w:r>
    </w:p>
    <w:p w14:paraId="564BCED1" w14:textId="77777777" w:rsidR="00D43039" w:rsidRPr="00D43039" w:rsidRDefault="00D43039" w:rsidP="00D43039">
      <w:pPr>
        <w:pStyle w:val="Heading1"/>
        <w:spacing w:before="0"/>
        <w:rPr>
          <w:sz w:val="24"/>
          <w:szCs w:val="24"/>
        </w:rPr>
      </w:pPr>
      <w:r w:rsidRPr="00D43039">
        <w:rPr>
          <w:rFonts w:eastAsia="Arial"/>
          <w:sz w:val="24"/>
          <w:szCs w:val="24"/>
        </w:rPr>
        <w:t>Regulatory Statement</w:t>
      </w:r>
    </w:p>
    <w:p w14:paraId="354A0B82" w14:textId="77777777" w:rsidR="00D43039" w:rsidRPr="00D43039" w:rsidRDefault="00D43039" w:rsidP="00D43039">
      <w:pPr>
        <w:spacing w:after="0" w:line="240" w:lineRule="auto"/>
        <w:jc w:val="both"/>
        <w:rPr>
          <w:rFonts w:ascii="Times New Roman" w:hAnsi="Times New Roman" w:cs="Times New Roman"/>
          <w:sz w:val="24"/>
          <w:szCs w:val="24"/>
        </w:rPr>
      </w:pPr>
      <w:r w:rsidRPr="00D43039">
        <w:rPr>
          <w:rFonts w:ascii="Times New Roman" w:eastAsia="Arial" w:hAnsi="Times New Roman" w:cs="Times New Roman"/>
          <w:sz w:val="24"/>
          <w:szCs w:val="24"/>
        </w:rPr>
        <w:t>This study was conducted in accordance with the institutional guidelines for the care and use of laboratory animals. The study protocol was reviewed and approved by the Institutional Research Ethics Committee (approval number: EC/101/KEPK-FKGUHT/X/2024).</w:t>
      </w:r>
    </w:p>
    <w:p w14:paraId="1F6B1A7D" w14:textId="77777777" w:rsidR="002D2CF4" w:rsidRPr="0030196A" w:rsidRDefault="002D2CF4" w:rsidP="002D2CF4">
      <w:pPr>
        <w:tabs>
          <w:tab w:val="left" w:pos="3206"/>
        </w:tabs>
        <w:spacing w:after="0" w:line="240" w:lineRule="auto"/>
        <w:jc w:val="both"/>
        <w:rPr>
          <w:rFonts w:ascii="Times New Roman" w:eastAsiaTheme="minorHAnsi" w:hAnsi="Times New Roman" w:cs="Times New Roman"/>
          <w:kern w:val="2"/>
          <w:sz w:val="24"/>
          <w:szCs w:val="24"/>
          <w:lang w:val="en-ID"/>
        </w:rPr>
      </w:pPr>
    </w:p>
    <w:p w14:paraId="36A755D1" w14:textId="77777777" w:rsidR="00D43039" w:rsidRDefault="00D43039" w:rsidP="00256FF2">
      <w:pPr>
        <w:tabs>
          <w:tab w:val="left" w:pos="3206"/>
        </w:tabs>
        <w:spacing w:after="0" w:line="240" w:lineRule="auto"/>
        <w:jc w:val="both"/>
        <w:rPr>
          <w:rFonts w:ascii="Times New Roman" w:hAnsi="Times New Roman" w:cs="Times New Roman"/>
          <w:b/>
          <w:sz w:val="24"/>
          <w:szCs w:val="24"/>
        </w:rPr>
      </w:pPr>
    </w:p>
    <w:p w14:paraId="699F9F9F" w14:textId="30744E58" w:rsidR="00C24EC8" w:rsidRPr="00C24EC8" w:rsidRDefault="0085225B" w:rsidP="00C24EC8">
      <w:pPr>
        <w:tabs>
          <w:tab w:val="left" w:pos="3206"/>
        </w:tabs>
        <w:spacing w:after="0" w:line="240" w:lineRule="auto"/>
        <w:jc w:val="both"/>
        <w:rPr>
          <w:rFonts w:ascii="Times New Roman" w:hAnsi="Times New Roman" w:cs="Times New Roman"/>
          <w:b/>
          <w:sz w:val="24"/>
          <w:szCs w:val="24"/>
        </w:rPr>
      </w:pPr>
      <w:r w:rsidRPr="007734E1">
        <w:rPr>
          <w:rFonts w:ascii="Times New Roman" w:hAnsi="Times New Roman" w:cs="Times New Roman"/>
          <w:b/>
          <w:sz w:val="24"/>
          <w:szCs w:val="24"/>
        </w:rPr>
        <w:t>REFERENCES:</w:t>
      </w:r>
    </w:p>
    <w:p w14:paraId="5148D0B4" w14:textId="4466F2D2"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Ma X, Yoo JW, Shin YJ, Park HS, Son YH, Kim DH. Alleviation of Porphyromonas gingivalis or Its Extracellular Vesicles Provoked Periodontitis and Cognitive Impairment by Lactobacillus </w:t>
      </w:r>
      <w:proofErr w:type="spellStart"/>
      <w:r w:rsidRPr="00C24EC8">
        <w:rPr>
          <w:rFonts w:ascii="Times New Roman" w:hAnsi="Times New Roman" w:cs="Times New Roman"/>
          <w:sz w:val="24"/>
          <w:szCs w:val="24"/>
          <w:lang w:val="en-ID"/>
        </w:rPr>
        <w:t>pentosus</w:t>
      </w:r>
      <w:proofErr w:type="spellEnd"/>
      <w:r w:rsidRPr="00C24EC8">
        <w:rPr>
          <w:rFonts w:ascii="Times New Roman" w:hAnsi="Times New Roman" w:cs="Times New Roman"/>
          <w:sz w:val="24"/>
          <w:szCs w:val="24"/>
          <w:lang w:val="en-ID"/>
        </w:rPr>
        <w:t xml:space="preserve"> NK357 and Bifidobacterium bifidum NK391. Nutrients. 2023 Mar 1;15(5). doi:10.3390/NU15051068 PubMed PMID: 36904068.</w:t>
      </w:r>
    </w:p>
    <w:p w14:paraId="2510A651" w14:textId="10C7090C"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proofErr w:type="spellStart"/>
      <w:r w:rsidRPr="00C24EC8">
        <w:rPr>
          <w:rFonts w:ascii="Times New Roman" w:hAnsi="Times New Roman" w:cs="Times New Roman"/>
          <w:sz w:val="24"/>
          <w:szCs w:val="24"/>
          <w:lang w:val="en-ID"/>
        </w:rPr>
        <w:t>Budisulistyo</w:t>
      </w:r>
      <w:proofErr w:type="spellEnd"/>
      <w:r w:rsidRPr="00C24EC8">
        <w:rPr>
          <w:rFonts w:ascii="Times New Roman" w:hAnsi="Times New Roman" w:cs="Times New Roman"/>
          <w:sz w:val="24"/>
          <w:szCs w:val="24"/>
          <w:lang w:val="en-ID"/>
        </w:rPr>
        <w:t xml:space="preserve"> T, </w:t>
      </w:r>
      <w:proofErr w:type="spellStart"/>
      <w:r w:rsidRPr="00C24EC8">
        <w:rPr>
          <w:rFonts w:ascii="Times New Roman" w:hAnsi="Times New Roman" w:cs="Times New Roman"/>
          <w:sz w:val="24"/>
          <w:szCs w:val="24"/>
          <w:lang w:val="en-ID"/>
        </w:rPr>
        <w:t>Samekto</w:t>
      </w:r>
      <w:proofErr w:type="spellEnd"/>
      <w:r w:rsidRPr="00C24EC8">
        <w:rPr>
          <w:rFonts w:ascii="Times New Roman" w:hAnsi="Times New Roman" w:cs="Times New Roman"/>
          <w:sz w:val="24"/>
          <w:szCs w:val="24"/>
          <w:lang w:val="en-ID"/>
        </w:rPr>
        <w:t xml:space="preserve"> W, </w:t>
      </w:r>
      <w:proofErr w:type="spellStart"/>
      <w:r w:rsidRPr="00C24EC8">
        <w:rPr>
          <w:rFonts w:ascii="Times New Roman" w:hAnsi="Times New Roman" w:cs="Times New Roman"/>
          <w:sz w:val="24"/>
          <w:szCs w:val="24"/>
          <w:lang w:val="en-ID"/>
        </w:rPr>
        <w:t>Pudjonarko</w:t>
      </w:r>
      <w:proofErr w:type="spellEnd"/>
      <w:r w:rsidRPr="00C24EC8">
        <w:rPr>
          <w:rFonts w:ascii="Times New Roman" w:hAnsi="Times New Roman" w:cs="Times New Roman"/>
          <w:sz w:val="24"/>
          <w:szCs w:val="24"/>
          <w:lang w:val="en-ID"/>
        </w:rPr>
        <w:t xml:space="preserve"> D, </w:t>
      </w:r>
      <w:proofErr w:type="spellStart"/>
      <w:r w:rsidRPr="00C24EC8">
        <w:rPr>
          <w:rFonts w:ascii="Times New Roman" w:hAnsi="Times New Roman" w:cs="Times New Roman"/>
          <w:sz w:val="24"/>
          <w:szCs w:val="24"/>
          <w:lang w:val="en-ID"/>
        </w:rPr>
        <w:t>Suryawati</w:t>
      </w:r>
      <w:proofErr w:type="spellEnd"/>
      <w:r w:rsidRPr="00C24EC8">
        <w:rPr>
          <w:rFonts w:ascii="Times New Roman" w:hAnsi="Times New Roman" w:cs="Times New Roman"/>
          <w:sz w:val="24"/>
          <w:szCs w:val="24"/>
          <w:lang w:val="en-ID"/>
        </w:rPr>
        <w:t xml:space="preserve"> H, </w:t>
      </w:r>
      <w:proofErr w:type="spellStart"/>
      <w:r w:rsidRPr="00C24EC8">
        <w:rPr>
          <w:rFonts w:ascii="Times New Roman" w:hAnsi="Times New Roman" w:cs="Times New Roman"/>
          <w:sz w:val="24"/>
          <w:szCs w:val="24"/>
          <w:lang w:val="en-ID"/>
        </w:rPr>
        <w:t>Suryadi</w:t>
      </w:r>
      <w:proofErr w:type="spellEnd"/>
      <w:r w:rsidRPr="00C24EC8">
        <w:rPr>
          <w:rFonts w:ascii="Times New Roman" w:hAnsi="Times New Roman" w:cs="Times New Roman"/>
          <w:sz w:val="24"/>
          <w:szCs w:val="24"/>
          <w:lang w:val="en-ID"/>
        </w:rPr>
        <w:t xml:space="preserve"> S, Wahyuni M. Correlation between Chronic Pain with BDNF Levels, </w:t>
      </w:r>
      <w:proofErr w:type="spellStart"/>
      <w:r w:rsidRPr="00C24EC8">
        <w:rPr>
          <w:rFonts w:ascii="Times New Roman" w:hAnsi="Times New Roman" w:cs="Times New Roman"/>
          <w:sz w:val="24"/>
          <w:szCs w:val="24"/>
          <w:lang w:val="en-ID"/>
        </w:rPr>
        <w:t>Histophatology</w:t>
      </w:r>
      <w:proofErr w:type="spellEnd"/>
      <w:r w:rsidRPr="00C24EC8">
        <w:rPr>
          <w:rFonts w:ascii="Times New Roman" w:hAnsi="Times New Roman" w:cs="Times New Roman"/>
          <w:sz w:val="24"/>
          <w:szCs w:val="24"/>
          <w:lang w:val="en-ID"/>
        </w:rPr>
        <w:t xml:space="preserve"> of Hippocampus, and Spatial Memory in Wistar Rats. Open Access Maced J Med Sci. 2023 Jan 7;11(B):259–63. doi:10.3889/OAMJMS.2023.10710</w:t>
      </w:r>
    </w:p>
    <w:p w14:paraId="6273F9C2" w14:textId="47B19E8E"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Kong L, Li J, Gao L, Zhao Y, Chen W, Wang X, et al. Periodontitis-induced neuroinflammation triggers IFITM3-Aβ axis to cause </w:t>
      </w:r>
      <w:proofErr w:type="spellStart"/>
      <w:r w:rsidRPr="00C24EC8">
        <w:rPr>
          <w:rFonts w:ascii="Times New Roman" w:hAnsi="Times New Roman" w:cs="Times New Roman"/>
          <w:sz w:val="24"/>
          <w:szCs w:val="24"/>
          <w:lang w:val="en-ID"/>
        </w:rPr>
        <w:t>alzheimer’s</w:t>
      </w:r>
      <w:proofErr w:type="spellEnd"/>
      <w:r w:rsidRPr="00C24EC8">
        <w:rPr>
          <w:rFonts w:ascii="Times New Roman" w:hAnsi="Times New Roman" w:cs="Times New Roman"/>
          <w:sz w:val="24"/>
          <w:szCs w:val="24"/>
          <w:lang w:val="en-ID"/>
        </w:rPr>
        <w:t xml:space="preserve"> disease-like pathology and cognitive decline. </w:t>
      </w:r>
      <w:proofErr w:type="spellStart"/>
      <w:r w:rsidRPr="00C24EC8">
        <w:rPr>
          <w:rFonts w:ascii="Times New Roman" w:hAnsi="Times New Roman" w:cs="Times New Roman"/>
          <w:sz w:val="24"/>
          <w:szCs w:val="24"/>
          <w:lang w:val="en-ID"/>
        </w:rPr>
        <w:t>Alzheimers</w:t>
      </w:r>
      <w:proofErr w:type="spellEnd"/>
      <w:r w:rsidRPr="00C24EC8">
        <w:rPr>
          <w:rFonts w:ascii="Times New Roman" w:hAnsi="Times New Roman" w:cs="Times New Roman"/>
          <w:sz w:val="24"/>
          <w:szCs w:val="24"/>
          <w:lang w:val="en-ID"/>
        </w:rPr>
        <w:t xml:space="preserve"> Res Ther. 2025 Dec 1;17(1). doi:10.1186/S13195-025-01818-3 PubMed PMID: 40684176.</w:t>
      </w:r>
    </w:p>
    <w:p w14:paraId="69FC3B85" w14:textId="6D785D4E"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Maroon JC. The effect of hyperbaric oxygen therapy on cognition, performance, proteomics, and telomere length—The difference between zero and one: A case report. Front Neurol. 2022 Jul 29;13. doi:10.3389/FNEUR.2022.949536/PDF</w:t>
      </w:r>
    </w:p>
    <w:p w14:paraId="4B0A9FC0" w14:textId="47ED91F1"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Gong T, Chen Q, Mao H, Zhang Y, Ren H, Xu M, et al. Outer membrane vesicles of </w:t>
      </w:r>
      <w:r w:rsidRPr="006C5D29">
        <w:rPr>
          <w:rFonts w:ascii="Times New Roman" w:hAnsi="Times New Roman" w:cs="Times New Roman"/>
          <w:i/>
          <w:iCs/>
          <w:sz w:val="24"/>
          <w:szCs w:val="24"/>
          <w:lang w:val="en-ID"/>
        </w:rPr>
        <w:t>Porphyromonas gingivalis</w:t>
      </w:r>
      <w:r w:rsidRPr="00C24EC8">
        <w:rPr>
          <w:rFonts w:ascii="Times New Roman" w:hAnsi="Times New Roman" w:cs="Times New Roman"/>
          <w:sz w:val="24"/>
          <w:szCs w:val="24"/>
          <w:lang w:val="en-ID"/>
        </w:rPr>
        <w:t xml:space="preserve"> trigger NLRP3 inflammasome and induce neuroinflammation, </w:t>
      </w:r>
      <w:r w:rsidRPr="00C24EC8">
        <w:rPr>
          <w:rFonts w:ascii="Times New Roman" w:hAnsi="Times New Roman" w:cs="Times New Roman"/>
          <w:sz w:val="24"/>
          <w:szCs w:val="24"/>
          <w:lang w:val="en-ID"/>
        </w:rPr>
        <w:lastRenderedPageBreak/>
        <w:t xml:space="preserve">tau phosphorylation, and memory dysfunction in mice. Front Cell Infect </w:t>
      </w:r>
      <w:proofErr w:type="spellStart"/>
      <w:r w:rsidRPr="00C24EC8">
        <w:rPr>
          <w:rFonts w:ascii="Times New Roman" w:hAnsi="Times New Roman" w:cs="Times New Roman"/>
          <w:sz w:val="24"/>
          <w:szCs w:val="24"/>
          <w:lang w:val="en-ID"/>
        </w:rPr>
        <w:t>Microbiol</w:t>
      </w:r>
      <w:proofErr w:type="spellEnd"/>
      <w:r w:rsidRPr="00C24EC8">
        <w:rPr>
          <w:rFonts w:ascii="Times New Roman" w:hAnsi="Times New Roman" w:cs="Times New Roman"/>
          <w:sz w:val="24"/>
          <w:szCs w:val="24"/>
          <w:lang w:val="en-ID"/>
        </w:rPr>
        <w:t>. 2022 Aug 9;12. doi:10.3389/FCIMB.2022.925435/PDF PubMed PMID: 36017373.</w:t>
      </w:r>
    </w:p>
    <w:p w14:paraId="09FAD384" w14:textId="65B2E588"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Cichońska D, </w:t>
      </w:r>
      <w:proofErr w:type="spellStart"/>
      <w:r w:rsidRPr="00C24EC8">
        <w:rPr>
          <w:rFonts w:ascii="Times New Roman" w:hAnsi="Times New Roman" w:cs="Times New Roman"/>
          <w:sz w:val="24"/>
          <w:szCs w:val="24"/>
          <w:lang w:val="en-ID"/>
        </w:rPr>
        <w:t>Mazuś</w:t>
      </w:r>
      <w:proofErr w:type="spellEnd"/>
      <w:r w:rsidRPr="00C24EC8">
        <w:rPr>
          <w:rFonts w:ascii="Times New Roman" w:hAnsi="Times New Roman" w:cs="Times New Roman"/>
          <w:sz w:val="24"/>
          <w:szCs w:val="24"/>
          <w:lang w:val="en-ID"/>
        </w:rPr>
        <w:t xml:space="preserve"> M, Kusiak A. Recent Aspects of Periodontitis and Alzheimer’s Disease—A Narrative Review. International Journal of Molecular Sciences 2024, Vol </w:t>
      </w:r>
      <w:proofErr w:type="gramStart"/>
      <w:r w:rsidRPr="00C24EC8">
        <w:rPr>
          <w:rFonts w:ascii="Times New Roman" w:hAnsi="Times New Roman" w:cs="Times New Roman"/>
          <w:sz w:val="24"/>
          <w:szCs w:val="24"/>
          <w:lang w:val="en-ID"/>
        </w:rPr>
        <w:t>25,.</w:t>
      </w:r>
      <w:proofErr w:type="gramEnd"/>
      <w:r w:rsidRPr="00C24EC8">
        <w:rPr>
          <w:rFonts w:ascii="Times New Roman" w:hAnsi="Times New Roman" w:cs="Times New Roman"/>
          <w:sz w:val="24"/>
          <w:szCs w:val="24"/>
          <w:lang w:val="en-ID"/>
        </w:rPr>
        <w:t xml:space="preserve"> 2024 Feb 23;25(5). doi:10.3390/IJMS25052612 PubMed PMID: 38473858.</w:t>
      </w:r>
    </w:p>
    <w:p w14:paraId="37AC359A" w14:textId="3180EF1B"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Bosco G, </w:t>
      </w:r>
      <w:proofErr w:type="spellStart"/>
      <w:r w:rsidRPr="00C24EC8">
        <w:rPr>
          <w:rFonts w:ascii="Times New Roman" w:hAnsi="Times New Roman" w:cs="Times New Roman"/>
          <w:sz w:val="24"/>
          <w:szCs w:val="24"/>
          <w:lang w:val="en-ID"/>
        </w:rPr>
        <w:t>Brizzolari</w:t>
      </w:r>
      <w:proofErr w:type="spellEnd"/>
      <w:r w:rsidRPr="00C24EC8">
        <w:rPr>
          <w:rFonts w:ascii="Times New Roman" w:hAnsi="Times New Roman" w:cs="Times New Roman"/>
          <w:sz w:val="24"/>
          <w:szCs w:val="24"/>
          <w:lang w:val="en-ID"/>
        </w:rPr>
        <w:t xml:space="preserve"> A, Paganini M, </w:t>
      </w:r>
      <w:proofErr w:type="spellStart"/>
      <w:r w:rsidRPr="00C24EC8">
        <w:rPr>
          <w:rFonts w:ascii="Times New Roman" w:hAnsi="Times New Roman" w:cs="Times New Roman"/>
          <w:sz w:val="24"/>
          <w:szCs w:val="24"/>
          <w:lang w:val="en-ID"/>
        </w:rPr>
        <w:t>Camporesi</w:t>
      </w:r>
      <w:proofErr w:type="spellEnd"/>
      <w:r w:rsidRPr="00C24EC8">
        <w:rPr>
          <w:rFonts w:ascii="Times New Roman" w:hAnsi="Times New Roman" w:cs="Times New Roman"/>
          <w:sz w:val="24"/>
          <w:szCs w:val="24"/>
          <w:lang w:val="en-ID"/>
        </w:rPr>
        <w:t xml:space="preserve"> E, Vezzoli A, </w:t>
      </w:r>
      <w:proofErr w:type="spellStart"/>
      <w:r w:rsidRPr="00C24EC8">
        <w:rPr>
          <w:rFonts w:ascii="Times New Roman" w:hAnsi="Times New Roman" w:cs="Times New Roman"/>
          <w:sz w:val="24"/>
          <w:szCs w:val="24"/>
          <w:lang w:val="en-ID"/>
        </w:rPr>
        <w:t>Mrakic</w:t>
      </w:r>
      <w:proofErr w:type="spellEnd"/>
      <w:r w:rsidRPr="00C24EC8">
        <w:rPr>
          <w:rFonts w:ascii="Times New Roman" w:hAnsi="Times New Roman" w:cs="Times New Roman"/>
          <w:sz w:val="24"/>
          <w:szCs w:val="24"/>
          <w:lang w:val="en-ID"/>
        </w:rPr>
        <w:t xml:space="preserve">-Sposta S. Oxy-inflammation in hyperbaric oxygen therapy applications. </w:t>
      </w:r>
      <w:proofErr w:type="spellStart"/>
      <w:r w:rsidRPr="00C24EC8">
        <w:rPr>
          <w:rFonts w:ascii="Times New Roman" w:hAnsi="Times New Roman" w:cs="Times New Roman"/>
          <w:sz w:val="24"/>
          <w:szCs w:val="24"/>
          <w:lang w:val="en-ID"/>
        </w:rPr>
        <w:t>Eur</w:t>
      </w:r>
      <w:proofErr w:type="spellEnd"/>
      <w:r w:rsidRPr="00C24EC8">
        <w:rPr>
          <w:rFonts w:ascii="Times New Roman" w:hAnsi="Times New Roman" w:cs="Times New Roman"/>
          <w:sz w:val="24"/>
          <w:szCs w:val="24"/>
          <w:lang w:val="en-ID"/>
        </w:rPr>
        <w:t xml:space="preserve"> J </w:t>
      </w:r>
      <w:proofErr w:type="spellStart"/>
      <w:r w:rsidRPr="00C24EC8">
        <w:rPr>
          <w:rFonts w:ascii="Times New Roman" w:hAnsi="Times New Roman" w:cs="Times New Roman"/>
          <w:sz w:val="24"/>
          <w:szCs w:val="24"/>
          <w:lang w:val="en-ID"/>
        </w:rPr>
        <w:t>Transl</w:t>
      </w:r>
      <w:proofErr w:type="spellEnd"/>
      <w:r w:rsidRPr="00C24EC8">
        <w:rPr>
          <w:rFonts w:ascii="Times New Roman" w:hAnsi="Times New Roman" w:cs="Times New Roman"/>
          <w:sz w:val="24"/>
          <w:szCs w:val="24"/>
          <w:lang w:val="en-ID"/>
        </w:rPr>
        <w:t xml:space="preserve"> </w:t>
      </w:r>
      <w:proofErr w:type="spellStart"/>
      <w:r w:rsidRPr="00C24EC8">
        <w:rPr>
          <w:rFonts w:ascii="Times New Roman" w:hAnsi="Times New Roman" w:cs="Times New Roman"/>
          <w:sz w:val="24"/>
          <w:szCs w:val="24"/>
          <w:lang w:val="en-ID"/>
        </w:rPr>
        <w:t>Myol</w:t>
      </w:r>
      <w:proofErr w:type="spellEnd"/>
      <w:r w:rsidRPr="00C24EC8">
        <w:rPr>
          <w:rFonts w:ascii="Times New Roman" w:hAnsi="Times New Roman" w:cs="Times New Roman"/>
          <w:sz w:val="24"/>
          <w:szCs w:val="24"/>
          <w:lang w:val="en-ID"/>
        </w:rPr>
        <w:t>. 2025;35(1):12783. doi:10.4081/EJTM.2025.12783 PubMed PMID: 39834265.</w:t>
      </w:r>
    </w:p>
    <w:p w14:paraId="2E66C198" w14:textId="313BD4B6"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Tan S, Chen W, Kong G, Wei L, Xie Y. Peripheral inflammation and neurocognitive impairment: correlations, underlying mechanisms, and therapeutic implications. Front Aging </w:t>
      </w:r>
      <w:proofErr w:type="spellStart"/>
      <w:r w:rsidRPr="00C24EC8">
        <w:rPr>
          <w:rFonts w:ascii="Times New Roman" w:hAnsi="Times New Roman" w:cs="Times New Roman"/>
          <w:sz w:val="24"/>
          <w:szCs w:val="24"/>
          <w:lang w:val="en-ID"/>
        </w:rPr>
        <w:t>Neurosci</w:t>
      </w:r>
      <w:proofErr w:type="spellEnd"/>
      <w:r w:rsidRPr="00C24EC8">
        <w:rPr>
          <w:rFonts w:ascii="Times New Roman" w:hAnsi="Times New Roman" w:cs="Times New Roman"/>
          <w:sz w:val="24"/>
          <w:szCs w:val="24"/>
          <w:lang w:val="en-ID"/>
        </w:rPr>
        <w:t xml:space="preserve">. 2023 Nov </w:t>
      </w:r>
      <w:proofErr w:type="gramStart"/>
      <w:r w:rsidRPr="00C24EC8">
        <w:rPr>
          <w:rFonts w:ascii="Times New Roman" w:hAnsi="Times New Roman" w:cs="Times New Roman"/>
          <w:sz w:val="24"/>
          <w:szCs w:val="24"/>
          <w:lang w:val="en-ID"/>
        </w:rPr>
        <w:t>29;15:1305790</w:t>
      </w:r>
      <w:proofErr w:type="gramEnd"/>
      <w:r w:rsidRPr="00C24EC8">
        <w:rPr>
          <w:rFonts w:ascii="Times New Roman" w:hAnsi="Times New Roman" w:cs="Times New Roman"/>
          <w:sz w:val="24"/>
          <w:szCs w:val="24"/>
          <w:lang w:val="en-ID"/>
        </w:rPr>
        <w:t>. doi:10.3389/FNAGI.2023.1305790/FULL</w:t>
      </w:r>
    </w:p>
    <w:p w14:paraId="073A035B" w14:textId="22EE5FED"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Magnusson A, Wu R, Demirel I. </w:t>
      </w:r>
      <w:r w:rsidRPr="006C5D29">
        <w:rPr>
          <w:rFonts w:ascii="Times New Roman" w:hAnsi="Times New Roman" w:cs="Times New Roman"/>
          <w:i/>
          <w:iCs/>
          <w:sz w:val="24"/>
          <w:szCs w:val="24"/>
          <w:lang w:val="en-ID"/>
        </w:rPr>
        <w:t>Porphyromonas gingivalis</w:t>
      </w:r>
      <w:r w:rsidRPr="00C24EC8">
        <w:rPr>
          <w:rFonts w:ascii="Times New Roman" w:hAnsi="Times New Roman" w:cs="Times New Roman"/>
          <w:sz w:val="24"/>
          <w:szCs w:val="24"/>
          <w:lang w:val="en-ID"/>
        </w:rPr>
        <w:t xml:space="preserve"> triggers microglia activation and neurodegenerative processes through NOX4. Front Cell Infect </w:t>
      </w:r>
      <w:proofErr w:type="spellStart"/>
      <w:r w:rsidRPr="00C24EC8">
        <w:rPr>
          <w:rFonts w:ascii="Times New Roman" w:hAnsi="Times New Roman" w:cs="Times New Roman"/>
          <w:sz w:val="24"/>
          <w:szCs w:val="24"/>
          <w:lang w:val="en-ID"/>
        </w:rPr>
        <w:t>Microbiol</w:t>
      </w:r>
      <w:proofErr w:type="spellEnd"/>
      <w:r w:rsidRPr="00C24EC8">
        <w:rPr>
          <w:rFonts w:ascii="Times New Roman" w:hAnsi="Times New Roman" w:cs="Times New Roman"/>
          <w:sz w:val="24"/>
          <w:szCs w:val="24"/>
          <w:lang w:val="en-ID"/>
        </w:rPr>
        <w:t xml:space="preserve">. 2024 Oct </w:t>
      </w:r>
      <w:proofErr w:type="gramStart"/>
      <w:r w:rsidRPr="00C24EC8">
        <w:rPr>
          <w:rFonts w:ascii="Times New Roman" w:hAnsi="Times New Roman" w:cs="Times New Roman"/>
          <w:sz w:val="24"/>
          <w:szCs w:val="24"/>
          <w:lang w:val="en-ID"/>
        </w:rPr>
        <w:t>14;14:1451683</w:t>
      </w:r>
      <w:proofErr w:type="gramEnd"/>
      <w:r w:rsidRPr="00C24EC8">
        <w:rPr>
          <w:rFonts w:ascii="Times New Roman" w:hAnsi="Times New Roman" w:cs="Times New Roman"/>
          <w:sz w:val="24"/>
          <w:szCs w:val="24"/>
          <w:lang w:val="en-ID"/>
        </w:rPr>
        <w:t>. doi:10.3389/FCIMB.2024.1451683/TEXT PubMed PMID: 39469453.</w:t>
      </w:r>
    </w:p>
    <w:p w14:paraId="18A7848D" w14:textId="620FF600"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Jung S, Park H. Pathological implications of </w:t>
      </w:r>
      <w:r w:rsidRPr="006C5D29">
        <w:rPr>
          <w:rFonts w:ascii="Times New Roman" w:hAnsi="Times New Roman" w:cs="Times New Roman"/>
          <w:i/>
          <w:iCs/>
          <w:sz w:val="24"/>
          <w:szCs w:val="24"/>
          <w:lang w:val="en-ID"/>
        </w:rPr>
        <w:t>Porphyromonas gingivalis</w:t>
      </w:r>
      <w:r w:rsidRPr="00C24EC8">
        <w:rPr>
          <w:rFonts w:ascii="Times New Roman" w:hAnsi="Times New Roman" w:cs="Times New Roman"/>
          <w:sz w:val="24"/>
          <w:szCs w:val="24"/>
          <w:lang w:val="en-ID"/>
        </w:rPr>
        <w:t xml:space="preserve"> in Alzheimer’s disease and therapeutic potential of gingipain inhibitors. Oral Biology Research. 2025 Mar 31;49(1). doi:10.21851/OBR.25.002</w:t>
      </w:r>
    </w:p>
    <w:p w14:paraId="000C8AE5" w14:textId="2C23C81F"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Shapira R, </w:t>
      </w:r>
      <w:proofErr w:type="spellStart"/>
      <w:r w:rsidRPr="00C24EC8">
        <w:rPr>
          <w:rFonts w:ascii="Times New Roman" w:hAnsi="Times New Roman" w:cs="Times New Roman"/>
          <w:sz w:val="24"/>
          <w:szCs w:val="24"/>
          <w:lang w:val="en-ID"/>
        </w:rPr>
        <w:t>Gdalyahu</w:t>
      </w:r>
      <w:proofErr w:type="spellEnd"/>
      <w:r w:rsidRPr="00C24EC8">
        <w:rPr>
          <w:rFonts w:ascii="Times New Roman" w:hAnsi="Times New Roman" w:cs="Times New Roman"/>
          <w:sz w:val="24"/>
          <w:szCs w:val="24"/>
          <w:lang w:val="en-ID"/>
        </w:rPr>
        <w:t xml:space="preserve"> A, Gottfried I, Sasson E, </w:t>
      </w:r>
      <w:proofErr w:type="spellStart"/>
      <w:r w:rsidRPr="00C24EC8">
        <w:rPr>
          <w:rFonts w:ascii="Times New Roman" w:hAnsi="Times New Roman" w:cs="Times New Roman"/>
          <w:sz w:val="24"/>
          <w:szCs w:val="24"/>
          <w:lang w:val="en-ID"/>
        </w:rPr>
        <w:t>Hadanny</w:t>
      </w:r>
      <w:proofErr w:type="spellEnd"/>
      <w:r w:rsidRPr="00C24EC8">
        <w:rPr>
          <w:rFonts w:ascii="Times New Roman" w:hAnsi="Times New Roman" w:cs="Times New Roman"/>
          <w:sz w:val="24"/>
          <w:szCs w:val="24"/>
          <w:lang w:val="en-ID"/>
        </w:rPr>
        <w:t xml:space="preserve"> A, Efrati S, et al. Hyperbaric oxygen therapy alleviates vascular dysfunction and amyloid burden in an Alzheimer’s disease mouse model and in elderly patients. Aging (Albany NY). 2021 Sep 15;13(17):20935. doi:10.18632/AGING.203485 PubMed PMID: 34499614.</w:t>
      </w:r>
    </w:p>
    <w:p w14:paraId="1304566A" w14:textId="17220306" w:rsidR="00A76F60" w:rsidRPr="00A76F60" w:rsidRDefault="00A76F60" w:rsidP="00A76F60">
      <w:pPr>
        <w:pStyle w:val="ListParagraph"/>
        <w:numPr>
          <w:ilvl w:val="0"/>
          <w:numId w:val="12"/>
        </w:numPr>
        <w:spacing w:after="0" w:line="240" w:lineRule="auto"/>
        <w:rPr>
          <w:rFonts w:ascii="Times New Roman" w:eastAsia="Times New Roman" w:hAnsi="Times New Roman" w:cs="Times New Roman"/>
          <w:sz w:val="24"/>
          <w:szCs w:val="24"/>
          <w:lang w:val="en-ID" w:eastAsia="en-ID"/>
        </w:rPr>
      </w:pPr>
      <w:r w:rsidRPr="00A76F60">
        <w:rPr>
          <w:rFonts w:ascii="Times New Roman" w:eastAsia="Times New Roman" w:hAnsi="Times New Roman" w:cs="Times New Roman"/>
          <w:sz w:val="24"/>
          <w:szCs w:val="24"/>
          <w:lang w:val="en-ID" w:eastAsia="en-ID"/>
        </w:rPr>
        <w:t xml:space="preserve">Lin G, Zhao L, Lin J, Li X, Xu L. Clinical evidence of hyperbaric oxygen therapy for Alzheimer’s disease: a systematic review and meta-analysis of randomized controlled trials. Front Aging </w:t>
      </w:r>
      <w:proofErr w:type="spellStart"/>
      <w:r w:rsidRPr="00A76F60">
        <w:rPr>
          <w:rFonts w:ascii="Times New Roman" w:eastAsia="Times New Roman" w:hAnsi="Times New Roman" w:cs="Times New Roman"/>
          <w:sz w:val="24"/>
          <w:szCs w:val="24"/>
          <w:lang w:val="en-ID" w:eastAsia="en-ID"/>
        </w:rPr>
        <w:t>Neurosci</w:t>
      </w:r>
      <w:proofErr w:type="spellEnd"/>
      <w:r w:rsidRPr="00A76F60">
        <w:rPr>
          <w:rFonts w:ascii="Times New Roman" w:eastAsia="Times New Roman" w:hAnsi="Times New Roman" w:cs="Times New Roman"/>
          <w:sz w:val="24"/>
          <w:szCs w:val="24"/>
          <w:lang w:val="en-ID" w:eastAsia="en-ID"/>
        </w:rPr>
        <w:t>. 2024;16. doi:10.3389/FNAGI.2024.1360148/PDF</w:t>
      </w:r>
    </w:p>
    <w:p w14:paraId="67CFC79D" w14:textId="09FC638F"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Marcinkowska AB, Mankowska ND, Kot J, </w:t>
      </w:r>
      <w:proofErr w:type="spellStart"/>
      <w:r w:rsidRPr="00C24EC8">
        <w:rPr>
          <w:rFonts w:ascii="Times New Roman" w:hAnsi="Times New Roman" w:cs="Times New Roman"/>
          <w:sz w:val="24"/>
          <w:szCs w:val="24"/>
          <w:lang w:val="en-ID"/>
        </w:rPr>
        <w:t>Winklewski</w:t>
      </w:r>
      <w:proofErr w:type="spellEnd"/>
      <w:r w:rsidRPr="00C24EC8">
        <w:rPr>
          <w:rFonts w:ascii="Times New Roman" w:hAnsi="Times New Roman" w:cs="Times New Roman"/>
          <w:sz w:val="24"/>
          <w:szCs w:val="24"/>
          <w:lang w:val="en-ID"/>
        </w:rPr>
        <w:t xml:space="preserve"> PJ. Impact of Hyperbaric Oxygen Therapy on Cognitive Functions: </w:t>
      </w:r>
      <w:proofErr w:type="gramStart"/>
      <w:r w:rsidRPr="00C24EC8">
        <w:rPr>
          <w:rFonts w:ascii="Times New Roman" w:hAnsi="Times New Roman" w:cs="Times New Roman"/>
          <w:sz w:val="24"/>
          <w:szCs w:val="24"/>
          <w:lang w:val="en-ID"/>
        </w:rPr>
        <w:t>a</w:t>
      </w:r>
      <w:proofErr w:type="gramEnd"/>
      <w:r w:rsidRPr="00C24EC8">
        <w:rPr>
          <w:rFonts w:ascii="Times New Roman" w:hAnsi="Times New Roman" w:cs="Times New Roman"/>
          <w:sz w:val="24"/>
          <w:szCs w:val="24"/>
          <w:lang w:val="en-ID"/>
        </w:rPr>
        <w:t xml:space="preserve"> Systematic Review. </w:t>
      </w:r>
      <w:proofErr w:type="spellStart"/>
      <w:r w:rsidRPr="00C24EC8">
        <w:rPr>
          <w:rFonts w:ascii="Times New Roman" w:hAnsi="Times New Roman" w:cs="Times New Roman"/>
          <w:sz w:val="24"/>
          <w:szCs w:val="24"/>
          <w:lang w:val="en-ID"/>
        </w:rPr>
        <w:t>Neuropsychol</w:t>
      </w:r>
      <w:proofErr w:type="spellEnd"/>
      <w:r w:rsidRPr="00C24EC8">
        <w:rPr>
          <w:rFonts w:ascii="Times New Roman" w:hAnsi="Times New Roman" w:cs="Times New Roman"/>
          <w:sz w:val="24"/>
          <w:szCs w:val="24"/>
          <w:lang w:val="en-ID"/>
        </w:rPr>
        <w:t xml:space="preserve"> Rev. 2022 Mar 1;32(1):99–126. doi:10.1007/S11065-021-09500-9 PubMed PMID: 33847854.</w:t>
      </w:r>
    </w:p>
    <w:p w14:paraId="3F48FB52" w14:textId="5311AE97"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Li B, Li H, Chen H, Sui Y, Zeng J, Lin X, et al. Utilizing Hyperbaric Oxygen Therapy to Improve Cognitive Function in Patients </w:t>
      </w:r>
      <w:proofErr w:type="gramStart"/>
      <w:r w:rsidRPr="00C24EC8">
        <w:rPr>
          <w:rFonts w:ascii="Times New Roman" w:hAnsi="Times New Roman" w:cs="Times New Roman"/>
          <w:sz w:val="24"/>
          <w:szCs w:val="24"/>
          <w:lang w:val="en-ID"/>
        </w:rPr>
        <w:t>With</w:t>
      </w:r>
      <w:proofErr w:type="gramEnd"/>
      <w:r w:rsidRPr="00C24EC8">
        <w:rPr>
          <w:rFonts w:ascii="Times New Roman" w:hAnsi="Times New Roman" w:cs="Times New Roman"/>
          <w:sz w:val="24"/>
          <w:szCs w:val="24"/>
          <w:lang w:val="en-ID"/>
        </w:rPr>
        <w:t xml:space="preserve"> Alzheimer’s Disease by Activating Autophagy-Related </w:t>
      </w:r>
      <w:proofErr w:type="spellStart"/>
      <w:r w:rsidRPr="00C24EC8">
        <w:rPr>
          <w:rFonts w:ascii="Times New Roman" w:hAnsi="Times New Roman" w:cs="Times New Roman"/>
          <w:sz w:val="24"/>
          <w:szCs w:val="24"/>
          <w:lang w:val="en-ID"/>
        </w:rPr>
        <w:t>Signaling</w:t>
      </w:r>
      <w:proofErr w:type="spellEnd"/>
      <w:r w:rsidRPr="00C24EC8">
        <w:rPr>
          <w:rFonts w:ascii="Times New Roman" w:hAnsi="Times New Roman" w:cs="Times New Roman"/>
          <w:sz w:val="24"/>
          <w:szCs w:val="24"/>
          <w:lang w:val="en-ID"/>
        </w:rPr>
        <w:t xml:space="preserve"> Pathways. </w:t>
      </w:r>
      <w:proofErr w:type="spellStart"/>
      <w:r w:rsidRPr="00C24EC8">
        <w:rPr>
          <w:rFonts w:ascii="Times New Roman" w:hAnsi="Times New Roman" w:cs="Times New Roman"/>
          <w:sz w:val="24"/>
          <w:szCs w:val="24"/>
          <w:lang w:val="en-ID"/>
        </w:rPr>
        <w:t>Physiol</w:t>
      </w:r>
      <w:proofErr w:type="spellEnd"/>
      <w:r w:rsidRPr="00C24EC8">
        <w:rPr>
          <w:rFonts w:ascii="Times New Roman" w:hAnsi="Times New Roman" w:cs="Times New Roman"/>
          <w:sz w:val="24"/>
          <w:szCs w:val="24"/>
          <w:lang w:val="en-ID"/>
        </w:rPr>
        <w:t xml:space="preserve"> Res. 2025;74(1):141–7. doi:10.33549/PHYSIOLRES.935447 PubMed PMID: 40126150.</w:t>
      </w:r>
    </w:p>
    <w:p w14:paraId="0764E186" w14:textId="4681AAA6"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Kim J, Kang H, Lee YB, Lee B, Lee D. A quantitative analysis of spontaneous alternation </w:t>
      </w:r>
      <w:proofErr w:type="spellStart"/>
      <w:r w:rsidRPr="00C24EC8">
        <w:rPr>
          <w:rFonts w:ascii="Times New Roman" w:hAnsi="Times New Roman" w:cs="Times New Roman"/>
          <w:sz w:val="24"/>
          <w:szCs w:val="24"/>
          <w:lang w:val="en-ID"/>
        </w:rPr>
        <w:t>behaviors</w:t>
      </w:r>
      <w:proofErr w:type="spellEnd"/>
      <w:r w:rsidRPr="00C24EC8">
        <w:rPr>
          <w:rFonts w:ascii="Times New Roman" w:hAnsi="Times New Roman" w:cs="Times New Roman"/>
          <w:sz w:val="24"/>
          <w:szCs w:val="24"/>
          <w:lang w:val="en-ID"/>
        </w:rPr>
        <w:t xml:space="preserve"> on a Y-maze reveals adverse effects of acute social isolation on spatial working memory. Sci Rep. 2023 Dec 1;13(1). doi:10.1038/S41598-023-41996-4 PubMed PMID: 37679447.</w:t>
      </w:r>
    </w:p>
    <w:p w14:paraId="7A2E2A83" w14:textId="418118FF"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proofErr w:type="spellStart"/>
      <w:r w:rsidRPr="00C24EC8">
        <w:rPr>
          <w:rFonts w:ascii="Times New Roman" w:hAnsi="Times New Roman" w:cs="Times New Roman"/>
          <w:sz w:val="24"/>
          <w:szCs w:val="24"/>
          <w:lang w:val="en-ID"/>
        </w:rPr>
        <w:t>Hadanny</w:t>
      </w:r>
      <w:proofErr w:type="spellEnd"/>
      <w:r w:rsidRPr="00C24EC8">
        <w:rPr>
          <w:rFonts w:ascii="Times New Roman" w:hAnsi="Times New Roman" w:cs="Times New Roman"/>
          <w:sz w:val="24"/>
          <w:szCs w:val="24"/>
          <w:lang w:val="en-ID"/>
        </w:rPr>
        <w:t xml:space="preserve"> A, Catalogna M, Yaniv S, Stolar O, Rothstein L, Shabi A, et al. Hyperbaric oxygen therapy in children with post-concussion syndrome improves cognitive and </w:t>
      </w:r>
      <w:proofErr w:type="spellStart"/>
      <w:r w:rsidRPr="00C24EC8">
        <w:rPr>
          <w:rFonts w:ascii="Times New Roman" w:hAnsi="Times New Roman" w:cs="Times New Roman"/>
          <w:sz w:val="24"/>
          <w:szCs w:val="24"/>
          <w:lang w:val="en-ID"/>
        </w:rPr>
        <w:t>behavioral</w:t>
      </w:r>
      <w:proofErr w:type="spellEnd"/>
      <w:r w:rsidRPr="00C24EC8">
        <w:rPr>
          <w:rFonts w:ascii="Times New Roman" w:hAnsi="Times New Roman" w:cs="Times New Roman"/>
          <w:sz w:val="24"/>
          <w:szCs w:val="24"/>
          <w:lang w:val="en-ID"/>
        </w:rPr>
        <w:t xml:space="preserve"> function: a randomized controlled trial. Sci Rep. 2022 Dec 1;12(1). doi:10.1038/S41598-022-19395-Y PubMed PMID: 36151105.</w:t>
      </w:r>
    </w:p>
    <w:p w14:paraId="259486DC" w14:textId="5D05DBC3"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Cheng X, Chi L, Lin T, Liang F, Pei Z, Sun J, et al. Exogenous monocyte myeloid-derived suppressor cells ameliorate immune imbalance, neuroinflammation and cognitive impairment in 5xFAD mice infected with </w:t>
      </w:r>
      <w:r w:rsidRPr="006C5D29">
        <w:rPr>
          <w:rFonts w:ascii="Times New Roman" w:hAnsi="Times New Roman" w:cs="Times New Roman"/>
          <w:i/>
          <w:iCs/>
          <w:sz w:val="24"/>
          <w:szCs w:val="24"/>
          <w:lang w:val="en-ID"/>
        </w:rPr>
        <w:t>Porphyromonas gingivalis</w:t>
      </w:r>
      <w:r w:rsidRPr="00C24EC8">
        <w:rPr>
          <w:rFonts w:ascii="Times New Roman" w:hAnsi="Times New Roman" w:cs="Times New Roman"/>
          <w:sz w:val="24"/>
          <w:szCs w:val="24"/>
          <w:lang w:val="en-ID"/>
        </w:rPr>
        <w:t>. J Neuroinflammation. 2023 Dec 1;20(1). doi:10.1186/S12974-023-02743-8 PubMed PMID: 36864466.</w:t>
      </w:r>
    </w:p>
    <w:p w14:paraId="671033A9" w14:textId="1C0FE7AE"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lastRenderedPageBreak/>
        <w:t xml:space="preserve">Wang S, Chen B, Yuan M, Liu S, Fan H, Yang X, et al. Enriched oxygen improves age-related cognitive impairment through enhancing autophagy. Front Aging </w:t>
      </w:r>
      <w:proofErr w:type="spellStart"/>
      <w:r w:rsidRPr="00C24EC8">
        <w:rPr>
          <w:rFonts w:ascii="Times New Roman" w:hAnsi="Times New Roman" w:cs="Times New Roman"/>
          <w:sz w:val="24"/>
          <w:szCs w:val="24"/>
          <w:lang w:val="en-ID"/>
        </w:rPr>
        <w:t>Neurosci</w:t>
      </w:r>
      <w:proofErr w:type="spellEnd"/>
      <w:r w:rsidRPr="00C24EC8">
        <w:rPr>
          <w:rFonts w:ascii="Times New Roman" w:hAnsi="Times New Roman" w:cs="Times New Roman"/>
          <w:sz w:val="24"/>
          <w:szCs w:val="24"/>
          <w:lang w:val="en-ID"/>
        </w:rPr>
        <w:t>. 2024;16. doi:10.3389/FNAGI.2024.1340117/PDF</w:t>
      </w:r>
    </w:p>
    <w:p w14:paraId="14E6A698" w14:textId="4ED656BE"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proofErr w:type="spellStart"/>
      <w:r w:rsidRPr="00C24EC8">
        <w:rPr>
          <w:rFonts w:ascii="Times New Roman" w:hAnsi="Times New Roman" w:cs="Times New Roman"/>
          <w:sz w:val="24"/>
          <w:szCs w:val="24"/>
          <w:lang w:val="en-ID"/>
        </w:rPr>
        <w:t>d’Isa</w:t>
      </w:r>
      <w:proofErr w:type="spellEnd"/>
      <w:r w:rsidRPr="00C24EC8">
        <w:rPr>
          <w:rFonts w:ascii="Times New Roman" w:hAnsi="Times New Roman" w:cs="Times New Roman"/>
          <w:sz w:val="24"/>
          <w:szCs w:val="24"/>
          <w:lang w:val="en-ID"/>
        </w:rPr>
        <w:t xml:space="preserve"> R, Comi G, </w:t>
      </w:r>
      <w:proofErr w:type="spellStart"/>
      <w:r w:rsidRPr="00C24EC8">
        <w:rPr>
          <w:rFonts w:ascii="Times New Roman" w:hAnsi="Times New Roman" w:cs="Times New Roman"/>
          <w:sz w:val="24"/>
          <w:szCs w:val="24"/>
          <w:lang w:val="en-ID"/>
        </w:rPr>
        <w:t>Leocani</w:t>
      </w:r>
      <w:proofErr w:type="spellEnd"/>
      <w:r w:rsidRPr="00C24EC8">
        <w:rPr>
          <w:rFonts w:ascii="Times New Roman" w:hAnsi="Times New Roman" w:cs="Times New Roman"/>
          <w:sz w:val="24"/>
          <w:szCs w:val="24"/>
          <w:lang w:val="en-ID"/>
        </w:rPr>
        <w:t xml:space="preserve"> L. Apparatus design and behavioural testing protocol for the evaluation of spatial working memory in mice through the spontaneous alternation T-maze. Sci Rep. 2021 Dec 1;11(1). doi:10.1038/S41598-021-00402-7 PubMed PMID: 34707108.</w:t>
      </w:r>
    </w:p>
    <w:p w14:paraId="4AE93701" w14:textId="6D494E5C"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Ma X, Shin YJ, Yoo JW, Park HS, Kim DH. Extracellular vesicles derived from Porphyromonas gingivalis induce trigeminal nerve-mediated cognitive impairment. J Adv Res. 2023 Dec </w:t>
      </w:r>
      <w:proofErr w:type="gramStart"/>
      <w:r w:rsidRPr="00C24EC8">
        <w:rPr>
          <w:rFonts w:ascii="Times New Roman" w:hAnsi="Times New Roman" w:cs="Times New Roman"/>
          <w:sz w:val="24"/>
          <w:szCs w:val="24"/>
          <w:lang w:val="en-ID"/>
        </w:rPr>
        <w:t>1;54:293</w:t>
      </w:r>
      <w:proofErr w:type="gramEnd"/>
      <w:r w:rsidRPr="00C24EC8">
        <w:rPr>
          <w:rFonts w:ascii="Times New Roman" w:hAnsi="Times New Roman" w:cs="Times New Roman"/>
          <w:sz w:val="24"/>
          <w:szCs w:val="24"/>
          <w:lang w:val="en-ID"/>
        </w:rPr>
        <w:t xml:space="preserve">–303. </w:t>
      </w:r>
      <w:proofErr w:type="gramStart"/>
      <w:r w:rsidRPr="00C24EC8">
        <w:rPr>
          <w:rFonts w:ascii="Times New Roman" w:hAnsi="Times New Roman" w:cs="Times New Roman"/>
          <w:sz w:val="24"/>
          <w:szCs w:val="24"/>
          <w:lang w:val="en-ID"/>
        </w:rPr>
        <w:t>doi:10.1016/J.JARE</w:t>
      </w:r>
      <w:proofErr w:type="gramEnd"/>
      <w:r w:rsidRPr="00C24EC8">
        <w:rPr>
          <w:rFonts w:ascii="Times New Roman" w:hAnsi="Times New Roman" w:cs="Times New Roman"/>
          <w:sz w:val="24"/>
          <w:szCs w:val="24"/>
          <w:lang w:val="en-ID"/>
        </w:rPr>
        <w:t>.2023.02.006 PubMed PMID: 36796586.</w:t>
      </w:r>
    </w:p>
    <w:p w14:paraId="62A1E14A" w14:textId="688688A5"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Gottfried I, </w:t>
      </w:r>
      <w:proofErr w:type="spellStart"/>
      <w:r w:rsidRPr="00C24EC8">
        <w:rPr>
          <w:rFonts w:ascii="Times New Roman" w:hAnsi="Times New Roman" w:cs="Times New Roman"/>
          <w:sz w:val="24"/>
          <w:szCs w:val="24"/>
          <w:lang w:val="en-ID"/>
        </w:rPr>
        <w:t>Schottlender</w:t>
      </w:r>
      <w:proofErr w:type="spellEnd"/>
      <w:r w:rsidRPr="00C24EC8">
        <w:rPr>
          <w:rFonts w:ascii="Times New Roman" w:hAnsi="Times New Roman" w:cs="Times New Roman"/>
          <w:sz w:val="24"/>
          <w:szCs w:val="24"/>
          <w:lang w:val="en-ID"/>
        </w:rPr>
        <w:t xml:space="preserve"> N, Ashery U. Hyperbaric Oxygen Treatment—From Mechanisms to Cognitive Improvement. Biomolecules. 2021 Oct 1;11(10). doi:10.3390/BIOM11101520 PubMed PMID: 34680155.</w:t>
      </w:r>
    </w:p>
    <w:p w14:paraId="53EAE14B" w14:textId="17928C5F"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proofErr w:type="spellStart"/>
      <w:r w:rsidRPr="00C24EC8">
        <w:rPr>
          <w:rFonts w:ascii="Times New Roman" w:hAnsi="Times New Roman" w:cs="Times New Roman"/>
          <w:sz w:val="24"/>
          <w:szCs w:val="24"/>
          <w:lang w:val="en-ID"/>
        </w:rPr>
        <w:t>Gl</w:t>
      </w:r>
      <w:proofErr w:type="spellEnd"/>
      <w:r w:rsidRPr="00C24EC8">
        <w:rPr>
          <w:rFonts w:ascii="Times New Roman" w:hAnsi="Times New Roman" w:cs="Times New Roman"/>
          <w:sz w:val="24"/>
          <w:szCs w:val="24"/>
          <w:lang w:val="en-ID"/>
        </w:rPr>
        <w:t xml:space="preserve"> S. Current Review: Hyperbaric Oxygen Analysis with Appropriate Cognitive Assessment. Journal of Clinical Medical Research. 2024 Dec 9;1–5. doi:10.46889/JCMR.2024.5315</w:t>
      </w:r>
    </w:p>
    <w:p w14:paraId="2FDC2C03" w14:textId="47B2EDEA"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 xml:space="preserve">Shabi Shlifer A, </w:t>
      </w:r>
      <w:proofErr w:type="spellStart"/>
      <w:r w:rsidRPr="00C24EC8">
        <w:rPr>
          <w:rFonts w:ascii="Times New Roman" w:hAnsi="Times New Roman" w:cs="Times New Roman"/>
          <w:sz w:val="24"/>
          <w:szCs w:val="24"/>
          <w:lang w:val="en-ID"/>
        </w:rPr>
        <w:t>Suzin</w:t>
      </w:r>
      <w:proofErr w:type="spellEnd"/>
      <w:r w:rsidRPr="00C24EC8">
        <w:rPr>
          <w:rFonts w:ascii="Times New Roman" w:hAnsi="Times New Roman" w:cs="Times New Roman"/>
          <w:sz w:val="24"/>
          <w:szCs w:val="24"/>
          <w:lang w:val="en-ID"/>
        </w:rPr>
        <w:t xml:space="preserve"> G, Shorer R, Lang E, </w:t>
      </w:r>
      <w:proofErr w:type="spellStart"/>
      <w:r w:rsidRPr="00C24EC8">
        <w:rPr>
          <w:rFonts w:ascii="Times New Roman" w:hAnsi="Times New Roman" w:cs="Times New Roman"/>
          <w:sz w:val="24"/>
          <w:szCs w:val="24"/>
          <w:lang w:val="en-ID"/>
        </w:rPr>
        <w:t>Finci</w:t>
      </w:r>
      <w:proofErr w:type="spellEnd"/>
      <w:r w:rsidRPr="00C24EC8">
        <w:rPr>
          <w:rFonts w:ascii="Times New Roman" w:hAnsi="Times New Roman" w:cs="Times New Roman"/>
          <w:sz w:val="24"/>
          <w:szCs w:val="24"/>
          <w:lang w:val="en-ID"/>
        </w:rPr>
        <w:t xml:space="preserve"> S, Elman-Shina K, et al. Hyperbaric oxygen therapy improves post-concussion symptoms in adults with childhood traumatic brain injury: a retrospective cohort study. Front Neurol. 2025;16. doi:10.3389/FNEUR.2025.1641033</w:t>
      </w:r>
    </w:p>
    <w:p w14:paraId="2C91390C" w14:textId="77777777" w:rsidR="00C24EC8" w:rsidRPr="00C24EC8" w:rsidRDefault="00C24EC8" w:rsidP="00C24EC8">
      <w:pPr>
        <w:pStyle w:val="ListParagraph"/>
        <w:numPr>
          <w:ilvl w:val="0"/>
          <w:numId w:val="12"/>
        </w:numPr>
        <w:spacing w:line="240" w:lineRule="auto"/>
        <w:jc w:val="both"/>
        <w:rPr>
          <w:rFonts w:ascii="Times New Roman" w:hAnsi="Times New Roman" w:cs="Times New Roman"/>
          <w:sz w:val="24"/>
          <w:szCs w:val="24"/>
          <w:lang w:val="en-ID"/>
        </w:rPr>
      </w:pPr>
      <w:r w:rsidRPr="00C24EC8">
        <w:rPr>
          <w:rFonts w:ascii="Times New Roman" w:hAnsi="Times New Roman" w:cs="Times New Roman"/>
          <w:sz w:val="24"/>
          <w:szCs w:val="24"/>
          <w:lang w:val="en-ID"/>
        </w:rPr>
        <w:t>Huang Z, Hao M, Shi N, Wang X, Yuan L, Yuan H, et al. Porphyromonas gingivalis: a potential trigger of neurodegenerative disease. Front Immunol. 2025;16. doi:10.3389/FIMMU.2025.1482033/PDF PubMed PMID: 40028317.</w:t>
      </w:r>
    </w:p>
    <w:p w14:paraId="187FCBCA" w14:textId="77777777" w:rsidR="0085225B" w:rsidRPr="007734E1" w:rsidRDefault="0085225B" w:rsidP="00256FF2">
      <w:pPr>
        <w:spacing w:line="240" w:lineRule="auto"/>
        <w:jc w:val="both"/>
        <w:rPr>
          <w:rFonts w:ascii="Times New Roman" w:hAnsi="Times New Roman" w:cs="Times New Roman"/>
          <w:b/>
          <w:bCs/>
          <w:sz w:val="24"/>
          <w:szCs w:val="24"/>
        </w:rPr>
      </w:pPr>
    </w:p>
    <w:sectPr w:rsidR="0085225B" w:rsidRPr="007734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AE90" w14:textId="77777777" w:rsidR="005207A4" w:rsidRDefault="005207A4" w:rsidP="008376F4">
      <w:pPr>
        <w:spacing w:after="0" w:line="240" w:lineRule="auto"/>
      </w:pPr>
      <w:r>
        <w:separator/>
      </w:r>
    </w:p>
  </w:endnote>
  <w:endnote w:type="continuationSeparator" w:id="0">
    <w:p w14:paraId="74DD73A3" w14:textId="77777777" w:rsidR="005207A4" w:rsidRDefault="005207A4" w:rsidP="00837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TimesNewRomanPS-BoldMT">
    <w:altName w:val="Times New Roman"/>
    <w:charset w:val="00"/>
    <w:family w:val="roman"/>
    <w:pitch w:val="default"/>
  </w:font>
  <w:font w:name="URWPalladioL-Bold">
    <w:altName w:val="Times New Roman"/>
    <w:charset w:val="00"/>
    <w:family w:val="roman"/>
    <w:pitch w:val="default"/>
  </w:font>
  <w:font w:name="VnURWPalladioL">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C583" w14:textId="77777777" w:rsidR="005207A4" w:rsidRDefault="005207A4" w:rsidP="008376F4">
      <w:pPr>
        <w:spacing w:after="0" w:line="240" w:lineRule="auto"/>
      </w:pPr>
      <w:r>
        <w:separator/>
      </w:r>
    </w:p>
  </w:footnote>
  <w:footnote w:type="continuationSeparator" w:id="0">
    <w:p w14:paraId="67E9652D" w14:textId="77777777" w:rsidR="005207A4" w:rsidRDefault="005207A4" w:rsidP="00837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6BD"/>
    <w:multiLevelType w:val="hybridMultilevel"/>
    <w:tmpl w:val="1E1EC6DA"/>
    <w:lvl w:ilvl="0" w:tplc="3809000F">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811469"/>
    <w:multiLevelType w:val="multilevel"/>
    <w:tmpl w:val="4A84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73034"/>
    <w:multiLevelType w:val="multilevel"/>
    <w:tmpl w:val="0618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D5CA2"/>
    <w:multiLevelType w:val="multilevel"/>
    <w:tmpl w:val="D6F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92A71"/>
    <w:multiLevelType w:val="hybridMultilevel"/>
    <w:tmpl w:val="5A2A8006"/>
    <w:lvl w:ilvl="0" w:tplc="097C3F50">
      <w:start w:val="1"/>
      <w:numFmt w:val="decimal"/>
      <w:lvlText w:val="%1."/>
      <w:lvlJc w:val="left"/>
      <w:pPr>
        <w:ind w:left="720" w:hanging="360"/>
      </w:pPr>
      <w:rPr>
        <w:rFonts w:eastAsia="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7C90E86"/>
    <w:multiLevelType w:val="hybridMultilevel"/>
    <w:tmpl w:val="9ADA33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6675A0"/>
    <w:multiLevelType w:val="hybridMultilevel"/>
    <w:tmpl w:val="1ABA94C6"/>
    <w:lvl w:ilvl="0" w:tplc="72C4600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99215E"/>
    <w:multiLevelType w:val="multilevel"/>
    <w:tmpl w:val="60C0412E"/>
    <w:lvl w:ilvl="0">
      <w:start w:val="1"/>
      <w:numFmt w:val="decimal"/>
      <w:lvlText w:val="%1."/>
      <w:lvlJc w:val="left"/>
      <w:pPr>
        <w:ind w:left="404" w:hanging="284"/>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502" w:hanging="360"/>
      </w:pPr>
      <w:rPr>
        <w:i w:val="0"/>
        <w:iCs/>
      </w:rPr>
    </w:lvl>
    <w:lvl w:ilvl="2">
      <w:numFmt w:val="bullet"/>
      <w:lvlText w:val="•"/>
      <w:lvlJc w:val="left"/>
      <w:pPr>
        <w:ind w:left="2472" w:hanging="181"/>
      </w:pPr>
      <w:rPr>
        <w:rFonts w:hint="default"/>
        <w:lang w:val="en-US" w:eastAsia="en-US" w:bidi="ar-SA"/>
      </w:rPr>
    </w:lvl>
    <w:lvl w:ilvl="3">
      <w:numFmt w:val="bullet"/>
      <w:lvlText w:val="•"/>
      <w:lvlJc w:val="left"/>
      <w:pPr>
        <w:ind w:left="3384" w:hanging="181"/>
      </w:pPr>
      <w:rPr>
        <w:rFonts w:hint="default"/>
        <w:lang w:val="en-US" w:eastAsia="en-US" w:bidi="ar-SA"/>
      </w:rPr>
    </w:lvl>
    <w:lvl w:ilvl="4">
      <w:numFmt w:val="bullet"/>
      <w:lvlText w:val="•"/>
      <w:lvlJc w:val="left"/>
      <w:pPr>
        <w:ind w:left="4296" w:hanging="181"/>
      </w:pPr>
      <w:rPr>
        <w:rFonts w:hint="default"/>
        <w:lang w:val="en-US" w:eastAsia="en-US" w:bidi="ar-SA"/>
      </w:rPr>
    </w:lvl>
    <w:lvl w:ilvl="5">
      <w:numFmt w:val="bullet"/>
      <w:lvlText w:val="•"/>
      <w:lvlJc w:val="left"/>
      <w:pPr>
        <w:ind w:left="5208" w:hanging="181"/>
      </w:pPr>
      <w:rPr>
        <w:rFonts w:hint="default"/>
        <w:lang w:val="en-US" w:eastAsia="en-US" w:bidi="ar-SA"/>
      </w:rPr>
    </w:lvl>
    <w:lvl w:ilvl="6">
      <w:numFmt w:val="bullet"/>
      <w:lvlText w:val="•"/>
      <w:lvlJc w:val="left"/>
      <w:pPr>
        <w:ind w:left="6120" w:hanging="181"/>
      </w:pPr>
      <w:rPr>
        <w:rFonts w:hint="default"/>
        <w:lang w:val="en-US" w:eastAsia="en-US" w:bidi="ar-SA"/>
      </w:rPr>
    </w:lvl>
    <w:lvl w:ilvl="7">
      <w:numFmt w:val="bullet"/>
      <w:lvlText w:val="•"/>
      <w:lvlJc w:val="left"/>
      <w:pPr>
        <w:ind w:left="7032" w:hanging="181"/>
      </w:pPr>
      <w:rPr>
        <w:rFonts w:hint="default"/>
        <w:lang w:val="en-US" w:eastAsia="en-US" w:bidi="ar-SA"/>
      </w:rPr>
    </w:lvl>
    <w:lvl w:ilvl="8">
      <w:numFmt w:val="bullet"/>
      <w:lvlText w:val="•"/>
      <w:lvlJc w:val="left"/>
      <w:pPr>
        <w:ind w:left="7944" w:hanging="181"/>
      </w:pPr>
      <w:rPr>
        <w:rFonts w:hint="default"/>
        <w:lang w:val="en-US" w:eastAsia="en-US" w:bidi="ar-SA"/>
      </w:rPr>
    </w:lvl>
  </w:abstractNum>
  <w:abstractNum w:abstractNumId="8" w15:restartNumberingAfterBreak="0">
    <w:nsid w:val="524C7CCC"/>
    <w:multiLevelType w:val="hybridMultilevel"/>
    <w:tmpl w:val="009A6144"/>
    <w:lvl w:ilvl="0" w:tplc="097C3F50">
      <w:start w:val="1"/>
      <w:numFmt w:val="decimal"/>
      <w:lvlText w:val="%1."/>
      <w:lvlJc w:val="left"/>
      <w:pPr>
        <w:ind w:left="720" w:hanging="360"/>
      </w:pPr>
      <w:rPr>
        <w:rFonts w:eastAsia="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E8B37E1"/>
    <w:multiLevelType w:val="multilevel"/>
    <w:tmpl w:val="F2C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05C26"/>
    <w:multiLevelType w:val="hybridMultilevel"/>
    <w:tmpl w:val="E6C4AD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E4A4C07"/>
    <w:multiLevelType w:val="hybridMultilevel"/>
    <w:tmpl w:val="DAF0D1DC"/>
    <w:lvl w:ilvl="0" w:tplc="B34E430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8579680">
    <w:abstractNumId w:val="7"/>
  </w:num>
  <w:num w:numId="2" w16cid:durableId="495534654">
    <w:abstractNumId w:val="0"/>
  </w:num>
  <w:num w:numId="3" w16cid:durableId="1977838111">
    <w:abstractNumId w:val="6"/>
  </w:num>
  <w:num w:numId="4" w16cid:durableId="909778371">
    <w:abstractNumId w:val="3"/>
  </w:num>
  <w:num w:numId="5" w16cid:durableId="1112285523">
    <w:abstractNumId w:val="5"/>
  </w:num>
  <w:num w:numId="6" w16cid:durableId="407465886">
    <w:abstractNumId w:val="11"/>
  </w:num>
  <w:num w:numId="7" w16cid:durableId="860122441">
    <w:abstractNumId w:val="1"/>
  </w:num>
  <w:num w:numId="8" w16cid:durableId="1789081031">
    <w:abstractNumId w:val="2"/>
  </w:num>
  <w:num w:numId="9" w16cid:durableId="1608467836">
    <w:abstractNumId w:val="9"/>
  </w:num>
  <w:num w:numId="10" w16cid:durableId="481852126">
    <w:abstractNumId w:val="10"/>
  </w:num>
  <w:num w:numId="11" w16cid:durableId="1157302762">
    <w:abstractNumId w:val="4"/>
  </w:num>
  <w:num w:numId="12" w16cid:durableId="4811949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66"/>
    <w:rsid w:val="000021A1"/>
    <w:rsid w:val="00005127"/>
    <w:rsid w:val="00012392"/>
    <w:rsid w:val="00013A87"/>
    <w:rsid w:val="000260D0"/>
    <w:rsid w:val="00034F1A"/>
    <w:rsid w:val="000607D4"/>
    <w:rsid w:val="0006295B"/>
    <w:rsid w:val="00062C99"/>
    <w:rsid w:val="00064E4D"/>
    <w:rsid w:val="00077A05"/>
    <w:rsid w:val="000A11CF"/>
    <w:rsid w:val="000B24D5"/>
    <w:rsid w:val="000B7158"/>
    <w:rsid w:val="000C7BBA"/>
    <w:rsid w:val="000D44C9"/>
    <w:rsid w:val="000E6513"/>
    <w:rsid w:val="000F5440"/>
    <w:rsid w:val="001178D9"/>
    <w:rsid w:val="001235B6"/>
    <w:rsid w:val="00132B53"/>
    <w:rsid w:val="00136FC3"/>
    <w:rsid w:val="00142AD2"/>
    <w:rsid w:val="00154097"/>
    <w:rsid w:val="00162331"/>
    <w:rsid w:val="00167B6F"/>
    <w:rsid w:val="00170C30"/>
    <w:rsid w:val="00174FF1"/>
    <w:rsid w:val="00180ABE"/>
    <w:rsid w:val="001839CC"/>
    <w:rsid w:val="00186AB0"/>
    <w:rsid w:val="00204002"/>
    <w:rsid w:val="00207FD9"/>
    <w:rsid w:val="00211BBB"/>
    <w:rsid w:val="00221F5A"/>
    <w:rsid w:val="00231CBB"/>
    <w:rsid w:val="00233775"/>
    <w:rsid w:val="00233ECA"/>
    <w:rsid w:val="00241897"/>
    <w:rsid w:val="00256FF2"/>
    <w:rsid w:val="0027435C"/>
    <w:rsid w:val="00277672"/>
    <w:rsid w:val="002950D1"/>
    <w:rsid w:val="002A1266"/>
    <w:rsid w:val="002B3957"/>
    <w:rsid w:val="002B55ED"/>
    <w:rsid w:val="002C2F76"/>
    <w:rsid w:val="002D2CF4"/>
    <w:rsid w:val="002D2FC1"/>
    <w:rsid w:val="002F14CB"/>
    <w:rsid w:val="002F7D66"/>
    <w:rsid w:val="002F7D95"/>
    <w:rsid w:val="0030196A"/>
    <w:rsid w:val="00306F72"/>
    <w:rsid w:val="003136C0"/>
    <w:rsid w:val="00315EF8"/>
    <w:rsid w:val="00325CC3"/>
    <w:rsid w:val="00360394"/>
    <w:rsid w:val="00366BDC"/>
    <w:rsid w:val="0037170F"/>
    <w:rsid w:val="0038411E"/>
    <w:rsid w:val="0039099C"/>
    <w:rsid w:val="003A4A0D"/>
    <w:rsid w:val="003B1479"/>
    <w:rsid w:val="003C530F"/>
    <w:rsid w:val="003D3E92"/>
    <w:rsid w:val="003F3DA4"/>
    <w:rsid w:val="00401331"/>
    <w:rsid w:val="004069C6"/>
    <w:rsid w:val="004165AA"/>
    <w:rsid w:val="004273B9"/>
    <w:rsid w:val="0043770E"/>
    <w:rsid w:val="00465198"/>
    <w:rsid w:val="00467AD9"/>
    <w:rsid w:val="004849F1"/>
    <w:rsid w:val="00491912"/>
    <w:rsid w:val="004A47D7"/>
    <w:rsid w:val="004A7D98"/>
    <w:rsid w:val="004D1D42"/>
    <w:rsid w:val="004D2CCC"/>
    <w:rsid w:val="005026B6"/>
    <w:rsid w:val="00505BAB"/>
    <w:rsid w:val="00510D39"/>
    <w:rsid w:val="00513F11"/>
    <w:rsid w:val="005207A4"/>
    <w:rsid w:val="005342BC"/>
    <w:rsid w:val="00535E9C"/>
    <w:rsid w:val="00545B30"/>
    <w:rsid w:val="005543A1"/>
    <w:rsid w:val="00564E6C"/>
    <w:rsid w:val="005713E1"/>
    <w:rsid w:val="00574D48"/>
    <w:rsid w:val="005B4E2D"/>
    <w:rsid w:val="005C2D92"/>
    <w:rsid w:val="005C5DAB"/>
    <w:rsid w:val="005F05ED"/>
    <w:rsid w:val="005F1FBE"/>
    <w:rsid w:val="00604DB0"/>
    <w:rsid w:val="00613F34"/>
    <w:rsid w:val="00622E32"/>
    <w:rsid w:val="00625C9E"/>
    <w:rsid w:val="006375DF"/>
    <w:rsid w:val="0066504D"/>
    <w:rsid w:val="00673D90"/>
    <w:rsid w:val="00691F08"/>
    <w:rsid w:val="00692E5E"/>
    <w:rsid w:val="00696B40"/>
    <w:rsid w:val="006B3B48"/>
    <w:rsid w:val="006B7D6C"/>
    <w:rsid w:val="006C0230"/>
    <w:rsid w:val="006C5D29"/>
    <w:rsid w:val="006D7552"/>
    <w:rsid w:val="006E74D7"/>
    <w:rsid w:val="00700A12"/>
    <w:rsid w:val="00710D67"/>
    <w:rsid w:val="00715B21"/>
    <w:rsid w:val="00724144"/>
    <w:rsid w:val="00740FEA"/>
    <w:rsid w:val="00765227"/>
    <w:rsid w:val="007734E1"/>
    <w:rsid w:val="00793723"/>
    <w:rsid w:val="00794B7A"/>
    <w:rsid w:val="007C2F33"/>
    <w:rsid w:val="007C66A8"/>
    <w:rsid w:val="007C6EE1"/>
    <w:rsid w:val="007C787C"/>
    <w:rsid w:val="007D1C0C"/>
    <w:rsid w:val="007E5C5A"/>
    <w:rsid w:val="007F52F3"/>
    <w:rsid w:val="008137F2"/>
    <w:rsid w:val="0082590D"/>
    <w:rsid w:val="008315AA"/>
    <w:rsid w:val="00836146"/>
    <w:rsid w:val="008376F4"/>
    <w:rsid w:val="00841503"/>
    <w:rsid w:val="00851E66"/>
    <w:rsid w:val="0085205F"/>
    <w:rsid w:val="0085225B"/>
    <w:rsid w:val="0085664B"/>
    <w:rsid w:val="008606AC"/>
    <w:rsid w:val="00872354"/>
    <w:rsid w:val="00873BB2"/>
    <w:rsid w:val="00884F27"/>
    <w:rsid w:val="00891D9B"/>
    <w:rsid w:val="00895421"/>
    <w:rsid w:val="008A0CE2"/>
    <w:rsid w:val="008A31D7"/>
    <w:rsid w:val="008B358F"/>
    <w:rsid w:val="008B63D2"/>
    <w:rsid w:val="008C41DF"/>
    <w:rsid w:val="008D320C"/>
    <w:rsid w:val="008E7E78"/>
    <w:rsid w:val="008F67E2"/>
    <w:rsid w:val="009065A6"/>
    <w:rsid w:val="00916258"/>
    <w:rsid w:val="00917761"/>
    <w:rsid w:val="00921F1A"/>
    <w:rsid w:val="00924672"/>
    <w:rsid w:val="00950209"/>
    <w:rsid w:val="009572FE"/>
    <w:rsid w:val="00992249"/>
    <w:rsid w:val="009B7AD8"/>
    <w:rsid w:val="009F51FE"/>
    <w:rsid w:val="00A12D3B"/>
    <w:rsid w:val="00A20750"/>
    <w:rsid w:val="00A603D1"/>
    <w:rsid w:val="00A607BC"/>
    <w:rsid w:val="00A62393"/>
    <w:rsid w:val="00A761FB"/>
    <w:rsid w:val="00A76F60"/>
    <w:rsid w:val="00AA6F05"/>
    <w:rsid w:val="00AC29BB"/>
    <w:rsid w:val="00AD1C16"/>
    <w:rsid w:val="00AD255D"/>
    <w:rsid w:val="00AD3310"/>
    <w:rsid w:val="00AD6488"/>
    <w:rsid w:val="00AE079E"/>
    <w:rsid w:val="00AF5CB7"/>
    <w:rsid w:val="00AF78BE"/>
    <w:rsid w:val="00B230AC"/>
    <w:rsid w:val="00B32F14"/>
    <w:rsid w:val="00B53823"/>
    <w:rsid w:val="00B9147C"/>
    <w:rsid w:val="00B94F2E"/>
    <w:rsid w:val="00BB026D"/>
    <w:rsid w:val="00BC7704"/>
    <w:rsid w:val="00BD7AA8"/>
    <w:rsid w:val="00BF28DA"/>
    <w:rsid w:val="00BF67E5"/>
    <w:rsid w:val="00C11CFC"/>
    <w:rsid w:val="00C24EC8"/>
    <w:rsid w:val="00C25AC2"/>
    <w:rsid w:val="00C5218C"/>
    <w:rsid w:val="00C555A4"/>
    <w:rsid w:val="00C56D4C"/>
    <w:rsid w:val="00C60CE6"/>
    <w:rsid w:val="00C61832"/>
    <w:rsid w:val="00C72716"/>
    <w:rsid w:val="00C74E43"/>
    <w:rsid w:val="00C765C7"/>
    <w:rsid w:val="00C9157D"/>
    <w:rsid w:val="00CA4384"/>
    <w:rsid w:val="00CB1322"/>
    <w:rsid w:val="00CC5874"/>
    <w:rsid w:val="00CD1A91"/>
    <w:rsid w:val="00CD1F14"/>
    <w:rsid w:val="00CF23DE"/>
    <w:rsid w:val="00CF3BFB"/>
    <w:rsid w:val="00D01982"/>
    <w:rsid w:val="00D105E6"/>
    <w:rsid w:val="00D1408A"/>
    <w:rsid w:val="00D34B0B"/>
    <w:rsid w:val="00D4180C"/>
    <w:rsid w:val="00D43039"/>
    <w:rsid w:val="00D768D7"/>
    <w:rsid w:val="00DC631E"/>
    <w:rsid w:val="00DE630F"/>
    <w:rsid w:val="00DF264D"/>
    <w:rsid w:val="00DF5F1B"/>
    <w:rsid w:val="00E0445B"/>
    <w:rsid w:val="00E22534"/>
    <w:rsid w:val="00E343E0"/>
    <w:rsid w:val="00E37304"/>
    <w:rsid w:val="00E4698E"/>
    <w:rsid w:val="00E47256"/>
    <w:rsid w:val="00E5236E"/>
    <w:rsid w:val="00E558D5"/>
    <w:rsid w:val="00E850E0"/>
    <w:rsid w:val="00E91078"/>
    <w:rsid w:val="00E9611F"/>
    <w:rsid w:val="00E97D0D"/>
    <w:rsid w:val="00EB2D98"/>
    <w:rsid w:val="00EC4F69"/>
    <w:rsid w:val="00ED5A80"/>
    <w:rsid w:val="00EF408B"/>
    <w:rsid w:val="00F16C35"/>
    <w:rsid w:val="00F32114"/>
    <w:rsid w:val="00F51CB4"/>
    <w:rsid w:val="00F7125A"/>
    <w:rsid w:val="00F808E8"/>
    <w:rsid w:val="00F84464"/>
    <w:rsid w:val="00F97BF1"/>
    <w:rsid w:val="00FA2390"/>
    <w:rsid w:val="00FF1B8A"/>
    <w:rsid w:val="00FF525D"/>
    <w:rsid w:val="00FF5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DAF7"/>
  <w15:docId w15:val="{57377BBD-8419-4687-8303-98D142D6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F05E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954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pPr>
  </w:style>
  <w:style w:type="paragraph" w:styleId="BodyTextIndent">
    <w:name w:val="Body Text Indent"/>
    <w:basedOn w:val="Normal"/>
    <w:link w:val="BodyTextIndentChar"/>
    <w:pPr>
      <w:spacing w:after="0" w:line="240" w:lineRule="auto"/>
      <w:ind w:left="540"/>
      <w:jc w:val="both"/>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DocumentMap">
    <w:name w:val="Document Map"/>
    <w:basedOn w:val="Normal"/>
    <w:link w:val="DocumentMapChar"/>
    <w:uiPriority w:val="99"/>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Pr>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unhideWhenUsed/>
    <w:rPr>
      <w:color w:val="800080" w:themeColor="followedHyperlink"/>
      <w:u w:val="single"/>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qFormat/>
    <w:pPr>
      <w:spacing w:after="0" w:line="240" w:lineRule="auto"/>
    </w:pPr>
    <w:rPr>
      <w:lang w:val="id-ID"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Pr>
      <w:rFonts w:ascii="TimesNewRomanPSMT" w:hAnsi="TimesNewRomanPSMT" w:hint="default"/>
      <w:color w:val="000000"/>
      <w:sz w:val="20"/>
      <w:szCs w:val="20"/>
    </w:rPr>
  </w:style>
  <w:style w:type="character" w:customStyle="1" w:styleId="fontstyle21">
    <w:name w:val="fontstyle21"/>
    <w:basedOn w:val="DefaultParagraphFont"/>
    <w:rPr>
      <w:rFonts w:ascii="TimesNewRomanPS-BoldMT" w:hAnsi="TimesNewRomanPS-BoldMT" w:hint="default"/>
      <w:b/>
      <w:bCs/>
      <w:color w:val="000000"/>
      <w:sz w:val="20"/>
      <w:szCs w:val="20"/>
    </w:rPr>
  </w:style>
  <w:style w:type="paragraph" w:customStyle="1" w:styleId="Default">
    <w:name w:val="Default"/>
    <w:pPr>
      <w:autoSpaceDE w:val="0"/>
      <w:autoSpaceDN w:val="0"/>
      <w:adjustRightInd w:val="0"/>
      <w:spacing w:after="0" w:line="240" w:lineRule="auto"/>
    </w:pPr>
    <w:rPr>
      <w:rFonts w:ascii="Cambria" w:eastAsiaTheme="minorHAnsi" w:hAnsi="Cambria" w:cs="Cambria"/>
      <w:color w:val="000000"/>
      <w:sz w:val="24"/>
      <w:szCs w:val="24"/>
      <w:lang w:val="id-ID" w:eastAsia="en-US"/>
    </w:rPr>
  </w:style>
  <w:style w:type="character" w:customStyle="1" w:styleId="title-text">
    <w:name w:val="title-text"/>
    <w:basedOn w:val="DefaultParagraphFont"/>
  </w:style>
  <w:style w:type="character" w:customStyle="1" w:styleId="fontstyle31">
    <w:name w:val="fontstyle31"/>
    <w:basedOn w:val="DefaultParagraphFont"/>
    <w:rPr>
      <w:rFonts w:ascii="URWPalladioL-Bold" w:hAnsi="URWPalladioL-Bold" w:hint="default"/>
      <w:b/>
      <w:bCs/>
      <w:color w:val="000000"/>
      <w:sz w:val="18"/>
      <w:szCs w:val="18"/>
    </w:rPr>
  </w:style>
  <w:style w:type="character" w:customStyle="1" w:styleId="fontstyle41">
    <w:name w:val="fontstyle41"/>
    <w:basedOn w:val="DefaultParagraphFont"/>
    <w:rPr>
      <w:rFonts w:ascii="URWPalladioL-Bold" w:hAnsi="URWPalladioL-Bold" w:hint="default"/>
      <w:b/>
      <w:bCs/>
      <w:color w:val="000000"/>
      <w:sz w:val="18"/>
      <w:szCs w:val="18"/>
    </w:rPr>
  </w:style>
  <w:style w:type="character" w:customStyle="1" w:styleId="fontstyle51">
    <w:name w:val="fontstyle51"/>
    <w:basedOn w:val="DefaultParagraphFont"/>
    <w:rPr>
      <w:rFonts w:ascii="VnURWPalladioL" w:hAnsi="VnURWPalladioL" w:hint="default"/>
      <w:color w:val="000000"/>
      <w:sz w:val="18"/>
      <w:szCs w:val="18"/>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customStyle="1" w:styleId="Bibliography1">
    <w:name w:val="Bibliography1"/>
    <w:basedOn w:val="Normal"/>
    <w:next w:val="Normal"/>
    <w:uiPriority w:val="37"/>
    <w:unhideWhenUsed/>
    <w:pPr>
      <w:tabs>
        <w:tab w:val="left" w:pos="384"/>
      </w:tabs>
      <w:spacing w:after="240" w:line="240" w:lineRule="auto"/>
      <w:ind w:left="384" w:hanging="384"/>
    </w:pPr>
  </w:style>
  <w:style w:type="paragraph" w:customStyle="1" w:styleId="ListParagraph1">
    <w:name w:val="List Paragraph1"/>
    <w:basedOn w:val="Normal"/>
    <w:link w:val="ListParagraphChar"/>
    <w:uiPriority w:val="1"/>
    <w:qFormat/>
    <w:pPr>
      <w:ind w:left="720"/>
      <w:contextualSpacing/>
    </w:pPr>
    <w:rPr>
      <w:lang w:val="id-ID" w:eastAsia="ko-KR"/>
    </w:rPr>
  </w:style>
  <w:style w:type="character" w:customStyle="1" w:styleId="ListParagraphChar">
    <w:name w:val="List Paragraph Char"/>
    <w:link w:val="ListParagraph1"/>
    <w:uiPriority w:val="34"/>
    <w:qFormat/>
    <w:locked/>
    <w:rPr>
      <w:lang w:val="id-ID" w:eastAsia="ko-KR"/>
    </w:rPr>
  </w:style>
  <w:style w:type="character" w:customStyle="1" w:styleId="fontstyle11">
    <w:name w:val="fontstyle11"/>
    <w:basedOn w:val="DefaultParagraphFont"/>
    <w:rPr>
      <w:rFonts w:ascii="TimesNewRomanPSMT" w:hAnsi="TimesNewRomanPSMT" w:hint="default"/>
      <w:color w:val="808080"/>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noteTextChar">
    <w:name w:val="Footnote Text Char"/>
    <w:basedOn w:val="DefaultParagraphFont"/>
    <w:link w:val="FootnoteText"/>
    <w:uiPriority w:val="99"/>
    <w:semiHidden/>
    <w:rPr>
      <w:sz w:val="20"/>
      <w:szCs w:val="20"/>
    </w:r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BodyTextChar">
    <w:name w:val="Body Text Char"/>
    <w:basedOn w:val="DefaultParagraphFont"/>
    <w:link w:val="BodyText"/>
    <w:uiPriority w:val="99"/>
    <w:semiHidden/>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TableGrid1">
    <w:name w:val="Table Grid1"/>
    <w:basedOn w:val="TableNormal"/>
    <w:uiPriority w:val="59"/>
    <w:pPr>
      <w:spacing w:after="0" w:line="240" w:lineRule="auto"/>
    </w:pPr>
    <w:rPr>
      <w:rFonts w:ascii="Calibri" w:eastAsia="Times New Roman" w:hAnsi="Calibri" w:cs="Calibri"/>
      <w:color w:val="000000"/>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Normal1">
    <w:name w:val="Table Normal1"/>
    <w:uiPriority w:val="2"/>
    <w:unhideWhenUsed/>
    <w:qFormat/>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05127"/>
    <w:rPr>
      <w:color w:val="605E5C"/>
      <w:shd w:val="clear" w:color="auto" w:fill="E1DFDD"/>
    </w:rPr>
  </w:style>
  <w:style w:type="table" w:customStyle="1" w:styleId="TableGrid11">
    <w:name w:val="Table Grid11"/>
    <w:basedOn w:val="TableNormal"/>
    <w:next w:val="TableGrid"/>
    <w:uiPriority w:val="39"/>
    <w:rsid w:val="000B24D5"/>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950D1"/>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F05ED"/>
    <w:rPr>
      <w:rFonts w:asciiTheme="majorHAnsi" w:eastAsiaTheme="majorEastAsia" w:hAnsiTheme="majorHAnsi" w:cstheme="majorBidi"/>
      <w:color w:val="365F91" w:themeColor="accent1" w:themeShade="BF"/>
      <w:sz w:val="26"/>
      <w:szCs w:val="26"/>
      <w:lang w:val="en-US" w:eastAsia="en-US"/>
    </w:rPr>
  </w:style>
  <w:style w:type="table" w:customStyle="1" w:styleId="TableGrid3">
    <w:name w:val="Table Grid3"/>
    <w:basedOn w:val="TableNormal"/>
    <w:next w:val="TableGrid"/>
    <w:uiPriority w:val="39"/>
    <w:rsid w:val="005F05ED"/>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itle">
    <w:name w:val="IOP-CS-Title"/>
    <w:basedOn w:val="Normal"/>
    <w:link w:val="IOP-CS-TitleChar"/>
    <w:qFormat/>
    <w:rsid w:val="009065A6"/>
    <w:pPr>
      <w:spacing w:after="480" w:line="259" w:lineRule="auto"/>
    </w:pPr>
    <w:rPr>
      <w:rFonts w:asciiTheme="minorBidi" w:eastAsiaTheme="minorHAnsi" w:hAnsiTheme="minorBidi"/>
      <w:b/>
      <w:kern w:val="2"/>
      <w:sz w:val="36"/>
      <w:szCs w:val="36"/>
      <w:lang w:val="en-GB"/>
    </w:rPr>
  </w:style>
  <w:style w:type="character" w:customStyle="1" w:styleId="IOP-CS-TitleChar">
    <w:name w:val="IOP-CS-Title Char"/>
    <w:basedOn w:val="DefaultParagraphFont"/>
    <w:link w:val="IOP-CS-Title"/>
    <w:rsid w:val="009065A6"/>
    <w:rPr>
      <w:rFonts w:asciiTheme="minorBidi" w:eastAsiaTheme="minorHAnsi" w:hAnsiTheme="minorBidi" w:cstheme="minorBidi"/>
      <w:b/>
      <w:kern w:val="2"/>
      <w:sz w:val="36"/>
      <w:szCs w:val="36"/>
      <w:lang w:val="en-GB" w:eastAsia="en-US"/>
    </w:rPr>
  </w:style>
  <w:style w:type="paragraph" w:customStyle="1" w:styleId="IOP-CS-Affiliation">
    <w:name w:val="IOP-CS-Affiliation"/>
    <w:basedOn w:val="Normal"/>
    <w:link w:val="IOP-CS-AffiliationChar"/>
    <w:qFormat/>
    <w:rsid w:val="009065A6"/>
    <w:pPr>
      <w:spacing w:after="0" w:line="259" w:lineRule="auto"/>
      <w:ind w:left="1418"/>
    </w:pPr>
    <w:rPr>
      <w:rFonts w:ascii="Cambria" w:eastAsiaTheme="minorHAnsi" w:hAnsi="Cambria"/>
      <w:kern w:val="2"/>
      <w:sz w:val="20"/>
      <w:szCs w:val="20"/>
      <w:lang w:val="en-GB"/>
    </w:rPr>
  </w:style>
  <w:style w:type="character" w:customStyle="1" w:styleId="IOP-CS-AffiliationChar">
    <w:name w:val="IOP-CS-Affiliation Char"/>
    <w:basedOn w:val="DefaultParagraphFont"/>
    <w:link w:val="IOP-CS-Affiliation"/>
    <w:rsid w:val="009065A6"/>
    <w:rPr>
      <w:rFonts w:ascii="Cambria" w:eastAsiaTheme="minorHAnsi" w:hAnsi="Cambria" w:cstheme="minorBidi"/>
      <w:kern w:val="2"/>
      <w:lang w:val="en-GB" w:eastAsia="en-US"/>
    </w:rPr>
  </w:style>
  <w:style w:type="paragraph" w:customStyle="1" w:styleId="IOP-CS-BodyText">
    <w:name w:val="IOP-CS-BodyText"/>
    <w:link w:val="IOP-CS-BodyTextChar"/>
    <w:qFormat/>
    <w:rsid w:val="00CD1A91"/>
    <w:pPr>
      <w:spacing w:after="0"/>
      <w:ind w:firstLine="425"/>
      <w:jc w:val="both"/>
    </w:pPr>
    <w:rPr>
      <w:rFonts w:ascii="Cambria" w:eastAsiaTheme="minorHAnsi" w:hAnsi="Cambria" w:cstheme="minorBidi"/>
      <w:kern w:val="2"/>
      <w:sz w:val="22"/>
      <w:szCs w:val="22"/>
      <w:lang w:val="en-GB" w:eastAsia="en-US"/>
    </w:rPr>
  </w:style>
  <w:style w:type="character" w:customStyle="1" w:styleId="IOP-CS-BodyTextChar">
    <w:name w:val="IOP-CS-BodyText Char"/>
    <w:basedOn w:val="IOP-CS-AffiliationChar"/>
    <w:link w:val="IOP-CS-BodyText"/>
    <w:rsid w:val="00CD1A91"/>
    <w:rPr>
      <w:rFonts w:ascii="Cambria" w:eastAsiaTheme="minorHAnsi" w:hAnsi="Cambria" w:cstheme="minorBidi"/>
      <w:kern w:val="2"/>
      <w:sz w:val="22"/>
      <w:szCs w:val="22"/>
      <w:lang w:val="en-GB" w:eastAsia="en-US"/>
    </w:rPr>
  </w:style>
  <w:style w:type="paragraph" w:customStyle="1" w:styleId="IOP-CS-BodyNoIndent">
    <w:name w:val="IOP-CS-BodyNoIndent"/>
    <w:basedOn w:val="IOP-CS-BodyText"/>
    <w:next w:val="IOP-CS-BodyText"/>
    <w:link w:val="IOP-CS-BodyNoIndentChar"/>
    <w:qFormat/>
    <w:rsid w:val="00CD1A91"/>
    <w:pPr>
      <w:ind w:firstLine="0"/>
    </w:pPr>
  </w:style>
  <w:style w:type="character" w:customStyle="1" w:styleId="IOP-CS-BodyNoIndentChar">
    <w:name w:val="IOP-CS-BodyNoIndent Char"/>
    <w:basedOn w:val="IOP-CS-BodyTextChar"/>
    <w:link w:val="IOP-CS-BodyNoIndent"/>
    <w:rsid w:val="00CD1A91"/>
    <w:rPr>
      <w:rFonts w:ascii="Cambria" w:eastAsiaTheme="minorHAnsi" w:hAnsi="Cambria" w:cstheme="minorBidi"/>
      <w:kern w:val="2"/>
      <w:sz w:val="22"/>
      <w:szCs w:val="22"/>
      <w:lang w:val="en-GB" w:eastAsia="en-US"/>
    </w:rPr>
  </w:style>
  <w:style w:type="paragraph" w:customStyle="1" w:styleId="IOP-CS-SubsectionHeading">
    <w:name w:val="IOP-CS-SubsectionHeading"/>
    <w:next w:val="IOP-CS-BodyNoIndent"/>
    <w:link w:val="IOP-CS-SubsectionHeadingChar"/>
    <w:qFormat/>
    <w:rsid w:val="00884F27"/>
    <w:pPr>
      <w:spacing w:before="160" w:after="0"/>
    </w:pPr>
    <w:rPr>
      <w:rFonts w:ascii="Cambria" w:eastAsiaTheme="minorHAnsi" w:hAnsi="Cambria" w:cstheme="minorBidi"/>
      <w:i/>
      <w:iCs/>
      <w:kern w:val="2"/>
      <w:sz w:val="22"/>
      <w:szCs w:val="22"/>
      <w:lang w:val="en-GB" w:eastAsia="en-US"/>
    </w:rPr>
  </w:style>
  <w:style w:type="character" w:customStyle="1" w:styleId="IOP-CS-SubsectionHeadingChar">
    <w:name w:val="IOP-CS-SubsectionHeading Char"/>
    <w:basedOn w:val="IOP-CS-BodyTextChar"/>
    <w:link w:val="IOP-CS-SubsectionHeading"/>
    <w:rsid w:val="00884F27"/>
    <w:rPr>
      <w:rFonts w:ascii="Cambria" w:eastAsiaTheme="minorHAnsi" w:hAnsi="Cambria" w:cstheme="minorBidi"/>
      <w:i/>
      <w:iCs/>
      <w:kern w:val="2"/>
      <w:sz w:val="22"/>
      <w:szCs w:val="22"/>
      <w:lang w:val="en-GB" w:eastAsia="en-US"/>
    </w:rPr>
  </w:style>
  <w:style w:type="paragraph" w:customStyle="1" w:styleId="IOP-CS-SectionHead">
    <w:name w:val="IOP-CS-SectionHead"/>
    <w:next w:val="IOP-CS-BodyNoIndent"/>
    <w:link w:val="IOP-CS-SectionHeadChar"/>
    <w:qFormat/>
    <w:rsid w:val="00211BBB"/>
    <w:pPr>
      <w:spacing w:before="360" w:after="120"/>
    </w:pPr>
    <w:rPr>
      <w:rFonts w:ascii="Cambria" w:eastAsiaTheme="minorHAnsi" w:hAnsi="Cambria" w:cstheme="minorBidi"/>
      <w:b/>
      <w:bCs/>
      <w:kern w:val="2"/>
      <w:sz w:val="22"/>
      <w:szCs w:val="22"/>
      <w:lang w:val="en-GB" w:eastAsia="en-US"/>
    </w:rPr>
  </w:style>
  <w:style w:type="character" w:customStyle="1" w:styleId="IOP-CS-SectionHeadChar">
    <w:name w:val="IOP-CS-SectionHead Char"/>
    <w:basedOn w:val="IOP-CS-AffiliationChar"/>
    <w:link w:val="IOP-CS-SectionHead"/>
    <w:rsid w:val="00211BBB"/>
    <w:rPr>
      <w:rFonts w:ascii="Cambria" w:eastAsiaTheme="minorHAnsi" w:hAnsi="Cambria" w:cstheme="minorBidi"/>
      <w:b/>
      <w:bCs/>
      <w:kern w:val="2"/>
      <w:sz w:val="22"/>
      <w:szCs w:val="22"/>
      <w:lang w:val="en-GB" w:eastAsia="en-US"/>
    </w:rPr>
  </w:style>
  <w:style w:type="paragraph" w:customStyle="1" w:styleId="IOP-CS-CaptionText">
    <w:name w:val="IOP-CS-CaptionText"/>
    <w:link w:val="IOP-CS-CaptionTextChar"/>
    <w:qFormat/>
    <w:rsid w:val="00211BBB"/>
    <w:rPr>
      <w:rFonts w:ascii="Cambria" w:eastAsiaTheme="minorHAnsi" w:hAnsi="Cambria" w:cstheme="minorBidi"/>
      <w:kern w:val="2"/>
      <w:szCs w:val="22"/>
      <w:lang w:val="en-GB" w:eastAsia="en-US"/>
    </w:rPr>
  </w:style>
  <w:style w:type="character" w:customStyle="1" w:styleId="IOP-CS-CaptionTextChar">
    <w:name w:val="IOP-CS-CaptionText Char"/>
    <w:basedOn w:val="DefaultParagraphFont"/>
    <w:link w:val="IOP-CS-CaptionText"/>
    <w:rsid w:val="00211BBB"/>
    <w:rPr>
      <w:rFonts w:ascii="Cambria" w:eastAsiaTheme="minorHAnsi" w:hAnsi="Cambria" w:cstheme="minorBidi"/>
      <w:kern w:val="2"/>
      <w:szCs w:val="22"/>
      <w:lang w:val="en-GB" w:eastAsia="en-US"/>
    </w:rPr>
  </w:style>
  <w:style w:type="paragraph" w:customStyle="1" w:styleId="IOP-CS-ReferenceText">
    <w:name w:val="IOP-CS-ReferenceText"/>
    <w:link w:val="IOP-CS-ReferenceTextChar"/>
    <w:qFormat/>
    <w:rsid w:val="00211BBB"/>
    <w:pPr>
      <w:spacing w:after="0"/>
    </w:pPr>
    <w:rPr>
      <w:rFonts w:ascii="Cambria" w:eastAsiaTheme="minorHAnsi" w:hAnsi="Cambria" w:cstheme="minorBidi"/>
      <w:kern w:val="2"/>
      <w:sz w:val="18"/>
      <w:szCs w:val="22"/>
      <w:lang w:val="en-GB" w:eastAsia="en-US"/>
    </w:rPr>
  </w:style>
  <w:style w:type="character" w:customStyle="1" w:styleId="IOP-CS-ReferenceTextChar">
    <w:name w:val="IOP-CS-ReferenceText Char"/>
    <w:basedOn w:val="DefaultParagraphFont"/>
    <w:link w:val="IOP-CS-ReferenceText"/>
    <w:rsid w:val="00211BBB"/>
    <w:rPr>
      <w:rFonts w:ascii="Cambria" w:eastAsiaTheme="minorHAnsi" w:hAnsi="Cambria" w:cstheme="minorBidi"/>
      <w:kern w:val="2"/>
      <w:sz w:val="18"/>
      <w:szCs w:val="22"/>
      <w:lang w:val="en-GB" w:eastAsia="en-US"/>
    </w:rPr>
  </w:style>
  <w:style w:type="character" w:styleId="Strong">
    <w:name w:val="Strong"/>
    <w:basedOn w:val="DefaultParagraphFont"/>
    <w:uiPriority w:val="22"/>
    <w:qFormat/>
    <w:rsid w:val="00211BBB"/>
    <w:rPr>
      <w:b/>
      <w:bCs/>
    </w:rPr>
  </w:style>
  <w:style w:type="paragraph" w:styleId="Caption">
    <w:name w:val="caption"/>
    <w:basedOn w:val="Normal"/>
    <w:next w:val="Normal"/>
    <w:uiPriority w:val="35"/>
    <w:unhideWhenUsed/>
    <w:qFormat/>
    <w:rsid w:val="00FF525D"/>
    <w:pPr>
      <w:spacing w:line="240" w:lineRule="auto"/>
    </w:pPr>
    <w:rPr>
      <w:i/>
      <w:iCs/>
      <w:color w:val="1F497D" w:themeColor="text2"/>
      <w:sz w:val="18"/>
      <w:szCs w:val="18"/>
    </w:rPr>
  </w:style>
  <w:style w:type="paragraph" w:styleId="ListParagraph">
    <w:name w:val="List Paragraph"/>
    <w:basedOn w:val="Normal"/>
    <w:uiPriority w:val="99"/>
    <w:unhideWhenUsed/>
    <w:rsid w:val="008606AC"/>
    <w:pPr>
      <w:ind w:left="720"/>
      <w:contextualSpacing/>
    </w:pPr>
  </w:style>
  <w:style w:type="character" w:customStyle="1" w:styleId="Heading3Char">
    <w:name w:val="Heading 3 Char"/>
    <w:basedOn w:val="DefaultParagraphFont"/>
    <w:link w:val="Heading3"/>
    <w:uiPriority w:val="9"/>
    <w:semiHidden/>
    <w:rsid w:val="00895421"/>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D836353-87B0-433B-9B64-8543581165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9</Pages>
  <Words>4081</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cp:lastModifiedBy>
  <cp:revision>63</cp:revision>
  <dcterms:created xsi:type="dcterms:W3CDTF">2023-09-20T13:19:00Z</dcterms:created>
  <dcterms:modified xsi:type="dcterms:W3CDTF">2026-05-13T08:44:00Z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id="zPQDo9Zl"/&gt;&lt;style id="http://www.zotero.org/styles/american-medical-association" hasBibliography="1" bibliographyStyleHasBeenSet="1"/&gt;&lt;prefs&gt;&lt;pref name="fieldType" value="Field"/&gt;&lt;/prefs&gt;&lt;/data&gt;</vt:lpwstr>
  </property>
  <property fmtid="{D5CDD505-2E9C-101B-9397-08002B2CF9AE}" pid="3" name="GrammarlyDocumentId">
    <vt:lpwstr>37a9cbb7ff2d4af5cc9113676e5fb47742e834ad6cf80b6f7b85ce9ce0d4e160</vt:lpwstr>
  </property>
  <property fmtid="{D5CDD505-2E9C-101B-9397-08002B2CF9AE}" pid="4" name="ICV">
    <vt:lpwstr>E80F0BF14D99EB7DFDF8E366968DA6E8_32</vt:lpwstr>
  </property>
  <property fmtid="{D5CDD505-2E9C-101B-9397-08002B2CF9AE}" pid="5" name="KSOProductBuildVer">
    <vt:lpwstr>3081-11.33.82</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http://www.zotero.org/styles/vancouver-superscript</vt:lpwstr>
  </property>
  <property fmtid="{D5CDD505-2E9C-101B-9397-08002B2CF9AE}" pid="25" name="Mendeley Recent Style Name 9_1">
    <vt:lpwstr>Vancouver (superscript)</vt:lpwstr>
  </property>
  <property fmtid="{D5CDD505-2E9C-101B-9397-08002B2CF9AE}" pid="26" name="Mendeley Citation Style_1">
    <vt:lpwstr>http://www.zotero.org/styles/vancouver-superscript</vt:lpwstr>
  </property>
  <property fmtid="{D5CDD505-2E9C-101B-9397-08002B2CF9AE}" pid="27" name="Mendeley Document_1">
    <vt:lpwstr>True</vt:lpwstr>
  </property>
  <property fmtid="{D5CDD505-2E9C-101B-9397-08002B2CF9AE}" pid="28" name="Mendeley Unique User Id_1">
    <vt:lpwstr>ef362582-6042-3190-8e6f-83a40c12b2fa</vt:lpwstr>
  </property>
</Properties>
</file>