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161F" w14:textId="4BA1F21B" w:rsidR="009065A6" w:rsidRPr="00A20750" w:rsidRDefault="00E91078" w:rsidP="00256FF2">
      <w:pPr>
        <w:pStyle w:val="IOP-CS-Title"/>
        <w:spacing w:line="240" w:lineRule="auto"/>
        <w:rPr>
          <w:rFonts w:ascii="Times New Roman" w:hAnsi="Times New Roman" w:cs="Times New Roman"/>
          <w:sz w:val="24"/>
          <w:szCs w:val="24"/>
        </w:rPr>
      </w:pPr>
      <w:bookmarkStart w:id="0" w:name="_Hlk76812466"/>
      <w:bookmarkStart w:id="1" w:name="_Hlk164947491"/>
      <w:r w:rsidRPr="00A20750">
        <w:rPr>
          <w:rFonts w:ascii="Times New Roman" w:hAnsi="Times New Roman" w:cs="Times New Roman"/>
          <w:sz w:val="24"/>
          <w:szCs w:val="24"/>
          <w:lang w:val="en-US"/>
        </w:rPr>
        <w:t>Hyperbaric Oxygen Therapy Reverses Periodontitis-Associated Porphyromonas gingivalis–Induced Cognitive Impairment in Sprague–Dawley Rats</w:t>
      </w:r>
    </w:p>
    <w:p w14:paraId="4966B537" w14:textId="1F75F7BC" w:rsidR="00233ECA" w:rsidRPr="00A20750" w:rsidRDefault="00233ECA" w:rsidP="00256FF2">
      <w:pPr>
        <w:spacing w:after="0" w:line="240" w:lineRule="auto"/>
        <w:jc w:val="both"/>
        <w:rPr>
          <w:rFonts w:ascii="Times New Roman" w:eastAsia="Times New Roman" w:hAnsi="Times New Roman" w:cs="Times New Roman"/>
          <w:b/>
          <w:bCs/>
          <w:sz w:val="24"/>
          <w:szCs w:val="24"/>
        </w:rPr>
      </w:pPr>
    </w:p>
    <w:bookmarkEnd w:id="0"/>
    <w:bookmarkEnd w:id="1"/>
    <w:p w14:paraId="16766E16" w14:textId="4E30008F" w:rsidR="00992249" w:rsidRPr="009572FE" w:rsidRDefault="00AF78BE" w:rsidP="009572FE">
      <w:pPr>
        <w:spacing w:line="240" w:lineRule="auto"/>
        <w:jc w:val="both"/>
        <w:outlineLvl w:val="0"/>
        <w:rPr>
          <w:rFonts w:ascii="Times New Roman" w:hAnsi="Times New Roman" w:cs="Times New Roman"/>
          <w:b/>
          <w:sz w:val="24"/>
          <w:szCs w:val="24"/>
        </w:rPr>
      </w:pPr>
      <w:r w:rsidRPr="00A20750">
        <w:rPr>
          <w:rFonts w:ascii="Times New Roman" w:hAnsi="Times New Roman" w:cs="Times New Roman"/>
          <w:b/>
          <w:sz w:val="24"/>
          <w:szCs w:val="24"/>
        </w:rPr>
        <w:t>Abstract</w:t>
      </w:r>
    </w:p>
    <w:p w14:paraId="5869FD2F" w14:textId="77777777" w:rsidR="00992249" w:rsidRPr="00992249" w:rsidRDefault="00992249" w:rsidP="00992249">
      <w:pPr>
        <w:spacing w:after="0" w:line="240" w:lineRule="auto"/>
        <w:jc w:val="both"/>
        <w:outlineLvl w:val="0"/>
        <w:rPr>
          <w:rFonts w:ascii="Times New Roman" w:hAnsi="Times New Roman" w:cs="Times New Roman"/>
          <w:sz w:val="24"/>
          <w:szCs w:val="24"/>
          <w:lang w:val="en-ID"/>
        </w:rPr>
      </w:pPr>
      <w:r w:rsidRPr="00992249">
        <w:rPr>
          <w:rFonts w:ascii="Times New Roman" w:hAnsi="Times New Roman" w:cs="Times New Roman"/>
          <w:b/>
          <w:bCs/>
          <w:sz w:val="24"/>
          <w:szCs w:val="24"/>
          <w:lang w:val="en-ID"/>
        </w:rPr>
        <w:t>Introduction</w:t>
      </w:r>
      <w:r w:rsidRPr="00992249">
        <w:rPr>
          <w:rFonts w:ascii="Times New Roman" w:hAnsi="Times New Roman" w:cs="Times New Roman"/>
          <w:sz w:val="24"/>
          <w:szCs w:val="24"/>
          <w:lang w:val="en-ID"/>
        </w:rPr>
        <w:t>: Porphyromonas gingivalis, a key periodontal pathogen, has been increasingly associated with systemic inflammation and neuroinflammatory processes that may contribute to cognitive impairment. Hyperbaric Oxygen Therapy (HBOT) has been proposed as a potential intervention due to its anti-inflammatory and neuroprotective properties.</w:t>
      </w:r>
    </w:p>
    <w:p w14:paraId="561C7AD4" w14:textId="77777777" w:rsidR="00992249" w:rsidRPr="00992249" w:rsidRDefault="00992249" w:rsidP="00992249">
      <w:pPr>
        <w:spacing w:after="0" w:line="240" w:lineRule="auto"/>
        <w:jc w:val="both"/>
        <w:outlineLvl w:val="0"/>
        <w:rPr>
          <w:rFonts w:ascii="Times New Roman" w:hAnsi="Times New Roman" w:cs="Times New Roman"/>
          <w:sz w:val="24"/>
          <w:szCs w:val="24"/>
          <w:lang w:val="en-ID"/>
        </w:rPr>
      </w:pPr>
      <w:r w:rsidRPr="00992249">
        <w:rPr>
          <w:rFonts w:ascii="Times New Roman" w:hAnsi="Times New Roman" w:cs="Times New Roman"/>
          <w:b/>
          <w:bCs/>
          <w:sz w:val="24"/>
          <w:szCs w:val="24"/>
          <w:lang w:val="en-ID"/>
        </w:rPr>
        <w:t>Methods</w:t>
      </w:r>
      <w:r w:rsidRPr="00992249">
        <w:rPr>
          <w:rFonts w:ascii="Times New Roman" w:hAnsi="Times New Roman" w:cs="Times New Roman"/>
          <w:sz w:val="24"/>
          <w:szCs w:val="24"/>
          <w:lang w:val="en-ID"/>
        </w:rPr>
        <w:t>: An experimental study was conducted using 22 male Sprague–Dawley rats divided into control and treatment groups (n=11 each). Periodontitis was induced via gingival injection of P. gingivalis (1 × 10⁹ CFU/mL) for five weeks. HBOT was administered at 2.0 atmospheres absolute for 60 minutes per session, five times per week for four weeks. Spatial working memory was assessed using the Y-maze spontaneous alternation test at baseline, post-induction (week 5), and post-treatment (week 9). Statistical analyses included repeated-measures ANOVA, paired t-tests, and non-parametric tests with p &lt; 0.05 considered significant.</w:t>
      </w:r>
    </w:p>
    <w:p w14:paraId="464FA4AC" w14:textId="0108706F" w:rsidR="00992249" w:rsidRPr="00992249" w:rsidRDefault="00992249" w:rsidP="00992249">
      <w:pPr>
        <w:spacing w:after="0" w:line="240" w:lineRule="auto"/>
        <w:jc w:val="both"/>
        <w:outlineLvl w:val="0"/>
        <w:rPr>
          <w:rFonts w:ascii="Times New Roman" w:hAnsi="Times New Roman" w:cs="Times New Roman"/>
          <w:sz w:val="24"/>
          <w:szCs w:val="24"/>
          <w:lang w:val="en-ID"/>
        </w:rPr>
      </w:pPr>
      <w:r w:rsidRPr="00992249">
        <w:rPr>
          <w:rFonts w:ascii="Times New Roman" w:hAnsi="Times New Roman" w:cs="Times New Roman"/>
          <w:b/>
          <w:bCs/>
          <w:sz w:val="24"/>
          <w:szCs w:val="24"/>
          <w:lang w:val="en-ID"/>
        </w:rPr>
        <w:t>Results</w:t>
      </w:r>
      <w:r w:rsidRPr="00992249">
        <w:rPr>
          <w:rFonts w:ascii="Times New Roman" w:hAnsi="Times New Roman" w:cs="Times New Roman"/>
          <w:sz w:val="24"/>
          <w:szCs w:val="24"/>
          <w:lang w:val="en-ID"/>
        </w:rPr>
        <w:t>:</w:t>
      </w:r>
      <w:r w:rsidRPr="00992249">
        <w:rPr>
          <w:rFonts w:ascii="Times New Roman" w:hAnsi="Times New Roman" w:cs="Times New Roman"/>
          <w:sz w:val="24"/>
          <w:szCs w:val="24"/>
          <w:lang w:val="en-ID"/>
        </w:rPr>
        <w:t xml:space="preserve"> Induction with P. gingivalis resulted in a marked decline in spatial working memory in the treatment group at week 5. Following HBOT administration, significant improvement in Y-maze performance was observed at week 9 (p &lt; 0.05), while no significant changes occurred in the control group.</w:t>
      </w:r>
    </w:p>
    <w:p w14:paraId="676A257B" w14:textId="124ED0E0" w:rsidR="00604DB0" w:rsidRPr="00992249" w:rsidRDefault="00992249" w:rsidP="00992249">
      <w:pPr>
        <w:spacing w:after="0" w:line="240" w:lineRule="auto"/>
        <w:jc w:val="both"/>
        <w:outlineLvl w:val="0"/>
        <w:rPr>
          <w:rFonts w:ascii="Times New Roman" w:hAnsi="Times New Roman" w:cs="Times New Roman"/>
          <w:sz w:val="24"/>
          <w:szCs w:val="24"/>
          <w:lang w:val="en-ID"/>
        </w:rPr>
      </w:pPr>
      <w:r w:rsidRPr="00992249">
        <w:rPr>
          <w:rFonts w:ascii="Times New Roman" w:hAnsi="Times New Roman" w:cs="Times New Roman"/>
          <w:b/>
          <w:bCs/>
          <w:sz w:val="24"/>
          <w:szCs w:val="24"/>
          <w:lang w:val="en-ID"/>
        </w:rPr>
        <w:t>Conclusion</w:t>
      </w:r>
      <w:r w:rsidRPr="00992249">
        <w:rPr>
          <w:rFonts w:ascii="Times New Roman" w:hAnsi="Times New Roman" w:cs="Times New Roman"/>
          <w:sz w:val="24"/>
          <w:szCs w:val="24"/>
          <w:lang w:val="en-ID"/>
        </w:rPr>
        <w:t>: HBOT improved spatial working memory impairment associated with P. gingivalis-induced periodontitis. These findings suggest a potential role of HBOT in modulating neuroinflammatory processes and mitigating cognitive dysfunction related to chronic periodontal infection.</w:t>
      </w:r>
    </w:p>
    <w:p w14:paraId="1BE3DA12" w14:textId="77777777" w:rsidR="00992249" w:rsidRDefault="00992249" w:rsidP="00256FF2">
      <w:pPr>
        <w:spacing w:after="0" w:line="240" w:lineRule="auto"/>
        <w:jc w:val="both"/>
        <w:outlineLvl w:val="0"/>
        <w:rPr>
          <w:rFonts w:ascii="Times New Roman" w:hAnsi="Times New Roman" w:cs="Times New Roman"/>
          <w:b/>
          <w:bCs/>
          <w:sz w:val="24"/>
          <w:szCs w:val="24"/>
          <w:lang w:val="en-ID"/>
        </w:rPr>
      </w:pPr>
    </w:p>
    <w:p w14:paraId="79EBA289" w14:textId="74AFEB54"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Keywords:</w:t>
      </w:r>
      <w:r w:rsidRPr="00A20750">
        <w:rPr>
          <w:rFonts w:ascii="Times New Roman" w:hAnsi="Times New Roman" w:cs="Times New Roman"/>
          <w:sz w:val="24"/>
          <w:szCs w:val="24"/>
          <w:lang w:val="en-ID"/>
        </w:rPr>
        <w:t xml:space="preserve"> Hyperbaric oxygen therapy; Porphyromonas gingivalis; Periodontitis; Neuroinflammation; Blood–brain barrier; Spatial working memory; Y-maze; Sprague–Dawley rats</w:t>
      </w:r>
    </w:p>
    <w:p w14:paraId="208BC60E" w14:textId="77777777" w:rsidR="002F7D66" w:rsidRPr="00A20750" w:rsidRDefault="002F7D66" w:rsidP="00256FF2">
      <w:pPr>
        <w:spacing w:after="0" w:line="240" w:lineRule="auto"/>
        <w:jc w:val="both"/>
        <w:outlineLvl w:val="0"/>
        <w:rPr>
          <w:rFonts w:ascii="Times New Roman" w:hAnsi="Times New Roman" w:cs="Times New Roman"/>
          <w:sz w:val="24"/>
          <w:szCs w:val="24"/>
        </w:rPr>
      </w:pPr>
    </w:p>
    <w:p w14:paraId="3CC1B392" w14:textId="77777777" w:rsidR="0085225B" w:rsidRPr="00A20750" w:rsidRDefault="0085225B" w:rsidP="00256FF2">
      <w:pPr>
        <w:spacing w:after="0" w:line="240" w:lineRule="auto"/>
        <w:rPr>
          <w:rFonts w:ascii="Times New Roman" w:hAnsi="Times New Roman" w:cs="Times New Roman"/>
          <w:b/>
          <w:sz w:val="24"/>
          <w:szCs w:val="24"/>
        </w:rPr>
      </w:pPr>
    </w:p>
    <w:p w14:paraId="7C1B09CB" w14:textId="07CEE7B5" w:rsidR="002F7D66" w:rsidRPr="00A20750" w:rsidRDefault="00AF78BE" w:rsidP="00256FF2">
      <w:pPr>
        <w:spacing w:after="0" w:line="240" w:lineRule="auto"/>
        <w:rPr>
          <w:rFonts w:ascii="Times New Roman" w:hAnsi="Times New Roman" w:cs="Times New Roman"/>
          <w:b/>
          <w:sz w:val="24"/>
          <w:szCs w:val="24"/>
        </w:rPr>
      </w:pPr>
      <w:r w:rsidRPr="00A20750">
        <w:rPr>
          <w:rFonts w:ascii="Times New Roman" w:hAnsi="Times New Roman" w:cs="Times New Roman"/>
          <w:b/>
          <w:sz w:val="24"/>
          <w:szCs w:val="24"/>
        </w:rPr>
        <w:t>Introduction</w:t>
      </w:r>
    </w:p>
    <w:p w14:paraId="1073ECA0" w14:textId="3FFA331E"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Periodontitis is a chronic inflammatory disease affecting the supporting tissues of the teeth and represents a major cause of tooth loss worldwide. One of the principal pathogens involved in the pathogenesis of periodontitis is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iCs/>
          <w:kern w:val="2"/>
          <w:sz w:val="24"/>
          <w:szCs w:val="24"/>
          <w:lang w:val="en-ID"/>
        </w:rPr>
        <w:t xml:space="preserve">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a Gram-negative obligate anaerobic bacterium.</w:t>
      </w:r>
      <w:r w:rsidR="00673D90" w:rsidRPr="009572FE">
        <w:rPr>
          <w:rFonts w:ascii="Times New Roman" w:eastAsiaTheme="minorHAnsi" w:hAnsi="Times New Roman" w:cs="Times New Roman"/>
          <w:iCs/>
          <w:kern w:val="2"/>
          <w:sz w:val="24"/>
          <w:szCs w:val="24"/>
          <w:vertAlign w:val="superscript"/>
          <w:lang w:val="en-ID"/>
        </w:rPr>
        <w:t>1</w:t>
      </w:r>
      <w:r w:rsidRPr="00A20750">
        <w:rPr>
          <w:rFonts w:ascii="Times New Roman" w:eastAsiaTheme="minorHAnsi" w:hAnsi="Times New Roman" w:cs="Times New Roman"/>
          <w:iCs/>
          <w:kern w:val="2"/>
          <w:sz w:val="24"/>
          <w:szCs w:val="24"/>
          <w:lang w:val="en-ID"/>
        </w:rPr>
        <w:t xml:space="preserve">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produces several virulence factors, including gingipain proteases and lipopolysaccharide (LPS), which contribute to periodontal tissue destruction and dysregulation of host immune responses, ultimately leading to alveolar bone resorption and tooth loss.</w:t>
      </w:r>
      <w:r w:rsidR="00673D90" w:rsidRPr="00673D90">
        <w:rPr>
          <w:rFonts w:ascii="Times New Roman" w:eastAsiaTheme="minorHAnsi" w:hAnsi="Times New Roman" w:cs="Times New Roman"/>
          <w:iCs/>
          <w:kern w:val="2"/>
          <w:sz w:val="24"/>
          <w:szCs w:val="24"/>
          <w:vertAlign w:val="superscript"/>
          <w:lang w:val="en-ID"/>
        </w:rPr>
        <w:t>2</w:t>
      </w:r>
      <w:r w:rsidRPr="00A20750">
        <w:rPr>
          <w:rFonts w:ascii="Times New Roman" w:eastAsiaTheme="minorHAnsi" w:hAnsi="Times New Roman" w:cs="Times New Roman"/>
          <w:iCs/>
          <w:kern w:val="2"/>
          <w:sz w:val="24"/>
          <w:szCs w:val="24"/>
          <w:lang w:val="en-ID"/>
        </w:rPr>
        <w:t xml:space="preserve"> Beyond its local effects in the oral cavity, increasing evidence suggests that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infection is associated with systemic diseases, including cardiovascular disorders and neurodegenerative conditions, through mechanisms involving systemic inflammation and microbial dissemination.</w:t>
      </w:r>
      <w:r w:rsidR="00673D90" w:rsidRPr="00673D90">
        <w:rPr>
          <w:rFonts w:ascii="Times New Roman" w:eastAsiaTheme="minorHAnsi" w:hAnsi="Times New Roman" w:cs="Times New Roman"/>
          <w:iCs/>
          <w:kern w:val="2"/>
          <w:sz w:val="24"/>
          <w:szCs w:val="24"/>
          <w:vertAlign w:val="superscript"/>
          <w:lang w:val="en-ID"/>
        </w:rPr>
        <w:t>3</w:t>
      </w:r>
    </w:p>
    <w:p w14:paraId="4A49772A" w14:textId="608E35D0"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Cognitive impairment is characterized by deficits in memory, attention, and executive function, with severity ranging from mild cognitive impairment (MCI) to severe neurodegenerative disorders such as dementia and Alzheimer’s disease.</w:t>
      </w:r>
      <w:r w:rsidR="00673D90" w:rsidRPr="00673D90">
        <w:rPr>
          <w:rFonts w:ascii="Times New Roman" w:eastAsiaTheme="minorHAnsi" w:hAnsi="Times New Roman" w:cs="Times New Roman"/>
          <w:iCs/>
          <w:kern w:val="2"/>
          <w:sz w:val="24"/>
          <w:szCs w:val="24"/>
          <w:vertAlign w:val="superscript"/>
          <w:lang w:val="en-ID"/>
        </w:rPr>
        <w:t>4</w:t>
      </w:r>
      <w:r w:rsidRPr="00A20750">
        <w:rPr>
          <w:rFonts w:ascii="Times New Roman" w:eastAsiaTheme="minorHAnsi" w:hAnsi="Times New Roman" w:cs="Times New Roman"/>
          <w:iCs/>
          <w:kern w:val="2"/>
          <w:sz w:val="24"/>
          <w:szCs w:val="24"/>
          <w:lang w:val="en-ID"/>
        </w:rPr>
        <w:t xml:space="preserve"> Gingipains, which are proteolytic enzymes produced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are capable of degrading host proteins, including structural components </w:t>
      </w:r>
      <w:r w:rsidRPr="00A20750">
        <w:rPr>
          <w:rFonts w:ascii="Times New Roman" w:eastAsiaTheme="minorHAnsi" w:hAnsi="Times New Roman" w:cs="Times New Roman"/>
          <w:iCs/>
          <w:kern w:val="2"/>
          <w:sz w:val="24"/>
          <w:szCs w:val="24"/>
          <w:lang w:val="en-ID"/>
        </w:rPr>
        <w:lastRenderedPageBreak/>
        <w:t>of epithelial and endothelial barriers. This activity may compromise tissue integrity and increase permeability of the blood–brain barrier (BBB), thereby facilitating the entry of inflammatory mediators and bacterial components into the central nervous system.</w:t>
      </w:r>
      <w:r w:rsidR="00673D90" w:rsidRPr="00673D90">
        <w:rPr>
          <w:rFonts w:ascii="Times New Roman" w:eastAsiaTheme="minorHAnsi" w:hAnsi="Times New Roman" w:cs="Times New Roman"/>
          <w:iCs/>
          <w:kern w:val="2"/>
          <w:sz w:val="24"/>
          <w:szCs w:val="24"/>
          <w:vertAlign w:val="superscript"/>
          <w:lang w:val="en-ID"/>
        </w:rPr>
        <w:t>5</w:t>
      </w:r>
    </w:p>
    <w:p w14:paraId="7F6D5335" w14:textId="5C60FAF6"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The combined activity of LPS and gingipain not only triggers a local inflammatory response in gingival tissues but also facilitates the translocation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and its virulence factors into the systemic circulation, leading to </w:t>
      </w:r>
      <w:proofErr w:type="spellStart"/>
      <w:r w:rsidRPr="00A20750">
        <w:rPr>
          <w:rFonts w:ascii="Times New Roman" w:eastAsiaTheme="minorHAnsi" w:hAnsi="Times New Roman" w:cs="Times New Roman"/>
          <w:iCs/>
          <w:kern w:val="2"/>
          <w:sz w:val="24"/>
          <w:szCs w:val="24"/>
          <w:lang w:val="en-ID"/>
        </w:rPr>
        <w:t>bacteremia</w:t>
      </w:r>
      <w:proofErr w:type="spellEnd"/>
      <w:r w:rsidRPr="00A20750">
        <w:rPr>
          <w:rFonts w:ascii="Times New Roman" w:eastAsiaTheme="minorHAnsi" w:hAnsi="Times New Roman" w:cs="Times New Roman"/>
          <w:iCs/>
          <w:kern w:val="2"/>
          <w:sz w:val="24"/>
          <w:szCs w:val="24"/>
          <w:lang w:val="en-ID"/>
        </w:rPr>
        <w:t>. Within the bloodstream, LPS binds to soluble CD14 molecules and activates endothelial cells and monocytes, while gingipain modulates complement activation and coagulation pathways. These interactions promote a persistent low-grade systemic inflammatory state that contributes to disruption of blood–brain barrier function.</w:t>
      </w:r>
      <w:r w:rsidR="00673D90" w:rsidRPr="00673D90">
        <w:rPr>
          <w:rFonts w:ascii="Times New Roman" w:eastAsiaTheme="minorHAnsi" w:hAnsi="Times New Roman" w:cs="Times New Roman"/>
          <w:iCs/>
          <w:kern w:val="2"/>
          <w:sz w:val="24"/>
          <w:szCs w:val="24"/>
          <w:vertAlign w:val="superscript"/>
          <w:lang w:val="en-ID"/>
        </w:rPr>
        <w:t>6</w:t>
      </w:r>
      <w:r w:rsidR="00673D90" w:rsidRPr="00F84464">
        <w:rPr>
          <w:rFonts w:ascii="Times New Roman" w:eastAsiaTheme="minorHAnsi" w:hAnsi="Times New Roman" w:cs="Times New Roman"/>
          <w:iCs/>
          <w:kern w:val="2"/>
          <w:sz w:val="24"/>
          <w:szCs w:val="24"/>
          <w:lang w:val="en-ID"/>
        </w:rPr>
        <w:t>,</w:t>
      </w:r>
      <w:r w:rsidR="00673D90" w:rsidRPr="00673D90">
        <w:rPr>
          <w:rFonts w:ascii="Times New Roman" w:eastAsiaTheme="minorHAnsi" w:hAnsi="Times New Roman" w:cs="Times New Roman"/>
          <w:iCs/>
          <w:kern w:val="2"/>
          <w:sz w:val="24"/>
          <w:szCs w:val="24"/>
          <w:vertAlign w:val="superscript"/>
          <w:lang w:val="en-ID"/>
        </w:rPr>
        <w:t>7</w:t>
      </w:r>
    </w:p>
    <w:p w14:paraId="201E0700" w14:textId="61F768A9"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Due to systemic inflammation and epithelial–endothelial barrier disruption induced by LPS and gingipain,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may access the central nervous system through several mechanisms. These include: (1) disruption of tight intercellular junctions that form critical components of the blood–brain barrier caused by gingipain-mediated proteolytic activity;</w:t>
      </w:r>
      <w:r w:rsidR="00924672" w:rsidRPr="00924672">
        <w:rPr>
          <w:rFonts w:ascii="Times New Roman" w:eastAsiaTheme="minorHAnsi" w:hAnsi="Times New Roman" w:cs="Times New Roman"/>
          <w:iCs/>
          <w:kern w:val="2"/>
          <w:sz w:val="24"/>
          <w:szCs w:val="24"/>
          <w:vertAlign w:val="superscript"/>
          <w:lang w:val="en-ID"/>
        </w:rPr>
        <w:t xml:space="preserve"> </w:t>
      </w:r>
      <w:r w:rsidR="00924672" w:rsidRPr="00924672">
        <w:rPr>
          <w:rFonts w:ascii="Times New Roman" w:eastAsiaTheme="minorHAnsi" w:hAnsi="Times New Roman" w:cs="Times New Roman"/>
          <w:iCs/>
          <w:kern w:val="2"/>
          <w:sz w:val="24"/>
          <w:szCs w:val="24"/>
          <w:vertAlign w:val="superscript"/>
          <w:lang w:val="en-ID"/>
        </w:rPr>
        <w:t>8</w:t>
      </w:r>
      <w:r w:rsidRPr="00A20750">
        <w:rPr>
          <w:rFonts w:ascii="Times New Roman" w:eastAsiaTheme="minorHAnsi" w:hAnsi="Times New Roman" w:cs="Times New Roman"/>
          <w:iCs/>
          <w:kern w:val="2"/>
          <w:sz w:val="24"/>
          <w:szCs w:val="24"/>
          <w:lang w:val="en-ID"/>
        </w:rPr>
        <w:t xml:space="preserve"> (2) transcellular transport of LPS mediated by Toll-like receptor-4 (TLR4) activation; and (3) retrograde migration through cranial nerves, particularly the trigeminal nerve </w:t>
      </w:r>
      <w:r w:rsidR="00673D90" w:rsidRPr="00A20750">
        <w:rPr>
          <w:rFonts w:ascii="Times New Roman" w:eastAsiaTheme="minorHAnsi" w:hAnsi="Times New Roman" w:cs="Times New Roman"/>
          <w:iCs/>
          <w:kern w:val="2"/>
          <w:sz w:val="24"/>
          <w:szCs w:val="24"/>
          <w:lang w:val="en-ID"/>
        </w:rPr>
        <w:t>16</w:t>
      </w:r>
      <w:r w:rsidRPr="00A20750">
        <w:rPr>
          <w:rFonts w:ascii="Times New Roman" w:eastAsiaTheme="minorHAnsi" w:hAnsi="Times New Roman" w:cs="Times New Roman"/>
          <w:iCs/>
          <w:kern w:val="2"/>
          <w:sz w:val="24"/>
          <w:szCs w:val="24"/>
          <w:lang w:val="en-ID"/>
        </w:rPr>
        <w:t>. These pathways enable bacterial components to reach brain tissue and trigger neuroinflammatory processes that may contribute to cognitive decline.</w:t>
      </w:r>
    </w:p>
    <w:p w14:paraId="3AFF5076" w14:textId="04CFD9A1"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Neuroinflammatory responses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infection involve activation of microglia, increased production of pro-inflammatory cytokines, and oxidative stress within neural tissue. These processes are associated with neuronal damage and impairment of synaptic function in brain regions responsible for learning and memory, particularly the hippocampus.</w:t>
      </w:r>
      <w:r w:rsidR="00924672" w:rsidRPr="00924672">
        <w:rPr>
          <w:rFonts w:ascii="Times New Roman" w:eastAsiaTheme="minorHAnsi" w:hAnsi="Times New Roman" w:cs="Times New Roman"/>
          <w:iCs/>
          <w:kern w:val="2"/>
          <w:sz w:val="24"/>
          <w:szCs w:val="24"/>
          <w:vertAlign w:val="superscript"/>
          <w:lang w:val="en-ID"/>
        </w:rPr>
        <w:t>26</w:t>
      </w:r>
      <w:r w:rsidR="00924672" w:rsidRPr="00924672">
        <w:rPr>
          <w:rFonts w:ascii="Times New Roman" w:eastAsiaTheme="minorHAnsi" w:hAnsi="Times New Roman" w:cs="Times New Roman"/>
          <w:iCs/>
          <w:kern w:val="2"/>
          <w:sz w:val="24"/>
          <w:szCs w:val="24"/>
          <w:lang w:val="en-ID"/>
        </w:rPr>
        <w:t>,</w:t>
      </w:r>
      <w:r w:rsidR="00924672" w:rsidRPr="00924672">
        <w:rPr>
          <w:rFonts w:ascii="Times New Roman" w:eastAsiaTheme="minorHAnsi" w:hAnsi="Times New Roman" w:cs="Times New Roman"/>
          <w:iCs/>
          <w:kern w:val="2"/>
          <w:sz w:val="24"/>
          <w:szCs w:val="24"/>
          <w:vertAlign w:val="superscript"/>
          <w:lang w:val="en-ID"/>
        </w:rPr>
        <w:t>27</w:t>
      </w:r>
      <w:r w:rsidRPr="00A20750">
        <w:rPr>
          <w:rFonts w:ascii="Times New Roman" w:eastAsiaTheme="minorHAnsi" w:hAnsi="Times New Roman" w:cs="Times New Roman"/>
          <w:iCs/>
          <w:kern w:val="2"/>
          <w:sz w:val="24"/>
          <w:szCs w:val="24"/>
          <w:lang w:val="en-ID"/>
        </w:rPr>
        <w:t xml:space="preserve"> Persistent neuroinflammation has also been linked to the accumulation of amyloid-β and hyperphosphorylation of tau protein, which are key pathological features of Alzheimer’s disease.</w:t>
      </w:r>
      <w:r w:rsidR="00924672" w:rsidRPr="00924672">
        <w:rPr>
          <w:rFonts w:ascii="Times New Roman" w:eastAsiaTheme="minorHAnsi" w:hAnsi="Times New Roman" w:cs="Times New Roman"/>
          <w:iCs/>
          <w:kern w:val="2"/>
          <w:sz w:val="24"/>
          <w:szCs w:val="24"/>
          <w:vertAlign w:val="superscript"/>
          <w:lang w:val="en-ID"/>
        </w:rPr>
        <w:t>4</w:t>
      </w:r>
    </w:p>
    <w:p w14:paraId="6FBE80F4" w14:textId="34DC99AE"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Hyperbaric Oxygen Therapy (HBOT) has emerged as a therapeutic approach capable of modulating tissue oxygenation and improving cellular metabolism. By delivering 100% oxygen under increased atmospheric pressure, HBOT enhances oxygen diffusion into tissues and may exert neuroprotective effects through reduction of inflammation, oxidative stress, and neuronal injury. Previous experimental studies have demonstrated that HBOT may improve neurological outcomes and cognitive function in animal models of brain injury and neurodegeneration.</w:t>
      </w:r>
      <w:r w:rsidR="00924672" w:rsidRPr="00924672">
        <w:rPr>
          <w:rFonts w:ascii="Times New Roman" w:eastAsiaTheme="minorHAnsi" w:hAnsi="Times New Roman" w:cs="Times New Roman"/>
          <w:iCs/>
          <w:kern w:val="2"/>
          <w:sz w:val="24"/>
          <w:szCs w:val="24"/>
          <w:vertAlign w:val="superscript"/>
          <w:lang w:val="en-ID"/>
        </w:rPr>
        <w:t>19</w:t>
      </w:r>
      <w:r w:rsidR="00924672" w:rsidRPr="00924672">
        <w:rPr>
          <w:rFonts w:ascii="Times New Roman" w:eastAsiaTheme="minorHAnsi" w:hAnsi="Times New Roman" w:cs="Times New Roman"/>
          <w:iCs/>
          <w:kern w:val="2"/>
          <w:sz w:val="24"/>
          <w:szCs w:val="24"/>
          <w:lang w:val="en-ID"/>
        </w:rPr>
        <w:t>–</w:t>
      </w:r>
      <w:r w:rsidR="00924672" w:rsidRPr="00924672">
        <w:rPr>
          <w:rFonts w:ascii="Times New Roman" w:eastAsiaTheme="minorHAnsi" w:hAnsi="Times New Roman" w:cs="Times New Roman"/>
          <w:iCs/>
          <w:kern w:val="2"/>
          <w:sz w:val="24"/>
          <w:szCs w:val="24"/>
          <w:vertAlign w:val="superscript"/>
          <w:lang w:val="en-ID"/>
        </w:rPr>
        <w:t>21</w:t>
      </w:r>
    </w:p>
    <w:p w14:paraId="690F2329" w14:textId="79A69D11" w:rsidR="00992249" w:rsidRPr="00A20750" w:rsidRDefault="00992249" w:rsidP="00256FF2">
      <w:pPr>
        <w:spacing w:after="0" w:line="240" w:lineRule="auto"/>
        <w:jc w:val="both"/>
        <w:rPr>
          <w:rFonts w:ascii="Times New Roman" w:eastAsiaTheme="minorHAnsi" w:hAnsi="Times New Roman" w:cs="Times New Roman"/>
          <w:iCs/>
          <w:kern w:val="2"/>
          <w:sz w:val="24"/>
          <w:szCs w:val="24"/>
          <w:lang w:val="en-ID"/>
        </w:rPr>
      </w:pPr>
      <w:r w:rsidRPr="00992249">
        <w:rPr>
          <w:rFonts w:ascii="Times New Roman" w:eastAsiaTheme="minorHAnsi" w:hAnsi="Times New Roman" w:cs="Times New Roman"/>
          <w:iCs/>
          <w:kern w:val="2"/>
          <w:sz w:val="24"/>
          <w:szCs w:val="24"/>
          <w:lang w:val="en-ID"/>
        </w:rPr>
        <w:t>Despite accumulating evidence linking Porphyromonas gingivalis to neuroinflammation and cognitive dysfunction, effective therapeutic strategies targeting these mechanisms remain limited. Hyperbaric Oxygen Therapy has demonstrated the potential to modulate inflammatory responses, improve tissue oxygenation, and enhance blood–brain barrier integrity. However, its role in mitigating cognitive impairment associated with periodontal pathogen-induced neuroinflammation has not been fully elucidated. Therefore, this study aimed to evaluate the effect of HBOT on spatial working memory while providing a mechanistic perspective on its potential neuroprotective effects.</w:t>
      </w:r>
    </w:p>
    <w:p w14:paraId="72BF4B4B" w14:textId="77777777" w:rsidR="000E6513" w:rsidRPr="00A20750" w:rsidRDefault="000E6513" w:rsidP="00256FF2">
      <w:pPr>
        <w:spacing w:after="0" w:line="240" w:lineRule="auto"/>
        <w:jc w:val="both"/>
        <w:rPr>
          <w:rFonts w:ascii="Times New Roman" w:eastAsiaTheme="minorHAnsi" w:hAnsi="Times New Roman" w:cs="Times New Roman"/>
          <w:iCs/>
          <w:kern w:val="2"/>
          <w:sz w:val="24"/>
          <w:szCs w:val="24"/>
          <w:lang w:val="en-ID"/>
        </w:rPr>
      </w:pPr>
    </w:p>
    <w:p w14:paraId="5EA2E0EB" w14:textId="77777777" w:rsidR="00F84464" w:rsidRDefault="00F84464" w:rsidP="00256FF2">
      <w:pPr>
        <w:tabs>
          <w:tab w:val="left" w:pos="3206"/>
        </w:tabs>
        <w:spacing w:after="0" w:line="240" w:lineRule="auto"/>
        <w:rPr>
          <w:rFonts w:ascii="Times New Roman" w:hAnsi="Times New Roman" w:cs="Times New Roman"/>
          <w:b/>
          <w:sz w:val="24"/>
          <w:szCs w:val="24"/>
        </w:rPr>
      </w:pPr>
    </w:p>
    <w:p w14:paraId="62A0DDB1" w14:textId="4AB36127" w:rsidR="002F7D66" w:rsidRPr="00A20750" w:rsidRDefault="00AF78BE" w:rsidP="00256FF2">
      <w:pPr>
        <w:tabs>
          <w:tab w:val="left" w:pos="3206"/>
        </w:tabs>
        <w:spacing w:after="0" w:line="240" w:lineRule="auto"/>
        <w:rPr>
          <w:rFonts w:ascii="Times New Roman" w:hAnsi="Times New Roman" w:cs="Times New Roman"/>
          <w:b/>
          <w:sz w:val="24"/>
          <w:szCs w:val="24"/>
        </w:rPr>
      </w:pPr>
      <w:r w:rsidRPr="00A20750">
        <w:rPr>
          <w:rFonts w:ascii="Times New Roman" w:hAnsi="Times New Roman" w:cs="Times New Roman"/>
          <w:b/>
          <w:sz w:val="24"/>
          <w:szCs w:val="24"/>
        </w:rPr>
        <w:t>Methods</w:t>
      </w:r>
    </w:p>
    <w:p w14:paraId="528D26D9" w14:textId="77777777" w:rsidR="000E6513" w:rsidRPr="00A20750" w:rsidRDefault="00884F27" w:rsidP="00256FF2">
      <w:pPr>
        <w:pStyle w:val="IOP-CS-SubsectionHeading"/>
        <w:numPr>
          <w:ilvl w:val="0"/>
          <w:numId w:val="2"/>
        </w:numPr>
        <w:spacing w:line="240" w:lineRule="auto"/>
        <w:ind w:left="284" w:hanging="284"/>
        <w:rPr>
          <w:rFonts w:ascii="Times New Roman" w:hAnsi="Times New Roman" w:cs="Times New Roman"/>
          <w:i w:val="0"/>
          <w:iCs w:val="0"/>
          <w:sz w:val="24"/>
          <w:szCs w:val="24"/>
        </w:rPr>
      </w:pPr>
      <w:r w:rsidRPr="00A20750">
        <w:rPr>
          <w:rFonts w:ascii="Times New Roman" w:hAnsi="Times New Roman" w:cs="Times New Roman"/>
          <w:i w:val="0"/>
          <w:iCs w:val="0"/>
          <w:sz w:val="24"/>
          <w:szCs w:val="24"/>
        </w:rPr>
        <w:t>Animal and experimental protocol</w:t>
      </w:r>
      <w:r w:rsidRPr="00A20750">
        <w:rPr>
          <w:rFonts w:ascii="Times New Roman" w:hAnsi="Times New Roman" w:cs="Times New Roman"/>
          <w:i w:val="0"/>
          <w:iCs w:val="0"/>
          <w:color w:val="FF0000"/>
          <w:sz w:val="24"/>
          <w:szCs w:val="24"/>
        </w:rPr>
        <w:t xml:space="preserve"> </w:t>
      </w:r>
    </w:p>
    <w:p w14:paraId="2C2BE65A" w14:textId="727D78B8" w:rsidR="000E6513" w:rsidRPr="00A20750" w:rsidRDefault="000E6513" w:rsidP="00256FF2">
      <w:pPr>
        <w:pStyle w:val="IOP-CS-SubsectionHeading"/>
        <w:spacing w:before="0" w:line="240" w:lineRule="auto"/>
        <w:jc w:val="both"/>
        <w:rPr>
          <w:rFonts w:ascii="Times New Roman" w:hAnsi="Times New Roman" w:cs="Times New Roman"/>
          <w:i w:val="0"/>
          <w:iCs w:val="0"/>
          <w:sz w:val="24"/>
          <w:szCs w:val="24"/>
        </w:rPr>
      </w:pPr>
      <w:r w:rsidRPr="00A20750">
        <w:rPr>
          <w:rFonts w:ascii="Times New Roman" w:hAnsi="Times New Roman" w:cs="Times New Roman"/>
          <w:i w:val="0"/>
          <w:iCs w:val="0"/>
          <w:sz w:val="24"/>
          <w:szCs w:val="24"/>
        </w:rPr>
        <w:t>The experimental animals were divided into two groups: a control group and a treatment group, each consisting of 11 male Sprague–Dawley rats aged 10 weeks and weighing 150–180 g. Prior to the experimental procedures, all animals were acclimatized for one week under controlled environmental conditions (temperature 18–26 °C, relative humidity 30–70%, and a 12-hour light–dark cycle). The rats were housed in standard laboratory cages and provided ad libitum access to pellet diet and drinking water.</w:t>
      </w:r>
    </w:p>
    <w:p w14:paraId="2B30DDB8" w14:textId="77777777" w:rsidR="000E6513" w:rsidRPr="00A20750" w:rsidRDefault="000E6513" w:rsidP="00256FF2">
      <w:pPr>
        <w:pStyle w:val="NormalWeb"/>
        <w:spacing w:before="0" w:beforeAutospacing="0" w:after="0" w:afterAutospacing="0"/>
        <w:jc w:val="both"/>
      </w:pPr>
      <w:r w:rsidRPr="00A20750">
        <w:lastRenderedPageBreak/>
        <w:t>The inclusion criteria included animals in healthy condition confirmed by veterinary examination and normal physiological characteristics, including smooth fur, pink eyes, normal activity, good appetite, firm feces, and normal social behavior. Animals presenting congenital abnormalities identified by the consulting veterinarian were excluded. Animals that died during the experimental period were considered dropouts and excluded from the final analysis.</w:t>
      </w:r>
    </w:p>
    <w:p w14:paraId="0CB69937" w14:textId="77777777" w:rsidR="000E6513" w:rsidRPr="00A20750" w:rsidRDefault="000E6513" w:rsidP="00256FF2">
      <w:pPr>
        <w:pStyle w:val="NormalWeb"/>
        <w:spacing w:before="0" w:beforeAutospacing="0" w:after="0" w:afterAutospacing="0"/>
        <w:jc w:val="both"/>
      </w:pPr>
      <w:r w:rsidRPr="00A20750">
        <w:t>All experimental procedures involving animals were conducted in accordance with institutional guidelines for laboratory animal care and were approved by the Institutional Animal Research Ethics Committee.</w:t>
      </w:r>
    </w:p>
    <w:p w14:paraId="735FFFB8" w14:textId="222EDB46" w:rsidR="00884F27" w:rsidRPr="00A20750" w:rsidRDefault="00884F27" w:rsidP="00256FF2">
      <w:pPr>
        <w:pStyle w:val="IOP-CS-SubsectionHeading"/>
        <w:numPr>
          <w:ilvl w:val="0"/>
          <w:numId w:val="2"/>
        </w:numPr>
        <w:spacing w:line="240" w:lineRule="auto"/>
        <w:ind w:left="284" w:hanging="284"/>
        <w:jc w:val="both"/>
        <w:rPr>
          <w:rFonts w:ascii="Times New Roman" w:hAnsi="Times New Roman" w:cs="Times New Roman"/>
          <w:i w:val="0"/>
          <w:iCs w:val="0"/>
          <w:noProof/>
          <w:sz w:val="24"/>
          <w:szCs w:val="24"/>
        </w:rPr>
      </w:pPr>
      <w:r w:rsidRPr="00A20750">
        <w:rPr>
          <w:rFonts w:ascii="Times New Roman" w:hAnsi="Times New Roman" w:cs="Times New Roman"/>
          <w:i w:val="0"/>
          <w:iCs w:val="0"/>
          <w:noProof/>
          <w:sz w:val="24"/>
          <w:szCs w:val="24"/>
        </w:rPr>
        <w:t>In</w:t>
      </w:r>
      <w:r w:rsidR="00E5236E" w:rsidRPr="00A20750">
        <w:rPr>
          <w:rFonts w:ascii="Times New Roman" w:hAnsi="Times New Roman" w:cs="Times New Roman"/>
          <w:i w:val="0"/>
          <w:iCs w:val="0"/>
          <w:noProof/>
          <w:sz w:val="24"/>
          <w:szCs w:val="24"/>
        </w:rPr>
        <w:t xml:space="preserve">duction of periodontitis by P.gingivalis injection into gingiva </w:t>
      </w:r>
    </w:p>
    <w:p w14:paraId="1EAE95C8" w14:textId="77777777" w:rsidR="000E6513" w:rsidRPr="00A20750" w:rsidRDefault="000E6513" w:rsidP="00256FF2">
      <w:pPr>
        <w:pStyle w:val="NormalWeb"/>
        <w:spacing w:before="0" w:beforeAutospacing="0" w:after="0" w:afterAutospacing="0"/>
        <w:jc w:val="both"/>
        <w:rPr>
          <w:lang w:val="en-ID" w:eastAsia="en-ID"/>
        </w:rPr>
      </w:pPr>
      <w:r w:rsidRPr="00A20750">
        <w:t xml:space="preserve">Following the acclimatization period, animals in the treatment group underwent induction of experimental periodontitis using </w:t>
      </w:r>
      <w:r w:rsidRPr="00A20750">
        <w:rPr>
          <w:rStyle w:val="Emphasis"/>
        </w:rPr>
        <w:t>Porphyromonas gingivalis</w:t>
      </w:r>
      <w:r w:rsidRPr="00A20750">
        <w:t xml:space="preserve"> (ATCC 33277 PK/5). Bacterial induction was performed using a dose of 3 </w:t>
      </w:r>
      <w:proofErr w:type="spellStart"/>
      <w:r w:rsidRPr="00A20750">
        <w:t>μL</w:t>
      </w:r>
      <w:proofErr w:type="spellEnd"/>
      <w:r w:rsidRPr="00A20750">
        <w:t xml:space="preserve"> (1 × 10⁹ CFU/mL) administered into the gingival tissue of the second molar region on both the right and left sides of the mandible using a 5 </w:t>
      </w:r>
      <w:proofErr w:type="spellStart"/>
      <w:r w:rsidRPr="00A20750">
        <w:t>μL</w:t>
      </w:r>
      <w:proofErr w:type="spellEnd"/>
      <w:r w:rsidRPr="00A20750">
        <w:t xml:space="preserve"> </w:t>
      </w:r>
      <w:proofErr w:type="spellStart"/>
      <w:r w:rsidRPr="00A20750">
        <w:t>microsyringe</w:t>
      </w:r>
      <w:proofErr w:type="spellEnd"/>
      <w:r w:rsidRPr="00A20750">
        <w:t xml:space="preserve"> (Hamilton, Switzerland).</w:t>
      </w:r>
    </w:p>
    <w:p w14:paraId="2AB4DDC5" w14:textId="1994A95C" w:rsidR="000E6513" w:rsidRPr="00A20750" w:rsidRDefault="000E6513" w:rsidP="00256FF2">
      <w:pPr>
        <w:pStyle w:val="NormalWeb"/>
        <w:spacing w:before="0" w:beforeAutospacing="0"/>
        <w:jc w:val="both"/>
      </w:pPr>
      <w:r w:rsidRPr="00A20750">
        <w:t>The injection procedure was repeated every two days for five consecutive weeks in order to establish chronic periodontal infection, based on a modified protocol described by Jin et al. (2023).</w:t>
      </w:r>
      <w:r w:rsidR="00924672" w:rsidRPr="00924672">
        <w:rPr>
          <w:vertAlign w:val="superscript"/>
        </w:rPr>
        <w:t>22</w:t>
      </w:r>
    </w:p>
    <w:p w14:paraId="33409321" w14:textId="528CF5B1" w:rsidR="00884F27" w:rsidRPr="00A20750" w:rsidRDefault="00884F27" w:rsidP="00256FF2">
      <w:pPr>
        <w:pStyle w:val="IOP-CS-SubsectionHeading"/>
        <w:numPr>
          <w:ilvl w:val="0"/>
          <w:numId w:val="2"/>
        </w:numPr>
        <w:spacing w:line="240" w:lineRule="auto"/>
        <w:ind w:left="284" w:hanging="284"/>
        <w:jc w:val="both"/>
        <w:rPr>
          <w:rFonts w:ascii="Times New Roman" w:hAnsi="Times New Roman" w:cs="Times New Roman"/>
          <w:i w:val="0"/>
          <w:iCs w:val="0"/>
          <w:noProof/>
          <w:sz w:val="24"/>
          <w:szCs w:val="24"/>
        </w:rPr>
      </w:pPr>
      <w:r w:rsidRPr="00A20750">
        <w:rPr>
          <w:rFonts w:ascii="Times New Roman" w:hAnsi="Times New Roman" w:cs="Times New Roman"/>
          <w:i w:val="0"/>
          <w:iCs w:val="0"/>
          <w:noProof/>
          <w:sz w:val="24"/>
          <w:szCs w:val="24"/>
        </w:rPr>
        <w:t>Hyperbaric Oxygen Therapy (HBOT)</w:t>
      </w:r>
    </w:p>
    <w:p w14:paraId="74FBDC72"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After the induction phase, the Sprague–Dawley rats in the treatment group received Hyperbaric Oxygen Therapy (HBOT) in a hyperbaric chamber pressurized to 2.0 atmospheres absolute (ATA) using 100% medical oxygen.</w:t>
      </w:r>
    </w:p>
    <w:p w14:paraId="7D44FBB2"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The HBOT protocol consisted of three stages:</w:t>
      </w:r>
    </w:p>
    <w:p w14:paraId="5A78C649"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Gradual compression at a rate of 0.1 ATA/min</w:t>
      </w:r>
    </w:p>
    <w:p w14:paraId="665BCAA4"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Therapeutic exposure for 60 minutes, divided into two 30-minute sessions separated by a 5-minute interval at target pressure</w:t>
      </w:r>
    </w:p>
    <w:p w14:paraId="6A79D389"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Controlled decompression at a rate of 0.1 ATA/min to minimize the risk of barotrauma</w:t>
      </w:r>
    </w:p>
    <w:p w14:paraId="5EB5266E"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Prior to therapy, the animals were fasted for 4–6 hours and underwent a brief physical examination to ensure their suitability for the procedure. During HBOT exposure, animal activity was continuously monitored through the chamber window, and the session was terminated if signs of severe distress were observed.</w:t>
      </w:r>
    </w:p>
    <w:p w14:paraId="669026DF" w14:textId="19AD45E0"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Following each therapy session, the animals were transferred to a recovery cage for approximately 30 minutes. HBOT was administered five times per week for four consecutive weeks. This therapeutic approach modifies oxygen availability in the tissue microenvironment and is therefore considered an environmental-based intervention.</w:t>
      </w:r>
      <w:r w:rsidR="00924672" w:rsidRPr="00924672">
        <w:rPr>
          <w:rFonts w:ascii="Times New Roman" w:hAnsi="Times New Roman" w:cs="Times New Roman"/>
          <w:i w:val="0"/>
          <w:iCs w:val="0"/>
          <w:noProof/>
          <w:sz w:val="24"/>
          <w:szCs w:val="24"/>
          <w:vertAlign w:val="superscript"/>
          <w:lang w:val="en-ID"/>
        </w:rPr>
        <w:t xml:space="preserve"> </w:t>
      </w:r>
      <w:r w:rsidR="00924672" w:rsidRPr="00924672">
        <w:rPr>
          <w:rFonts w:ascii="Times New Roman" w:hAnsi="Times New Roman" w:cs="Times New Roman"/>
          <w:i w:val="0"/>
          <w:iCs w:val="0"/>
          <w:noProof/>
          <w:sz w:val="24"/>
          <w:szCs w:val="24"/>
          <w:vertAlign w:val="superscript"/>
          <w:lang w:val="en-ID"/>
        </w:rPr>
        <w:t>21</w:t>
      </w:r>
    </w:p>
    <w:p w14:paraId="2FB7D304" w14:textId="5C6D732F" w:rsidR="00884F27" w:rsidRPr="00A20750" w:rsidRDefault="00884F27" w:rsidP="00256FF2">
      <w:pPr>
        <w:pStyle w:val="IOP-CS-SubsectionHeading"/>
        <w:numPr>
          <w:ilvl w:val="0"/>
          <w:numId w:val="2"/>
        </w:numPr>
        <w:spacing w:line="240" w:lineRule="auto"/>
        <w:ind w:left="426" w:hanging="426"/>
        <w:rPr>
          <w:rFonts w:ascii="Times New Roman" w:hAnsi="Times New Roman" w:cs="Times New Roman"/>
          <w:i w:val="0"/>
          <w:iCs w:val="0"/>
          <w:noProof/>
          <w:sz w:val="24"/>
          <w:szCs w:val="24"/>
        </w:rPr>
      </w:pPr>
      <w:r w:rsidRPr="00A20750">
        <w:rPr>
          <w:rFonts w:ascii="Times New Roman" w:hAnsi="Times New Roman" w:cs="Times New Roman"/>
          <w:i w:val="0"/>
          <w:iCs w:val="0"/>
          <w:noProof/>
          <w:sz w:val="24"/>
          <w:szCs w:val="24"/>
        </w:rPr>
        <w:t xml:space="preserve">Y-Maze </w:t>
      </w:r>
      <w:r w:rsidR="002F14CB" w:rsidRPr="00A20750">
        <w:rPr>
          <w:rFonts w:ascii="Times New Roman" w:hAnsi="Times New Roman" w:cs="Times New Roman"/>
          <w:i w:val="0"/>
          <w:iCs w:val="0"/>
          <w:noProof/>
          <w:sz w:val="24"/>
          <w:szCs w:val="24"/>
        </w:rPr>
        <w:t>spontaneous alternation test</w:t>
      </w:r>
    </w:p>
    <w:p w14:paraId="4616655F" w14:textId="77777777" w:rsidR="000D44C9" w:rsidRPr="00A20750" w:rsidRDefault="000D44C9" w:rsidP="00256FF2">
      <w:pPr>
        <w:pStyle w:val="NormalWeb"/>
        <w:spacing w:before="0" w:beforeAutospacing="0" w:after="0" w:afterAutospacing="0"/>
        <w:jc w:val="both"/>
        <w:rPr>
          <w:lang w:val="en-ID" w:eastAsia="en-ID"/>
        </w:rPr>
      </w:pPr>
      <w:r w:rsidRPr="00A20750">
        <w:t>Spatial working memory was evaluated using the Y-maze spontaneous alternation test. The Y-maze apparatus consisted of three identical arms (A, B, and C) positioned at an angle of 120° relative to each other, with each arm measuring approximately 30 cm × 8 cm × 15 cm.</w:t>
      </w:r>
    </w:p>
    <w:p w14:paraId="643BD7C2" w14:textId="77777777" w:rsidR="000D44C9" w:rsidRPr="00A20750" w:rsidRDefault="000D44C9" w:rsidP="00256FF2">
      <w:pPr>
        <w:pStyle w:val="NormalWeb"/>
        <w:spacing w:before="0" w:beforeAutospacing="0" w:after="0" w:afterAutospacing="0"/>
        <w:jc w:val="both"/>
      </w:pPr>
      <w:r w:rsidRPr="00A20750">
        <w:t>Prior to testing, the rats were acclimatized to the testing room for 10–15 minutes to minimize stress. Each animal was placed at the end of one arm and allowed to freely explore all three arms for 5–8 minutes. The movement of the animals was recorded using a video camera to document the sequence and number of arm entries.</w:t>
      </w:r>
    </w:p>
    <w:p w14:paraId="66D11D0B" w14:textId="77777777" w:rsidR="000D44C9" w:rsidRPr="00A20750" w:rsidRDefault="000D44C9" w:rsidP="00256FF2">
      <w:pPr>
        <w:pStyle w:val="NormalWeb"/>
        <w:spacing w:before="0" w:beforeAutospacing="0" w:after="0" w:afterAutospacing="0"/>
        <w:jc w:val="both"/>
      </w:pPr>
      <w:r w:rsidRPr="00A20750">
        <w:lastRenderedPageBreak/>
        <w:t>An arm entry was considered valid when the entire body of the rat, including the tail, had completely entered the arm. The total number of arm entries and spontaneous alternations (defined as consecutive entries into three different arms) were recorded.</w:t>
      </w:r>
    </w:p>
    <w:p w14:paraId="7F541A97" w14:textId="77777777" w:rsidR="000D44C9" w:rsidRPr="00A20750" w:rsidRDefault="000D44C9" w:rsidP="00256FF2">
      <w:pPr>
        <w:pStyle w:val="NormalWeb"/>
        <w:spacing w:before="0" w:beforeAutospacing="0" w:after="0" w:afterAutospacing="0"/>
        <w:jc w:val="both"/>
      </w:pPr>
      <w:r w:rsidRPr="00A20750">
        <w:t>The percentage of spontaneous alternation was calculated using the following formula:</w:t>
      </w:r>
    </w:p>
    <w:p w14:paraId="588D0CC3" w14:textId="77777777" w:rsidR="000D44C9" w:rsidRPr="00A20750" w:rsidRDefault="000D44C9" w:rsidP="00256FF2">
      <w:pPr>
        <w:pStyle w:val="NormalWeb"/>
        <w:spacing w:before="0" w:beforeAutospacing="0" w:after="0" w:afterAutospacing="0"/>
        <w:jc w:val="both"/>
      </w:pPr>
      <w:r w:rsidRPr="00A20750">
        <w:t>(spontaneous alternations / (total arm entries − 2)) × 100</w:t>
      </w:r>
    </w:p>
    <w:p w14:paraId="362F830F" w14:textId="75441BA8" w:rsidR="000D44C9" w:rsidRPr="00A20750" w:rsidRDefault="000D44C9" w:rsidP="00256FF2">
      <w:pPr>
        <w:pStyle w:val="NormalWeb"/>
        <w:spacing w:before="0" w:beforeAutospacing="0" w:after="0" w:afterAutospacing="0"/>
        <w:jc w:val="both"/>
      </w:pPr>
      <w:r w:rsidRPr="00A20750">
        <w:t>The maze apparatus was cleaned with 70% alcohol between testing sessions to eliminate odor cues that could influence animal behavior. Behavioral assessments were conducted at three time points: baseline (pre-induction), week 5 (post-induction), and week 9 (post-HBOT).</w:t>
      </w:r>
      <w:r w:rsidR="00CB1322">
        <w:t xml:space="preserve"> </w:t>
      </w:r>
      <w:r w:rsidR="00924672" w:rsidRPr="00924672">
        <w:rPr>
          <w:vertAlign w:val="superscript"/>
        </w:rPr>
        <w:t>9</w:t>
      </w:r>
    </w:p>
    <w:p w14:paraId="0B5AD43C" w14:textId="64839240" w:rsidR="00884F27" w:rsidRPr="00A20750" w:rsidRDefault="000D44C9" w:rsidP="00256FF2">
      <w:pPr>
        <w:pStyle w:val="IOP-CS-BodyText"/>
        <w:spacing w:line="240" w:lineRule="auto"/>
        <w:jc w:val="center"/>
        <w:rPr>
          <w:rFonts w:ascii="Times New Roman" w:hAnsi="Times New Roman" w:cs="Times New Roman"/>
          <w:noProof/>
          <w:sz w:val="24"/>
          <w:szCs w:val="24"/>
          <w:lang w:val="pt-PT"/>
        </w:rPr>
      </w:pPr>
      <w:r w:rsidRPr="00A20750">
        <w:rPr>
          <w:rFonts w:ascii="Times New Roman" w:hAnsi="Times New Roman" w:cs="Times New Roman"/>
          <w:noProof/>
          <w:sz w:val="24"/>
          <w:szCs w:val="24"/>
          <w:lang w:val="pt-PT"/>
        </w:rPr>
        <w:drawing>
          <wp:anchor distT="0" distB="0" distL="114300" distR="114300" simplePos="0" relativeHeight="251660288" behindDoc="0" locked="0" layoutInCell="1" allowOverlap="1" wp14:anchorId="6400C324" wp14:editId="03CF6BB2">
            <wp:simplePos x="0" y="0"/>
            <wp:positionH relativeFrom="column">
              <wp:posOffset>2210435</wp:posOffset>
            </wp:positionH>
            <wp:positionV relativeFrom="paragraph">
              <wp:posOffset>222648</wp:posOffset>
            </wp:positionV>
            <wp:extent cx="1789408" cy="1457353"/>
            <wp:effectExtent l="0" t="0" r="0" b="0"/>
            <wp:wrapTopAndBottom/>
            <wp:docPr id="7479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7028" name=""/>
                    <pic:cNvPicPr/>
                  </pic:nvPicPr>
                  <pic:blipFill>
                    <a:blip r:embed="rId9">
                      <a:extLst>
                        <a:ext uri="{28A0092B-C50C-407E-A947-70E740481C1C}">
                          <a14:useLocalDpi xmlns:a14="http://schemas.microsoft.com/office/drawing/2010/main" val="0"/>
                        </a:ext>
                      </a:extLst>
                    </a:blip>
                    <a:stretch>
                      <a:fillRect/>
                    </a:stretch>
                  </pic:blipFill>
                  <pic:spPr>
                    <a:xfrm>
                      <a:off x="0" y="0"/>
                      <a:ext cx="1789408" cy="1457353"/>
                    </a:xfrm>
                    <a:prstGeom prst="rect">
                      <a:avLst/>
                    </a:prstGeom>
                  </pic:spPr>
                </pic:pic>
              </a:graphicData>
            </a:graphic>
            <wp14:sizeRelH relativeFrom="page">
              <wp14:pctWidth>0</wp14:pctWidth>
            </wp14:sizeRelH>
            <wp14:sizeRelV relativeFrom="page">
              <wp14:pctHeight>0</wp14:pctHeight>
            </wp14:sizeRelV>
          </wp:anchor>
        </w:drawing>
      </w:r>
    </w:p>
    <w:p w14:paraId="4AD0BF83" w14:textId="3022818A" w:rsidR="00F51CB4" w:rsidRPr="00A20750" w:rsidRDefault="000D44C9" w:rsidP="00256FF2">
      <w:pPr>
        <w:tabs>
          <w:tab w:val="left" w:pos="3206"/>
        </w:tabs>
        <w:spacing w:after="0" w:line="240" w:lineRule="auto"/>
        <w:jc w:val="both"/>
        <w:rPr>
          <w:rFonts w:ascii="Times New Roman" w:eastAsiaTheme="minorHAnsi" w:hAnsi="Times New Roman" w:cs="Times New Roman"/>
          <w:noProof/>
          <w:kern w:val="2"/>
          <w:sz w:val="24"/>
          <w:szCs w:val="24"/>
        </w:rPr>
      </w:pPr>
      <w:r w:rsidRPr="00A20750">
        <w:rPr>
          <w:rFonts w:ascii="Times New Roman" w:eastAsiaTheme="minorHAnsi" w:hAnsi="Times New Roman" w:cs="Times New Roman"/>
          <w:b/>
          <w:bCs/>
          <w:noProof/>
          <w:kern w:val="2"/>
          <w:sz w:val="24"/>
          <w:szCs w:val="24"/>
        </w:rPr>
        <w:t xml:space="preserve">Figure 1: </w:t>
      </w:r>
      <w:r w:rsidRPr="00A20750">
        <w:rPr>
          <w:rFonts w:ascii="Times New Roman" w:eastAsiaTheme="minorHAnsi" w:hAnsi="Times New Roman" w:cs="Times New Roman"/>
          <w:noProof/>
          <w:kern w:val="2"/>
          <w:sz w:val="24"/>
          <w:szCs w:val="24"/>
        </w:rPr>
        <w:t>Y-maze apparatus used to assess spatial working memory in Sprague–Dawley rats. The maze consists of three identical arms (30 cm × 8 cm × 15 cm) arranged at 120° angles and constructed from polyvinyl chloride (PVC).</w:t>
      </w:r>
    </w:p>
    <w:p w14:paraId="45579B4D" w14:textId="77777777" w:rsidR="000D44C9" w:rsidRPr="00A20750" w:rsidRDefault="000D44C9" w:rsidP="00256FF2">
      <w:pPr>
        <w:tabs>
          <w:tab w:val="left" w:pos="3206"/>
        </w:tabs>
        <w:spacing w:after="0" w:line="240" w:lineRule="auto"/>
        <w:jc w:val="both"/>
        <w:rPr>
          <w:rFonts w:ascii="Times New Roman" w:eastAsiaTheme="minorHAnsi" w:hAnsi="Times New Roman" w:cs="Times New Roman"/>
          <w:noProof/>
          <w:kern w:val="2"/>
          <w:sz w:val="24"/>
          <w:szCs w:val="24"/>
        </w:rPr>
      </w:pPr>
    </w:p>
    <w:p w14:paraId="5789D4DE" w14:textId="77777777" w:rsidR="000D44C9" w:rsidRPr="00A20750" w:rsidRDefault="000D44C9" w:rsidP="00256FF2">
      <w:pPr>
        <w:tabs>
          <w:tab w:val="left" w:pos="3206"/>
        </w:tabs>
        <w:spacing w:after="0" w:line="240" w:lineRule="auto"/>
        <w:jc w:val="both"/>
        <w:rPr>
          <w:rFonts w:ascii="Times New Roman" w:hAnsi="Times New Roman" w:cs="Times New Roman"/>
          <w:sz w:val="24"/>
          <w:szCs w:val="24"/>
        </w:rPr>
      </w:pPr>
    </w:p>
    <w:p w14:paraId="67414CFA" w14:textId="2AE6C7C3" w:rsidR="002F7D66" w:rsidRPr="00A20750" w:rsidRDefault="00AF78BE" w:rsidP="00256FF2">
      <w:pPr>
        <w:spacing w:line="240" w:lineRule="auto"/>
        <w:jc w:val="both"/>
        <w:rPr>
          <w:rFonts w:ascii="Times New Roman" w:hAnsi="Times New Roman" w:cs="Times New Roman"/>
          <w:b/>
          <w:bCs/>
          <w:sz w:val="24"/>
          <w:szCs w:val="24"/>
        </w:rPr>
      </w:pPr>
      <w:r w:rsidRPr="00A20750">
        <w:rPr>
          <w:rFonts w:ascii="Times New Roman" w:hAnsi="Times New Roman" w:cs="Times New Roman"/>
          <w:b/>
          <w:bCs/>
          <w:sz w:val="24"/>
          <w:szCs w:val="24"/>
        </w:rPr>
        <w:t xml:space="preserve">Results  </w:t>
      </w:r>
    </w:p>
    <w:p w14:paraId="26CFEE92" w14:textId="77777777" w:rsidR="00CF23DE" w:rsidRPr="00A20750" w:rsidRDefault="00CF23DE" w:rsidP="00256FF2">
      <w:pPr>
        <w:pStyle w:val="IOP-CS-BodyText"/>
        <w:spacing w:line="240" w:lineRule="auto"/>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 xml:space="preserve">This study evaluated the effect of Hyperbaric Oxygen Therapy (HBOT) following </w:t>
      </w:r>
      <w:r w:rsidRPr="00A20750">
        <w:rPr>
          <w:rFonts w:ascii="Times New Roman" w:hAnsi="Times New Roman" w:cs="Times New Roman"/>
          <w:i/>
          <w:iCs/>
          <w:noProof/>
          <w:sz w:val="24"/>
          <w:szCs w:val="24"/>
          <w:lang w:val="en-ID"/>
        </w:rPr>
        <w:t>Porphyromonas gingivalis</w:t>
      </w:r>
      <w:r w:rsidRPr="00A20750">
        <w:rPr>
          <w:rFonts w:ascii="Times New Roman" w:hAnsi="Times New Roman" w:cs="Times New Roman"/>
          <w:noProof/>
          <w:sz w:val="24"/>
          <w:szCs w:val="24"/>
          <w:lang w:val="en-ID"/>
        </w:rPr>
        <w:t xml:space="preserve"> induction by assessing spatial working memory using the Y-maze spontaneous alternation test at three time points: baseline (pretest), week 5 (post-induction), and week 9 (post-HBOT treatment). Data were summarized descriptively and analyzed using inferential statistical tests at a 95% confidence level (p = 0.05) using IBM SPSS Statistics version 27.0.</w:t>
      </w:r>
    </w:p>
    <w:p w14:paraId="12001695" w14:textId="77777777" w:rsidR="00CF23DE" w:rsidRPr="00A20750" w:rsidRDefault="00CF23DE" w:rsidP="00256FF2">
      <w:pPr>
        <w:pStyle w:val="IOP-CS-BodyText"/>
        <w:spacing w:line="240" w:lineRule="auto"/>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 xml:space="preserve">Descriptive statistics of spatial working memory scores in both the control and treatment groups are presented in Table 1. In the control group, the mean spatial working memory score at baseline was 70.85 ± 4.97. The score slightly decreased to 65.45 ± 9.60 at week 5 and increased to 68.00 ± 5.08 at week 9. In the treatment group, the baseline score was 68.02 ± 1.67, which markedly decreased to 32.01 ± 24.71 following </w:t>
      </w:r>
      <w:r w:rsidRPr="00A20750">
        <w:rPr>
          <w:rFonts w:ascii="Times New Roman" w:hAnsi="Times New Roman" w:cs="Times New Roman"/>
          <w:i/>
          <w:iCs/>
          <w:noProof/>
          <w:sz w:val="24"/>
          <w:szCs w:val="24"/>
          <w:lang w:val="en-ID"/>
        </w:rPr>
        <w:t>P. gingivalis</w:t>
      </w:r>
      <w:r w:rsidRPr="00A20750">
        <w:rPr>
          <w:rFonts w:ascii="Times New Roman" w:hAnsi="Times New Roman" w:cs="Times New Roman"/>
          <w:noProof/>
          <w:sz w:val="24"/>
          <w:szCs w:val="24"/>
          <w:lang w:val="en-ID"/>
        </w:rPr>
        <w:t xml:space="preserve"> induction at week 5. After HBOT administration, the score increased to 52.09 ± 14.03 at week 9.</w:t>
      </w:r>
    </w:p>
    <w:p w14:paraId="6B5CC88E" w14:textId="77777777" w:rsidR="00256FF2" w:rsidRPr="00A20750" w:rsidRDefault="00256FF2" w:rsidP="00256FF2">
      <w:pPr>
        <w:pStyle w:val="IOP-CS-BodyText"/>
        <w:spacing w:line="240" w:lineRule="auto"/>
        <w:rPr>
          <w:rFonts w:ascii="Times New Roman" w:hAnsi="Times New Roman" w:cs="Times New Roman"/>
          <w:noProof/>
          <w:sz w:val="24"/>
          <w:szCs w:val="24"/>
          <w:lang w:val="en-ID"/>
        </w:rPr>
      </w:pPr>
    </w:p>
    <w:p w14:paraId="1DB4C426" w14:textId="65E443DA" w:rsidR="00DF5F1B" w:rsidRPr="00A20750" w:rsidRDefault="00DF5F1B" w:rsidP="002C2F76">
      <w:pPr>
        <w:pStyle w:val="IOP-CS-BodyText"/>
        <w:spacing w:line="240" w:lineRule="auto"/>
        <w:ind w:firstLine="0"/>
        <w:jc w:val="center"/>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US"/>
        </w:rPr>
        <w:t>Table 1.</w:t>
      </w:r>
      <w:r w:rsidRPr="00A20750">
        <w:rPr>
          <w:rFonts w:ascii="Times New Roman" w:hAnsi="Times New Roman" w:cs="Times New Roman"/>
          <w:noProof/>
          <w:sz w:val="24"/>
          <w:szCs w:val="24"/>
          <w:lang w:val="en-US"/>
        </w:rPr>
        <w:t xml:space="preserve"> Mean and Standard Deviation of Y-Maze Spontaneous Alternation Scores</w:t>
      </w:r>
    </w:p>
    <w:tbl>
      <w:tblPr>
        <w:tblStyle w:val="TableGrid"/>
        <w:tblW w:w="0" w:type="auto"/>
        <w:tblInd w:w="250" w:type="dxa"/>
        <w:tblLook w:val="04A0" w:firstRow="1" w:lastRow="0" w:firstColumn="1" w:lastColumn="0" w:noHBand="0" w:noVBand="1"/>
      </w:tblPr>
      <w:tblGrid>
        <w:gridCol w:w="1418"/>
        <w:gridCol w:w="3120"/>
        <w:gridCol w:w="2394"/>
        <w:gridCol w:w="2140"/>
      </w:tblGrid>
      <w:tr w:rsidR="00CF23DE" w:rsidRPr="00A20750" w14:paraId="081C679F" w14:textId="77777777" w:rsidTr="008C41DF">
        <w:tc>
          <w:tcPr>
            <w:tcW w:w="1418" w:type="dxa"/>
            <w:vAlign w:val="center"/>
          </w:tcPr>
          <w:p w14:paraId="3E44334E" w14:textId="3BE9457B"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Group</w:t>
            </w:r>
          </w:p>
        </w:tc>
        <w:tc>
          <w:tcPr>
            <w:tcW w:w="3120" w:type="dxa"/>
            <w:vAlign w:val="center"/>
          </w:tcPr>
          <w:p w14:paraId="597104A9" w14:textId="7F1B4D28"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Time Point</w:t>
            </w:r>
          </w:p>
        </w:tc>
        <w:tc>
          <w:tcPr>
            <w:tcW w:w="2394" w:type="dxa"/>
            <w:vAlign w:val="center"/>
          </w:tcPr>
          <w:p w14:paraId="5FCCB29E" w14:textId="556BF0B0"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n</w:t>
            </w:r>
          </w:p>
        </w:tc>
        <w:tc>
          <w:tcPr>
            <w:tcW w:w="2140" w:type="dxa"/>
            <w:vAlign w:val="center"/>
          </w:tcPr>
          <w:p w14:paraId="4AED2E77" w14:textId="28FD8534"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Mean ± SD</w:t>
            </w:r>
          </w:p>
        </w:tc>
      </w:tr>
      <w:tr w:rsidR="00CF23DE" w:rsidRPr="00A20750" w14:paraId="1BAFA17D" w14:textId="77777777" w:rsidTr="008C41DF">
        <w:tc>
          <w:tcPr>
            <w:tcW w:w="1418" w:type="dxa"/>
            <w:vAlign w:val="center"/>
          </w:tcPr>
          <w:p w14:paraId="44BFF0D0" w14:textId="20EBD9A2"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Control</w:t>
            </w:r>
          </w:p>
        </w:tc>
        <w:tc>
          <w:tcPr>
            <w:tcW w:w="3120" w:type="dxa"/>
            <w:vAlign w:val="center"/>
          </w:tcPr>
          <w:p w14:paraId="1286424B" w14:textId="1308E91B"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Baseline (Pretest)</w:t>
            </w:r>
          </w:p>
        </w:tc>
        <w:tc>
          <w:tcPr>
            <w:tcW w:w="2394" w:type="dxa"/>
            <w:vAlign w:val="center"/>
          </w:tcPr>
          <w:p w14:paraId="43A9EBD9" w14:textId="57E36EB3"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68C9AAF0" w14:textId="4B1AA437"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70.85 ± 4.97</w:t>
            </w:r>
          </w:p>
        </w:tc>
      </w:tr>
      <w:tr w:rsidR="00CF23DE" w:rsidRPr="00A20750" w14:paraId="1113E7FF" w14:textId="77777777" w:rsidTr="008C41DF">
        <w:tc>
          <w:tcPr>
            <w:tcW w:w="1418" w:type="dxa"/>
            <w:vAlign w:val="center"/>
          </w:tcPr>
          <w:p w14:paraId="59D29D94" w14:textId="581AADFE"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Control</w:t>
            </w:r>
          </w:p>
        </w:tc>
        <w:tc>
          <w:tcPr>
            <w:tcW w:w="3120" w:type="dxa"/>
            <w:vAlign w:val="center"/>
          </w:tcPr>
          <w:p w14:paraId="7FF41133" w14:textId="1291C537"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5 (</w:t>
            </w:r>
            <w:proofErr w:type="gramStart"/>
            <w:r w:rsidRPr="00A20750">
              <w:rPr>
                <w:rFonts w:ascii="Times New Roman" w:hAnsi="Times New Roman" w:cs="Times New Roman"/>
                <w:sz w:val="24"/>
                <w:szCs w:val="24"/>
              </w:rPr>
              <w:t>Post-Induction</w:t>
            </w:r>
            <w:proofErr w:type="gramEnd"/>
            <w:r w:rsidRPr="00A20750">
              <w:rPr>
                <w:rFonts w:ascii="Times New Roman" w:hAnsi="Times New Roman" w:cs="Times New Roman"/>
                <w:sz w:val="24"/>
                <w:szCs w:val="24"/>
              </w:rPr>
              <w:t>)</w:t>
            </w:r>
          </w:p>
        </w:tc>
        <w:tc>
          <w:tcPr>
            <w:tcW w:w="2394" w:type="dxa"/>
            <w:vAlign w:val="center"/>
          </w:tcPr>
          <w:p w14:paraId="5144DAF2" w14:textId="7D477D95"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599054D9" w14:textId="3AA9BC95"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65.45 ± 9.60</w:t>
            </w:r>
          </w:p>
        </w:tc>
      </w:tr>
      <w:tr w:rsidR="00CF23DE" w:rsidRPr="00A20750" w14:paraId="0CAE4993" w14:textId="77777777" w:rsidTr="008C41DF">
        <w:tc>
          <w:tcPr>
            <w:tcW w:w="1418" w:type="dxa"/>
            <w:vAlign w:val="center"/>
          </w:tcPr>
          <w:p w14:paraId="18828C79" w14:textId="1CB478EC"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Control</w:t>
            </w:r>
          </w:p>
        </w:tc>
        <w:tc>
          <w:tcPr>
            <w:tcW w:w="3120" w:type="dxa"/>
            <w:vAlign w:val="center"/>
          </w:tcPr>
          <w:p w14:paraId="6353B6E7" w14:textId="528FB293"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9 (Follow-up)</w:t>
            </w:r>
          </w:p>
        </w:tc>
        <w:tc>
          <w:tcPr>
            <w:tcW w:w="2394" w:type="dxa"/>
            <w:vAlign w:val="center"/>
          </w:tcPr>
          <w:p w14:paraId="1D9C978F" w14:textId="6DC29E1F"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1B6F020C" w14:textId="5E38FA9B"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68.00 ± 5.08</w:t>
            </w:r>
          </w:p>
        </w:tc>
      </w:tr>
      <w:tr w:rsidR="00CF23DE" w:rsidRPr="00A20750" w14:paraId="0C898459" w14:textId="77777777" w:rsidTr="008C41DF">
        <w:tc>
          <w:tcPr>
            <w:tcW w:w="1418" w:type="dxa"/>
            <w:vAlign w:val="center"/>
          </w:tcPr>
          <w:p w14:paraId="29C8BE16" w14:textId="4AF2E32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Treatment</w:t>
            </w:r>
          </w:p>
        </w:tc>
        <w:tc>
          <w:tcPr>
            <w:tcW w:w="3120" w:type="dxa"/>
            <w:vAlign w:val="center"/>
          </w:tcPr>
          <w:p w14:paraId="15311056" w14:textId="630116A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Baseline (Pretest)</w:t>
            </w:r>
          </w:p>
        </w:tc>
        <w:tc>
          <w:tcPr>
            <w:tcW w:w="2394" w:type="dxa"/>
            <w:vAlign w:val="center"/>
          </w:tcPr>
          <w:p w14:paraId="164C6B84" w14:textId="3BCEC315"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0CC56A3E" w14:textId="061EE23C"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68.02 ± 1.67</w:t>
            </w:r>
          </w:p>
        </w:tc>
      </w:tr>
      <w:tr w:rsidR="00CF23DE" w:rsidRPr="00A20750" w14:paraId="39BAA76E" w14:textId="77777777" w:rsidTr="008C41DF">
        <w:tc>
          <w:tcPr>
            <w:tcW w:w="1418" w:type="dxa"/>
            <w:vAlign w:val="center"/>
          </w:tcPr>
          <w:p w14:paraId="3BD30C41" w14:textId="69D9D6F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Treatment</w:t>
            </w:r>
          </w:p>
        </w:tc>
        <w:tc>
          <w:tcPr>
            <w:tcW w:w="3120" w:type="dxa"/>
            <w:vAlign w:val="center"/>
          </w:tcPr>
          <w:p w14:paraId="2A89FD45" w14:textId="651879ED"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5 (</w:t>
            </w:r>
            <w:proofErr w:type="gramStart"/>
            <w:r w:rsidRPr="00A20750">
              <w:rPr>
                <w:rFonts w:ascii="Times New Roman" w:hAnsi="Times New Roman" w:cs="Times New Roman"/>
                <w:sz w:val="24"/>
                <w:szCs w:val="24"/>
              </w:rPr>
              <w:t>Post-Induction</w:t>
            </w:r>
            <w:proofErr w:type="gramEnd"/>
            <w:r w:rsidRPr="00A20750">
              <w:rPr>
                <w:rFonts w:ascii="Times New Roman" w:hAnsi="Times New Roman" w:cs="Times New Roman"/>
                <w:sz w:val="24"/>
                <w:szCs w:val="24"/>
              </w:rPr>
              <w:t>)</w:t>
            </w:r>
          </w:p>
        </w:tc>
        <w:tc>
          <w:tcPr>
            <w:tcW w:w="2394" w:type="dxa"/>
            <w:vAlign w:val="center"/>
          </w:tcPr>
          <w:p w14:paraId="0AC609E0" w14:textId="770A5BC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6A7586A0" w14:textId="636FC399"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32.01 ± 24.71</w:t>
            </w:r>
          </w:p>
        </w:tc>
      </w:tr>
      <w:tr w:rsidR="00CF23DE" w:rsidRPr="00A20750" w14:paraId="3B1457E5" w14:textId="77777777" w:rsidTr="008C41DF">
        <w:tc>
          <w:tcPr>
            <w:tcW w:w="1418" w:type="dxa"/>
            <w:vAlign w:val="center"/>
          </w:tcPr>
          <w:p w14:paraId="48B5F1BD" w14:textId="51AFAA69"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Treatment</w:t>
            </w:r>
          </w:p>
        </w:tc>
        <w:tc>
          <w:tcPr>
            <w:tcW w:w="3120" w:type="dxa"/>
            <w:vAlign w:val="center"/>
          </w:tcPr>
          <w:p w14:paraId="0707C425" w14:textId="5B29523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9 (</w:t>
            </w:r>
            <w:proofErr w:type="gramStart"/>
            <w:r w:rsidRPr="00A20750">
              <w:rPr>
                <w:rFonts w:ascii="Times New Roman" w:hAnsi="Times New Roman" w:cs="Times New Roman"/>
                <w:sz w:val="24"/>
                <w:szCs w:val="24"/>
              </w:rPr>
              <w:t>Post-HBOT</w:t>
            </w:r>
            <w:proofErr w:type="gramEnd"/>
            <w:r w:rsidRPr="00A20750">
              <w:rPr>
                <w:rFonts w:ascii="Times New Roman" w:hAnsi="Times New Roman" w:cs="Times New Roman"/>
                <w:sz w:val="24"/>
                <w:szCs w:val="24"/>
              </w:rPr>
              <w:t>)</w:t>
            </w:r>
          </w:p>
        </w:tc>
        <w:tc>
          <w:tcPr>
            <w:tcW w:w="2394" w:type="dxa"/>
            <w:vAlign w:val="center"/>
          </w:tcPr>
          <w:p w14:paraId="4FFC62CF" w14:textId="5B43DA2D"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20676EDA" w14:textId="5515D427"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52.09 ± 14.03</w:t>
            </w:r>
          </w:p>
        </w:tc>
      </w:tr>
    </w:tbl>
    <w:p w14:paraId="060EA627" w14:textId="2ADC0798" w:rsidR="0085225B" w:rsidRPr="00A20750" w:rsidRDefault="0085225B" w:rsidP="00256FF2">
      <w:pPr>
        <w:pStyle w:val="IOP-CS-BodyText"/>
        <w:spacing w:line="240" w:lineRule="auto"/>
        <w:ind w:firstLine="0"/>
        <w:rPr>
          <w:rFonts w:ascii="Times New Roman" w:hAnsi="Times New Roman" w:cs="Times New Roman"/>
          <w:noProof/>
          <w:sz w:val="24"/>
          <w:szCs w:val="24"/>
          <w:lang w:val="pt-PT"/>
        </w:rPr>
      </w:pPr>
    </w:p>
    <w:p w14:paraId="700F3835" w14:textId="617FE8CB" w:rsidR="008C41DF" w:rsidRPr="00A20750" w:rsidRDefault="008C41DF" w:rsidP="00256FF2">
      <w:pPr>
        <w:pStyle w:val="IOP-CS-BodyText"/>
        <w:spacing w:line="240" w:lineRule="auto"/>
        <w:ind w:firstLine="0"/>
        <w:rPr>
          <w:rFonts w:ascii="Times New Roman" w:hAnsi="Times New Roman" w:cs="Times New Roman"/>
          <w:noProof/>
          <w:sz w:val="24"/>
          <w:szCs w:val="24"/>
          <w:lang w:val="en-US"/>
        </w:rPr>
      </w:pPr>
      <w:r w:rsidRPr="00A20750">
        <w:rPr>
          <w:rFonts w:ascii="Times New Roman" w:hAnsi="Times New Roman" w:cs="Times New Roman"/>
          <w:noProof/>
          <w:sz w:val="24"/>
          <w:szCs w:val="24"/>
          <w:lang w:val="en-US"/>
        </w:rPr>
        <w:lastRenderedPageBreak/>
        <w:t xml:space="preserve">A graphical representation of the changes in spatial working memory scores across the observation periods is presented in Figure 2. The figure illustrates the relatively stable pattern of spatial working memory in the control group and the marked decrease in performance following </w:t>
      </w:r>
      <w:r w:rsidRPr="00A20750">
        <w:rPr>
          <w:rFonts w:ascii="Times New Roman" w:hAnsi="Times New Roman" w:cs="Times New Roman"/>
          <w:i/>
          <w:iCs/>
          <w:noProof/>
          <w:sz w:val="24"/>
          <w:szCs w:val="24"/>
          <w:lang w:val="en-US"/>
        </w:rPr>
        <w:t>P. gingivalis</w:t>
      </w:r>
      <w:r w:rsidRPr="00A20750">
        <w:rPr>
          <w:rFonts w:ascii="Times New Roman" w:hAnsi="Times New Roman" w:cs="Times New Roman"/>
          <w:noProof/>
          <w:sz w:val="24"/>
          <w:szCs w:val="24"/>
          <w:lang w:val="en-US"/>
        </w:rPr>
        <w:t xml:space="preserve"> induction in the treatment group, followed by improvement after HBOT administration.</w:t>
      </w:r>
    </w:p>
    <w:p w14:paraId="6E8434E0" w14:textId="7B7D9A04" w:rsidR="008C41DF" w:rsidRPr="00A20750" w:rsidRDefault="00DF5F1B" w:rsidP="00256FF2">
      <w:pPr>
        <w:pStyle w:val="IOP-CS-BodyText"/>
        <w:spacing w:line="240" w:lineRule="auto"/>
        <w:ind w:firstLine="0"/>
        <w:rPr>
          <w:rFonts w:ascii="Times New Roman" w:hAnsi="Times New Roman" w:cs="Times New Roman"/>
          <w:noProof/>
          <w:sz w:val="24"/>
          <w:szCs w:val="24"/>
          <w:lang w:val="en-US"/>
        </w:rPr>
      </w:pPr>
      <w:r w:rsidRPr="00A20750">
        <w:rPr>
          <w:rFonts w:ascii="Times New Roman" w:hAnsi="Times New Roman" w:cs="Times New Roman"/>
          <w:noProof/>
          <w:sz w:val="24"/>
          <w:szCs w:val="24"/>
          <w:lang w:val="en-US"/>
        </w:rPr>
        <w:drawing>
          <wp:inline distT="0" distB="0" distL="0" distR="0" wp14:anchorId="1C8A7CE6" wp14:editId="14E2E4CE">
            <wp:extent cx="5677469" cy="2073247"/>
            <wp:effectExtent l="0" t="0" r="0" b="0"/>
            <wp:docPr id="157188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0521" name=""/>
                    <pic:cNvPicPr/>
                  </pic:nvPicPr>
                  <pic:blipFill>
                    <a:blip r:embed="rId10"/>
                    <a:stretch>
                      <a:fillRect/>
                    </a:stretch>
                  </pic:blipFill>
                  <pic:spPr>
                    <a:xfrm>
                      <a:off x="0" y="0"/>
                      <a:ext cx="5696825" cy="2080315"/>
                    </a:xfrm>
                    <a:prstGeom prst="rect">
                      <a:avLst/>
                    </a:prstGeom>
                  </pic:spPr>
                </pic:pic>
              </a:graphicData>
            </a:graphic>
          </wp:inline>
        </w:drawing>
      </w:r>
    </w:p>
    <w:p w14:paraId="182D8906"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ID"/>
        </w:rPr>
        <w:t>Figure 2:</w:t>
      </w:r>
      <w:r w:rsidRPr="00A20750">
        <w:rPr>
          <w:rFonts w:ascii="Times New Roman" w:hAnsi="Times New Roman" w:cs="Times New Roman"/>
          <w:noProof/>
          <w:sz w:val="24"/>
          <w:szCs w:val="24"/>
          <w:lang w:val="en-ID"/>
        </w:rPr>
        <w:t xml:space="preserve"> Mean and standard deviation of Y-maze spontaneous alternation scores in the control and treatment groups at baseline (pretest), week 5 (post-induction), and week 9 (post-HBOT).</w:t>
      </w:r>
    </w:p>
    <w:p w14:paraId="477BFEC8"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p>
    <w:p w14:paraId="25EE7BBB"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Normality testing was performed using the Shapiro–Wilk test, while homogeneity of variance was evaluated using Levene’s test. The results indicated that the control group data were normally distributed and homogeneous (p &gt; 0.05). In contrast, the treatment group data were not normally distributed (p &lt; 0.05). Therefore, different statistical approaches were applied for each group.</w:t>
      </w:r>
    </w:p>
    <w:p w14:paraId="5AB67FE8"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p>
    <w:p w14:paraId="490D7286"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For the control group, repeated-measures ANOVA was used to compare spatial working memory across the three observation time points, followed by paired t-tests for pairwise comparisons. The paired t-test results are presented in Table 2.</w:t>
      </w:r>
    </w:p>
    <w:p w14:paraId="4C2ACCBE"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p>
    <w:p w14:paraId="36F4760D" w14:textId="08D199F4" w:rsidR="00DF5F1B" w:rsidRPr="00A20750" w:rsidRDefault="00DF5F1B" w:rsidP="00256FF2">
      <w:pPr>
        <w:pStyle w:val="IOP-CS-BodyText"/>
        <w:spacing w:line="240" w:lineRule="auto"/>
        <w:ind w:firstLine="0"/>
        <w:jc w:val="center"/>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US"/>
        </w:rPr>
        <w:t xml:space="preserve">Table 2. </w:t>
      </w:r>
      <w:r w:rsidRPr="00A20750">
        <w:rPr>
          <w:rFonts w:ascii="Times New Roman" w:hAnsi="Times New Roman" w:cs="Times New Roman"/>
          <w:noProof/>
          <w:sz w:val="24"/>
          <w:szCs w:val="24"/>
          <w:lang w:val="en-US"/>
        </w:rPr>
        <w:t>Paired t-Test Results for Spatial Working Memory in the Control Group</w:t>
      </w:r>
    </w:p>
    <w:tbl>
      <w:tblPr>
        <w:tblStyle w:val="TableGrid"/>
        <w:tblW w:w="0" w:type="auto"/>
        <w:tblInd w:w="250" w:type="dxa"/>
        <w:tblLook w:val="04A0" w:firstRow="1" w:lastRow="0" w:firstColumn="1" w:lastColumn="0" w:noHBand="0" w:noVBand="1"/>
      </w:tblPr>
      <w:tblGrid>
        <w:gridCol w:w="4538"/>
        <w:gridCol w:w="4392"/>
      </w:tblGrid>
      <w:tr w:rsidR="00DF5F1B" w:rsidRPr="00A20750" w14:paraId="4AEA644F" w14:textId="77777777" w:rsidTr="00DF5F1B">
        <w:tc>
          <w:tcPr>
            <w:tcW w:w="4538" w:type="dxa"/>
            <w:vAlign w:val="center"/>
          </w:tcPr>
          <w:p w14:paraId="56F982C7" w14:textId="7EE3AE83"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Comparison</w:t>
            </w:r>
          </w:p>
        </w:tc>
        <w:tc>
          <w:tcPr>
            <w:tcW w:w="4392" w:type="dxa"/>
            <w:vAlign w:val="center"/>
          </w:tcPr>
          <w:p w14:paraId="3D1ADF04" w14:textId="7FAAC402"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p-value</w:t>
            </w:r>
          </w:p>
        </w:tc>
      </w:tr>
      <w:tr w:rsidR="00DF5F1B" w:rsidRPr="00A20750" w14:paraId="4A5A878D" w14:textId="77777777" w:rsidTr="00DF5F1B">
        <w:tc>
          <w:tcPr>
            <w:tcW w:w="4538" w:type="dxa"/>
            <w:vAlign w:val="center"/>
          </w:tcPr>
          <w:p w14:paraId="75FC7C96" w14:textId="552E7AA2"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Pretest vs Week 5</w:t>
            </w:r>
          </w:p>
        </w:tc>
        <w:tc>
          <w:tcPr>
            <w:tcW w:w="4392" w:type="dxa"/>
            <w:vAlign w:val="center"/>
          </w:tcPr>
          <w:p w14:paraId="72448977" w14:textId="73238711"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0.063</w:t>
            </w:r>
          </w:p>
        </w:tc>
      </w:tr>
      <w:tr w:rsidR="00DF5F1B" w:rsidRPr="00A20750" w14:paraId="4140A595" w14:textId="77777777" w:rsidTr="00DF5F1B">
        <w:tc>
          <w:tcPr>
            <w:tcW w:w="4538" w:type="dxa"/>
            <w:vAlign w:val="center"/>
          </w:tcPr>
          <w:p w14:paraId="3540451E" w14:textId="35019ECC"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Pretest vs Week 9</w:t>
            </w:r>
          </w:p>
        </w:tc>
        <w:tc>
          <w:tcPr>
            <w:tcW w:w="4392" w:type="dxa"/>
            <w:vAlign w:val="center"/>
          </w:tcPr>
          <w:p w14:paraId="7DA86BE8" w14:textId="1A35C942"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0.069</w:t>
            </w:r>
          </w:p>
        </w:tc>
      </w:tr>
      <w:tr w:rsidR="00DF5F1B" w:rsidRPr="00A20750" w14:paraId="25124C96" w14:textId="77777777" w:rsidTr="00DF5F1B">
        <w:tc>
          <w:tcPr>
            <w:tcW w:w="4538" w:type="dxa"/>
            <w:vAlign w:val="center"/>
          </w:tcPr>
          <w:p w14:paraId="3F3D6E90" w14:textId="1C76B7F4"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5 vs Week 9</w:t>
            </w:r>
          </w:p>
        </w:tc>
        <w:tc>
          <w:tcPr>
            <w:tcW w:w="4392" w:type="dxa"/>
            <w:vAlign w:val="center"/>
          </w:tcPr>
          <w:p w14:paraId="32C75B9C" w14:textId="117BD05A"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0.231</w:t>
            </w:r>
          </w:p>
        </w:tc>
      </w:tr>
    </w:tbl>
    <w:p w14:paraId="10B90108"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pt-PT"/>
        </w:rPr>
      </w:pPr>
    </w:p>
    <w:p w14:paraId="4BD45529"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The results showed that all p-values were greater than 0.05, indicating that no statistically significant differences in spatial working memory were observed across the observation periods in the control group.</w:t>
      </w:r>
    </w:p>
    <w:p w14:paraId="2BD3D4F2"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For the treatment group, non-parametric tests were applied due to the non-normal distribution of the data. The Friedman test was used to evaluate differences across the three observation time points, followed by Wilcoxon signed-rank tests for pairwise comparisons. The Wilcoxon test results are presented in Table 3.</w:t>
      </w:r>
    </w:p>
    <w:p w14:paraId="734A1F16" w14:textId="77777777" w:rsidR="00604DB0" w:rsidRPr="00A20750" w:rsidRDefault="00604DB0" w:rsidP="00256FF2">
      <w:pPr>
        <w:pStyle w:val="IOP-CS-BodyText"/>
        <w:spacing w:line="240" w:lineRule="auto"/>
        <w:ind w:firstLine="0"/>
        <w:rPr>
          <w:rFonts w:ascii="Times New Roman" w:hAnsi="Times New Roman" w:cs="Times New Roman"/>
          <w:noProof/>
          <w:sz w:val="24"/>
          <w:szCs w:val="24"/>
          <w:lang w:val="en-ID"/>
        </w:rPr>
      </w:pPr>
    </w:p>
    <w:p w14:paraId="0D6EF25D" w14:textId="6DC20231" w:rsidR="00DF5F1B" w:rsidRPr="00A20750" w:rsidRDefault="00DF5F1B" w:rsidP="00256FF2">
      <w:pPr>
        <w:pStyle w:val="IOP-CS-BodyText"/>
        <w:spacing w:line="240" w:lineRule="auto"/>
        <w:ind w:firstLine="0"/>
        <w:jc w:val="center"/>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US"/>
        </w:rPr>
        <w:t>Table 3.</w:t>
      </w:r>
      <w:r w:rsidRPr="00A20750">
        <w:rPr>
          <w:rFonts w:ascii="Times New Roman" w:hAnsi="Times New Roman" w:cs="Times New Roman"/>
          <w:noProof/>
          <w:sz w:val="24"/>
          <w:szCs w:val="24"/>
          <w:lang w:val="en-US"/>
        </w:rPr>
        <w:t xml:space="preserve"> Wilcoxon Signed-Rank Test Results for Spatial Working Memory in the Treatment Group</w:t>
      </w:r>
    </w:p>
    <w:tbl>
      <w:tblPr>
        <w:tblStyle w:val="TableGrid"/>
        <w:tblW w:w="0" w:type="auto"/>
        <w:jc w:val="center"/>
        <w:tblLook w:val="04A0" w:firstRow="1" w:lastRow="0" w:firstColumn="1" w:lastColumn="0" w:noHBand="0" w:noVBand="1"/>
      </w:tblPr>
      <w:tblGrid>
        <w:gridCol w:w="3120"/>
        <w:gridCol w:w="1699"/>
      </w:tblGrid>
      <w:tr w:rsidR="00DF5F1B" w:rsidRPr="00A20750" w14:paraId="3BE83FB8" w14:textId="77777777" w:rsidTr="00DF5F1B">
        <w:trPr>
          <w:jc w:val="center"/>
        </w:trPr>
        <w:tc>
          <w:tcPr>
            <w:tcW w:w="3120" w:type="dxa"/>
            <w:vAlign w:val="center"/>
          </w:tcPr>
          <w:p w14:paraId="11AD3010" w14:textId="61D9018E"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b/>
                <w:bCs/>
                <w:sz w:val="24"/>
                <w:szCs w:val="24"/>
              </w:rPr>
              <w:t>Comparison</w:t>
            </w:r>
          </w:p>
        </w:tc>
        <w:tc>
          <w:tcPr>
            <w:tcW w:w="1699" w:type="dxa"/>
            <w:vAlign w:val="center"/>
          </w:tcPr>
          <w:p w14:paraId="3C19914E" w14:textId="5D1D9FC4"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b/>
                <w:bCs/>
                <w:sz w:val="24"/>
                <w:szCs w:val="24"/>
              </w:rPr>
              <w:t>p-value</w:t>
            </w:r>
          </w:p>
        </w:tc>
      </w:tr>
      <w:tr w:rsidR="00DF5F1B" w:rsidRPr="00A20750" w14:paraId="3A567197" w14:textId="77777777" w:rsidTr="00DF5F1B">
        <w:trPr>
          <w:jc w:val="center"/>
        </w:trPr>
        <w:tc>
          <w:tcPr>
            <w:tcW w:w="3120" w:type="dxa"/>
            <w:vAlign w:val="center"/>
          </w:tcPr>
          <w:p w14:paraId="23704109" w14:textId="548713B8"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Pretest vs Week 5</w:t>
            </w:r>
          </w:p>
        </w:tc>
        <w:tc>
          <w:tcPr>
            <w:tcW w:w="1699" w:type="dxa"/>
            <w:vAlign w:val="center"/>
          </w:tcPr>
          <w:p w14:paraId="247BBEE1" w14:textId="5D0C5ACD"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&lt;0.005</w:t>
            </w:r>
          </w:p>
        </w:tc>
      </w:tr>
      <w:tr w:rsidR="00DF5F1B" w:rsidRPr="00A20750" w14:paraId="2EE87775" w14:textId="77777777" w:rsidTr="00DF5F1B">
        <w:trPr>
          <w:jc w:val="center"/>
        </w:trPr>
        <w:tc>
          <w:tcPr>
            <w:tcW w:w="3120" w:type="dxa"/>
            <w:vAlign w:val="center"/>
          </w:tcPr>
          <w:p w14:paraId="7722FAAF" w14:textId="3E0445F6"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lastRenderedPageBreak/>
              <w:t>Pretest vs Week 9</w:t>
            </w:r>
          </w:p>
        </w:tc>
        <w:tc>
          <w:tcPr>
            <w:tcW w:w="1699" w:type="dxa"/>
            <w:vAlign w:val="center"/>
          </w:tcPr>
          <w:p w14:paraId="13F81273" w14:textId="44FCBFE4"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&lt;0.010</w:t>
            </w:r>
          </w:p>
        </w:tc>
      </w:tr>
      <w:tr w:rsidR="00DF5F1B" w:rsidRPr="00A20750" w14:paraId="2537AC6E" w14:textId="77777777" w:rsidTr="00DF5F1B">
        <w:trPr>
          <w:jc w:val="center"/>
        </w:trPr>
        <w:tc>
          <w:tcPr>
            <w:tcW w:w="3120" w:type="dxa"/>
            <w:vAlign w:val="center"/>
          </w:tcPr>
          <w:p w14:paraId="0CDDDD02" w14:textId="2F5A5948"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Week 5 vs Week 9</w:t>
            </w:r>
          </w:p>
        </w:tc>
        <w:tc>
          <w:tcPr>
            <w:tcW w:w="1699" w:type="dxa"/>
            <w:vAlign w:val="center"/>
          </w:tcPr>
          <w:p w14:paraId="367442E9" w14:textId="381FF5A0"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&lt;0.041</w:t>
            </w:r>
          </w:p>
        </w:tc>
      </w:tr>
    </w:tbl>
    <w:p w14:paraId="2FEC757B" w14:textId="112A0342" w:rsidR="00DF5F1B" w:rsidRPr="00A20750" w:rsidRDefault="008606AC"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US"/>
        </w:rPr>
        <w:t>The statistical analysis demonstrated significant differences in spatial working memory between the observation periods in the treatment group (p &lt; 0.05).</w:t>
      </w:r>
    </w:p>
    <w:p w14:paraId="24991E86"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pt-PT"/>
        </w:rPr>
      </w:pPr>
    </w:p>
    <w:p w14:paraId="7B08D1D9" w14:textId="2E46FE59" w:rsidR="0085225B" w:rsidRPr="00A20750" w:rsidRDefault="00AF78BE" w:rsidP="00256FF2">
      <w:pPr>
        <w:pStyle w:val="IOP-CS-SectionHead"/>
        <w:spacing w:line="240" w:lineRule="auto"/>
        <w:rPr>
          <w:rFonts w:ascii="Times New Roman" w:hAnsi="Times New Roman" w:cs="Times New Roman"/>
          <w:sz w:val="24"/>
          <w:szCs w:val="24"/>
        </w:rPr>
      </w:pPr>
      <w:r w:rsidRPr="00A20750">
        <w:rPr>
          <w:rFonts w:ascii="Times New Roman" w:hAnsi="Times New Roman" w:cs="Times New Roman"/>
          <w:sz w:val="24"/>
          <w:szCs w:val="24"/>
        </w:rPr>
        <w:t xml:space="preserve">Discussion </w:t>
      </w:r>
    </w:p>
    <w:p w14:paraId="5D25FC7A"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This study demonstrated that induction with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kern w:val="2"/>
          <w:sz w:val="24"/>
          <w:szCs w:val="24"/>
          <w:lang w:val="en-ID"/>
        </w:rPr>
        <w:t xml:space="preserve"> resulted in a decline in spatial working memory in Sprague–Dawley rats, as indicated by reduced spontaneous alternation </w:t>
      </w:r>
      <w:proofErr w:type="spellStart"/>
      <w:r w:rsidRPr="00A20750">
        <w:rPr>
          <w:rFonts w:ascii="Times New Roman" w:eastAsiaTheme="minorHAnsi" w:hAnsi="Times New Roman" w:cs="Times New Roman"/>
          <w:kern w:val="2"/>
          <w:sz w:val="24"/>
          <w:szCs w:val="24"/>
          <w:lang w:val="en-ID"/>
        </w:rPr>
        <w:t>behavior</w:t>
      </w:r>
      <w:proofErr w:type="spellEnd"/>
      <w:r w:rsidRPr="00A20750">
        <w:rPr>
          <w:rFonts w:ascii="Times New Roman" w:eastAsiaTheme="minorHAnsi" w:hAnsi="Times New Roman" w:cs="Times New Roman"/>
          <w:kern w:val="2"/>
          <w:sz w:val="24"/>
          <w:szCs w:val="24"/>
          <w:lang w:val="en-ID"/>
        </w:rPr>
        <w:t xml:space="preserve"> in the Y-maze test. Following the administration of Hyperbaric Oxygen Therapy (HBOT), an improvement in spatial working memory performance was observed. These findings suggest that chronic infection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may impair cognitive function, while HBOT may partially restore cognitive performance.</w:t>
      </w:r>
    </w:p>
    <w:p w14:paraId="1553B342" w14:textId="0E0077CA"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In the treatment group, spatial working memory decreased after intraoral induction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at week 5 compared with baseline. This finding is consistent with previous research reporting that exposure to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lipopolysaccharide (Pg-LPS) significantly reduces spontaneous alternation </w:t>
      </w:r>
      <w:proofErr w:type="spellStart"/>
      <w:r w:rsidRPr="00A20750">
        <w:rPr>
          <w:rFonts w:ascii="Times New Roman" w:eastAsiaTheme="minorHAnsi" w:hAnsi="Times New Roman" w:cs="Times New Roman"/>
          <w:kern w:val="2"/>
          <w:sz w:val="24"/>
          <w:szCs w:val="24"/>
          <w:lang w:val="en-ID"/>
        </w:rPr>
        <w:t>behavior</w:t>
      </w:r>
      <w:proofErr w:type="spellEnd"/>
      <w:r w:rsidRPr="00A20750">
        <w:rPr>
          <w:rFonts w:ascii="Times New Roman" w:eastAsiaTheme="minorHAnsi" w:hAnsi="Times New Roman" w:cs="Times New Roman"/>
          <w:kern w:val="2"/>
          <w:sz w:val="24"/>
          <w:szCs w:val="24"/>
          <w:lang w:val="en-ID"/>
        </w:rPr>
        <w:t xml:space="preserve"> in the Y-maze test compared with control groups. The decline in spatial working memory indicates impairment of hippocampal-dependent cognitive function due to inflammatory stimulation triggered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infection</w:t>
      </w:r>
      <w:r w:rsidR="00924672">
        <w:rPr>
          <w:rFonts w:ascii="Times New Roman" w:eastAsiaTheme="minorHAnsi" w:hAnsi="Times New Roman" w:cs="Times New Roman"/>
          <w:kern w:val="2"/>
          <w:sz w:val="24"/>
          <w:szCs w:val="24"/>
          <w:lang w:val="en-ID"/>
        </w:rPr>
        <w:t>.</w:t>
      </w:r>
      <w:r w:rsidR="00924672" w:rsidRPr="00924672">
        <w:rPr>
          <w:rFonts w:ascii="Times New Roman" w:eastAsiaTheme="minorHAnsi" w:hAnsi="Times New Roman" w:cs="Times New Roman"/>
          <w:kern w:val="2"/>
          <w:sz w:val="24"/>
          <w:szCs w:val="24"/>
          <w:vertAlign w:val="superscript"/>
          <w:lang w:val="en-ID"/>
        </w:rPr>
        <w:t>15</w:t>
      </w:r>
      <w:r w:rsidR="00924672" w:rsidRPr="00CB1322">
        <w:rPr>
          <w:rFonts w:ascii="Times New Roman" w:eastAsiaTheme="minorHAnsi" w:hAnsi="Times New Roman" w:cs="Times New Roman"/>
          <w:kern w:val="2"/>
          <w:sz w:val="24"/>
          <w:szCs w:val="24"/>
          <w:lang w:val="en-ID"/>
        </w:rPr>
        <w:t>,</w:t>
      </w:r>
      <w:r w:rsidR="00924672" w:rsidRPr="00924672">
        <w:rPr>
          <w:rFonts w:ascii="Times New Roman" w:eastAsiaTheme="minorHAnsi" w:hAnsi="Times New Roman" w:cs="Times New Roman"/>
          <w:kern w:val="2"/>
          <w:sz w:val="24"/>
          <w:szCs w:val="24"/>
          <w:vertAlign w:val="superscript"/>
          <w:lang w:val="en-ID"/>
        </w:rPr>
        <w:t>30</w:t>
      </w:r>
    </w:p>
    <w:p w14:paraId="4710A3C6" w14:textId="4300301D"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Chronic infection by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kern w:val="2"/>
          <w:sz w:val="24"/>
          <w:szCs w:val="24"/>
          <w:lang w:val="en-ID"/>
        </w:rPr>
        <w:t>, a Gram-negative anaerobic bacterium and a major pathogen in periodontitis, begins with colonization in periodontal tissues within the oral cavity. This bacterium produces various virulence factors, including lipopolysaccharide (LPS), gingipain, fimbriae, and outer membrane vesicles (OMVs), which facilitate invasion into gingival tissues and penetration into the systemic circulation, resulting in bacteremia.</w:t>
      </w:r>
      <w:r w:rsidR="00CB1322" w:rsidRPr="00CB1322">
        <w:rPr>
          <w:rFonts w:ascii="Times New Roman" w:eastAsiaTheme="minorHAnsi" w:hAnsi="Times New Roman" w:cs="Times New Roman"/>
          <w:kern w:val="2"/>
          <w:sz w:val="24"/>
          <w:szCs w:val="24"/>
          <w:vertAlign w:val="superscript"/>
          <w:lang w:val="en-ID"/>
        </w:rPr>
        <w:t>31</w:t>
      </w:r>
      <w:r w:rsidRPr="00A20750">
        <w:rPr>
          <w:rFonts w:ascii="Times New Roman" w:eastAsiaTheme="minorHAnsi" w:hAnsi="Times New Roman" w:cs="Times New Roman"/>
          <w:kern w:val="2"/>
          <w:sz w:val="24"/>
          <w:szCs w:val="24"/>
          <w:lang w:val="en-ID"/>
        </w:rPr>
        <w:t xml:space="preserve"> The condition is further exacerbated by epithelial tissue damage and periodontal pocket formation, which increase bacterial access to local blood vessels.</w:t>
      </w:r>
    </w:p>
    <w:p w14:paraId="6467B0A1" w14:textId="7942970F"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Once in the systemic circulation,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and its virulence components can stimulate activation of the innate immune system. Interaction between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LPS and immune receptors such as Toll-like receptor 2 (TLR2) and complement receptor C5aR1 activates intracellular </w:t>
      </w:r>
      <w:proofErr w:type="spellStart"/>
      <w:r w:rsidRPr="00A20750">
        <w:rPr>
          <w:rFonts w:ascii="Times New Roman" w:eastAsiaTheme="minorHAnsi" w:hAnsi="Times New Roman" w:cs="Times New Roman"/>
          <w:kern w:val="2"/>
          <w:sz w:val="24"/>
          <w:szCs w:val="24"/>
          <w:lang w:val="en-ID"/>
        </w:rPr>
        <w:t>signaling</w:t>
      </w:r>
      <w:proofErr w:type="spellEnd"/>
      <w:r w:rsidRPr="00A20750">
        <w:rPr>
          <w:rFonts w:ascii="Times New Roman" w:eastAsiaTheme="minorHAnsi" w:hAnsi="Times New Roman" w:cs="Times New Roman"/>
          <w:kern w:val="2"/>
          <w:sz w:val="24"/>
          <w:szCs w:val="24"/>
          <w:lang w:val="en-ID"/>
        </w:rPr>
        <w:t xml:space="preserve"> pathways including PI3K and NF-</w:t>
      </w:r>
      <w:proofErr w:type="spellStart"/>
      <w:r w:rsidRPr="00A20750">
        <w:rPr>
          <w:rFonts w:ascii="Times New Roman" w:eastAsiaTheme="minorHAnsi" w:hAnsi="Times New Roman" w:cs="Times New Roman"/>
          <w:kern w:val="2"/>
          <w:sz w:val="24"/>
          <w:szCs w:val="24"/>
          <w:lang w:val="en-ID"/>
        </w:rPr>
        <w:t>κB</w:t>
      </w:r>
      <w:proofErr w:type="spellEnd"/>
      <w:r w:rsidRPr="00A20750">
        <w:rPr>
          <w:rFonts w:ascii="Times New Roman" w:eastAsiaTheme="minorHAnsi" w:hAnsi="Times New Roman" w:cs="Times New Roman"/>
          <w:kern w:val="2"/>
          <w:sz w:val="24"/>
          <w:szCs w:val="24"/>
          <w:lang w:val="en-ID"/>
        </w:rPr>
        <w:t>, which subsequently induce the release of pro-inflammatory cytokines such as IL-1β, TNF-α, IL-6, and IL-8.</w:t>
      </w:r>
      <w:r w:rsidR="00CB1322" w:rsidRPr="00CB1322">
        <w:rPr>
          <w:rFonts w:ascii="Times New Roman" w:eastAsiaTheme="minorHAnsi" w:hAnsi="Times New Roman" w:cs="Times New Roman"/>
          <w:kern w:val="2"/>
          <w:sz w:val="24"/>
          <w:szCs w:val="24"/>
          <w:vertAlign w:val="superscript"/>
          <w:lang w:val="en-ID"/>
        </w:rPr>
        <w:t>32</w:t>
      </w:r>
      <w:r w:rsidR="00CB1322" w:rsidRPr="00CB1322">
        <w:rPr>
          <w:rFonts w:ascii="Times New Roman" w:eastAsiaTheme="minorHAnsi" w:hAnsi="Times New Roman" w:cs="Times New Roman"/>
          <w:kern w:val="2"/>
          <w:sz w:val="24"/>
          <w:szCs w:val="24"/>
          <w:lang w:val="en-ID"/>
        </w:rPr>
        <w:t>,</w:t>
      </w:r>
      <w:r w:rsidR="00CB1322" w:rsidRPr="00CB1322">
        <w:rPr>
          <w:rFonts w:ascii="Times New Roman" w:eastAsiaTheme="minorHAnsi" w:hAnsi="Times New Roman" w:cs="Times New Roman"/>
          <w:kern w:val="2"/>
          <w:sz w:val="24"/>
          <w:szCs w:val="24"/>
          <w:vertAlign w:val="superscript"/>
          <w:lang w:val="en-ID"/>
        </w:rPr>
        <w:t>33</w:t>
      </w:r>
      <w:r w:rsidRPr="00A20750">
        <w:rPr>
          <w:rFonts w:ascii="Times New Roman" w:eastAsiaTheme="minorHAnsi" w:hAnsi="Times New Roman" w:cs="Times New Roman"/>
          <w:kern w:val="2"/>
          <w:sz w:val="24"/>
          <w:szCs w:val="24"/>
          <w:lang w:val="en-ID"/>
        </w:rPr>
        <w:t xml:space="preserve"> These inflammatory mediators not only sustain local periodontal inflammation but also disseminate through the bloodstream to distant organs, including the brain, thereby contributing to systemic inflammatory responses.</w:t>
      </w:r>
    </w:p>
    <w:p w14:paraId="78EFF830" w14:textId="0AAA0214"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Systemic dissemination of pro-inflammatory cytokines, particularly TNF-α and IL-1β, plays an important role in disrupting the integrity of the blood–brain barrier (BBB). One of the underlying mechanisms involves downregulation of tight junction proteins such as </w:t>
      </w:r>
      <w:proofErr w:type="spellStart"/>
      <w:r w:rsidRPr="00A20750">
        <w:rPr>
          <w:rFonts w:ascii="Times New Roman" w:eastAsiaTheme="minorHAnsi" w:hAnsi="Times New Roman" w:cs="Times New Roman"/>
          <w:kern w:val="2"/>
          <w:sz w:val="24"/>
          <w:szCs w:val="24"/>
          <w:lang w:val="en-ID"/>
        </w:rPr>
        <w:t>occludin</w:t>
      </w:r>
      <w:proofErr w:type="spellEnd"/>
      <w:r w:rsidRPr="00A20750">
        <w:rPr>
          <w:rFonts w:ascii="Times New Roman" w:eastAsiaTheme="minorHAnsi" w:hAnsi="Times New Roman" w:cs="Times New Roman"/>
          <w:kern w:val="2"/>
          <w:sz w:val="24"/>
          <w:szCs w:val="24"/>
          <w:lang w:val="en-ID"/>
        </w:rPr>
        <w:t xml:space="preserve"> and claudin-5 in brain capillary endothelial cells. This alteration increases BBB permeability and allows toxins, inflammatory mediators, and microbial products to enter brain tissue, triggering microglial activation and neuroinflammatory responses.</w:t>
      </w:r>
      <w:r w:rsidR="00CB1322" w:rsidRPr="00CB1322">
        <w:rPr>
          <w:rFonts w:ascii="Times New Roman" w:eastAsiaTheme="minorHAnsi" w:hAnsi="Times New Roman" w:cs="Times New Roman"/>
          <w:kern w:val="2"/>
          <w:sz w:val="24"/>
          <w:szCs w:val="24"/>
          <w:vertAlign w:val="superscript"/>
          <w:lang w:val="en-ID"/>
        </w:rPr>
        <w:t>34</w:t>
      </w:r>
      <w:r w:rsidR="00CB1322" w:rsidRPr="00CB1322">
        <w:rPr>
          <w:rFonts w:ascii="Times New Roman" w:eastAsiaTheme="minorHAnsi" w:hAnsi="Times New Roman" w:cs="Times New Roman"/>
          <w:kern w:val="2"/>
          <w:sz w:val="24"/>
          <w:szCs w:val="24"/>
          <w:lang w:val="en-ID"/>
        </w:rPr>
        <w:t>,</w:t>
      </w:r>
      <w:r w:rsidR="00CB1322" w:rsidRPr="00CB1322">
        <w:rPr>
          <w:rFonts w:ascii="Times New Roman" w:eastAsiaTheme="minorHAnsi" w:hAnsi="Times New Roman" w:cs="Times New Roman"/>
          <w:kern w:val="2"/>
          <w:sz w:val="24"/>
          <w:szCs w:val="24"/>
          <w:vertAlign w:val="superscript"/>
          <w:lang w:val="en-ID"/>
        </w:rPr>
        <w:t>35</w:t>
      </w:r>
    </w:p>
    <w:p w14:paraId="29113244" w14:textId="371E74D6"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In addition to hematogenous dissemination, transmission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to the central nervous system may also occur through neural pathways, particularly the trigeminal nerve. Outer membrane vesicles released by this bacterium are capable of migrating retrogradely through sensory nerve branches toward the trigeminal nucleus and hippocampus. This mechanism forms part of the oral–brain axis and reinforces the association between chronic periodontal infection and neuroinflammatory pathology.</w:t>
      </w:r>
      <w:r w:rsidR="00CB1322" w:rsidRPr="00CB1322">
        <w:rPr>
          <w:rFonts w:ascii="Times New Roman" w:eastAsiaTheme="minorHAnsi" w:hAnsi="Times New Roman" w:cs="Times New Roman"/>
          <w:kern w:val="2"/>
          <w:sz w:val="24"/>
          <w:szCs w:val="24"/>
          <w:vertAlign w:val="superscript"/>
          <w:lang w:val="en-ID"/>
        </w:rPr>
        <w:t>36</w:t>
      </w:r>
      <w:r w:rsidR="00CB1322" w:rsidRPr="00CB1322">
        <w:rPr>
          <w:rFonts w:ascii="Times New Roman" w:eastAsiaTheme="minorHAnsi" w:hAnsi="Times New Roman" w:cs="Times New Roman"/>
          <w:kern w:val="2"/>
          <w:sz w:val="24"/>
          <w:szCs w:val="24"/>
          <w:lang w:val="en-ID"/>
        </w:rPr>
        <w:t>,</w:t>
      </w:r>
      <w:r w:rsidR="00CB1322" w:rsidRPr="00CB1322">
        <w:rPr>
          <w:rFonts w:ascii="Times New Roman" w:eastAsiaTheme="minorHAnsi" w:hAnsi="Times New Roman" w:cs="Times New Roman"/>
          <w:kern w:val="2"/>
          <w:sz w:val="24"/>
          <w:szCs w:val="24"/>
          <w:vertAlign w:val="superscript"/>
          <w:lang w:val="en-ID"/>
        </w:rPr>
        <w:t>37</w:t>
      </w:r>
    </w:p>
    <w:p w14:paraId="13C212AD" w14:textId="2674F8BB"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lastRenderedPageBreak/>
        <w:t xml:space="preserve">The migration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and its virulence factors to the brain may occur either directly or indirectly. Directly,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infection may increase BBB permeability through modulation of endothelial transport proteins. Reduced expression of Major Facilitator Superfamily Domain Containing 2a (Mfsd2a), a transporter responsible for maintaining BBB integrity by suppressing vesicular transcytosis, can increase the expression of Caveolin-1 (Cav-1). Activation of Cav-1 promotes caveolae formation and enhances transcytosis activity, facilitating the penetration of foreign molecules across the BBB.</w:t>
      </w:r>
      <w:r w:rsidR="00CB1322" w:rsidRPr="00CB1322">
        <w:rPr>
          <w:rFonts w:ascii="Times New Roman" w:eastAsiaTheme="minorHAnsi" w:hAnsi="Times New Roman" w:cs="Times New Roman"/>
          <w:kern w:val="2"/>
          <w:sz w:val="24"/>
          <w:szCs w:val="24"/>
          <w:vertAlign w:val="superscript"/>
          <w:lang w:val="en-ID"/>
        </w:rPr>
        <w:t>38</w:t>
      </w:r>
      <w:r w:rsidRPr="00A20750">
        <w:rPr>
          <w:rFonts w:ascii="Times New Roman" w:eastAsiaTheme="minorHAnsi" w:hAnsi="Times New Roman" w:cs="Times New Roman"/>
          <w:kern w:val="2"/>
          <w:sz w:val="24"/>
          <w:szCs w:val="24"/>
          <w:lang w:val="en-ID"/>
        </w:rPr>
        <w:t xml:space="preserve"> Indirectly, OMVs containing LPS, gingipain, and fimbriae can cross the BBB and trigger neuroinflammatory responses even without direct bacterial invasion.</w:t>
      </w:r>
    </w:p>
    <w:p w14:paraId="175344A0" w14:textId="6EAA62CC"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Once these virulence factors reach brain tissue, they stimulate the production of reactive oxygen species (ROS) through activation of NADPH oxidase 4 (NOX4) in microglial cells, accompanied by increased levels of inflammatory cytokines such as IL-6 and IL-8.</w:t>
      </w:r>
      <w:r w:rsidR="00CB1322" w:rsidRPr="00CB1322">
        <w:rPr>
          <w:rFonts w:ascii="Times New Roman" w:eastAsiaTheme="minorHAnsi" w:hAnsi="Times New Roman" w:cs="Times New Roman"/>
          <w:kern w:val="2"/>
          <w:sz w:val="24"/>
          <w:szCs w:val="24"/>
          <w:vertAlign w:val="superscript"/>
          <w:lang w:val="en-ID"/>
        </w:rPr>
        <w:t>39</w:t>
      </w:r>
      <w:r w:rsidR="00CB1322">
        <w:rPr>
          <w:rFonts w:ascii="Times New Roman" w:eastAsiaTheme="minorHAnsi" w:hAnsi="Times New Roman" w:cs="Times New Roman"/>
          <w:kern w:val="2"/>
          <w:sz w:val="24"/>
          <w:szCs w:val="24"/>
          <w:lang w:val="en-ID"/>
        </w:rPr>
        <w:t xml:space="preserve"> </w:t>
      </w:r>
      <w:r w:rsidRPr="00A20750">
        <w:rPr>
          <w:rFonts w:ascii="Times New Roman" w:eastAsiaTheme="minorHAnsi" w:hAnsi="Times New Roman" w:cs="Times New Roman"/>
          <w:kern w:val="2"/>
          <w:sz w:val="24"/>
          <w:szCs w:val="24"/>
          <w:lang w:val="en-ID"/>
        </w:rPr>
        <w:t>Persistent neuroinflammation and oxidative stress can impair neuronal viability and promote pathological processes including tau protein hyperphosphorylation and synaptic dysfunction. These changes ultimately contribute to cognitive decline, particularly in hippocampal-dependent spatial working memory.</w:t>
      </w:r>
      <w:r w:rsidR="00CB1322" w:rsidRPr="00CB1322">
        <w:rPr>
          <w:rFonts w:ascii="Times New Roman" w:eastAsiaTheme="minorHAnsi" w:hAnsi="Times New Roman" w:cs="Times New Roman"/>
          <w:kern w:val="2"/>
          <w:sz w:val="24"/>
          <w:szCs w:val="24"/>
          <w:vertAlign w:val="superscript"/>
          <w:lang w:val="en-ID"/>
        </w:rPr>
        <w:t xml:space="preserve"> </w:t>
      </w:r>
      <w:r w:rsidR="00CB1322" w:rsidRPr="00CB1322">
        <w:rPr>
          <w:rFonts w:ascii="Times New Roman" w:eastAsiaTheme="minorHAnsi" w:hAnsi="Times New Roman" w:cs="Times New Roman"/>
          <w:kern w:val="2"/>
          <w:sz w:val="24"/>
          <w:szCs w:val="24"/>
          <w:vertAlign w:val="superscript"/>
          <w:lang w:val="en-ID"/>
        </w:rPr>
        <w:t>40</w:t>
      </w:r>
      <w:r w:rsidR="00CB1322" w:rsidRPr="00CB1322">
        <w:rPr>
          <w:rFonts w:ascii="Times New Roman" w:eastAsiaTheme="minorHAnsi" w:hAnsi="Times New Roman" w:cs="Times New Roman"/>
          <w:kern w:val="2"/>
          <w:sz w:val="24"/>
          <w:szCs w:val="24"/>
          <w:lang w:val="en-ID"/>
        </w:rPr>
        <w:t>,</w:t>
      </w:r>
      <w:r w:rsidR="00CB1322" w:rsidRPr="00CB1322">
        <w:rPr>
          <w:rFonts w:ascii="Times New Roman" w:eastAsiaTheme="minorHAnsi" w:hAnsi="Times New Roman" w:cs="Times New Roman"/>
          <w:kern w:val="2"/>
          <w:sz w:val="24"/>
          <w:szCs w:val="24"/>
          <w:vertAlign w:val="superscript"/>
          <w:lang w:val="en-ID"/>
        </w:rPr>
        <w:t>41</w:t>
      </w:r>
    </w:p>
    <w:p w14:paraId="707C766E" w14:textId="790183ED"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Another virulence factor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gingipain, also plays a critical role in neurodegenerative processes. Gingipain has been shown to cleave tau protein and contribute to the formation of neurofibrillary tangles, which represent a hallmark pathological feature of Alzheimer’s disease </w:t>
      </w:r>
      <w:r w:rsidR="00673D90" w:rsidRPr="00A20750">
        <w:rPr>
          <w:rFonts w:ascii="Times New Roman" w:eastAsiaTheme="minorHAnsi" w:hAnsi="Times New Roman" w:cs="Times New Roman"/>
          <w:kern w:val="2"/>
          <w:sz w:val="24"/>
          <w:szCs w:val="24"/>
          <w:lang w:val="en-ID"/>
        </w:rPr>
        <w:t>4</w:t>
      </w:r>
      <w:r w:rsidRPr="00A20750">
        <w:rPr>
          <w:rFonts w:ascii="Times New Roman" w:eastAsiaTheme="minorHAnsi" w:hAnsi="Times New Roman" w:cs="Times New Roman"/>
          <w:kern w:val="2"/>
          <w:sz w:val="24"/>
          <w:szCs w:val="24"/>
          <w:lang w:val="en-ID"/>
        </w:rPr>
        <w:t xml:space="preserve">. In addition, Dominy et al. (2019) identified gingipain and LPS in brain tissue samples from Alzheimer’s disease patients, suggesting a direct link between periodontal pathogens and neurodegenerative pathology through activation of microglial cells and increased production of amyloid-β peptides </w:t>
      </w:r>
      <w:r w:rsidR="00673D90" w:rsidRPr="00A20750">
        <w:rPr>
          <w:rFonts w:ascii="Times New Roman" w:eastAsiaTheme="minorHAnsi" w:hAnsi="Times New Roman" w:cs="Times New Roman"/>
          <w:kern w:val="2"/>
          <w:sz w:val="24"/>
          <w:szCs w:val="24"/>
          <w:lang w:val="en-ID"/>
        </w:rPr>
        <w:t>4</w:t>
      </w:r>
      <w:r w:rsidRPr="00A20750">
        <w:rPr>
          <w:rFonts w:ascii="Times New Roman" w:eastAsiaTheme="minorHAnsi" w:hAnsi="Times New Roman" w:cs="Times New Roman"/>
          <w:kern w:val="2"/>
          <w:sz w:val="24"/>
          <w:szCs w:val="24"/>
          <w:lang w:val="en-ID"/>
        </w:rPr>
        <w:t>.</w:t>
      </w:r>
    </w:p>
    <w:p w14:paraId="71D83EA9" w14:textId="5F00B68B"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The findings of the present study demonstrated that HBOT administration resulted in improvement of spatial working memory in rats previously induced with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These results are consistent with previous experimental studies reporting that HBOT can improve learning ability and spatial memory performance in animal models of neurological injury. For example, Liu et al. (2007) reported that HBOT administered after hypoxic–ischemic injury in neonatal rats improved learning ability and spatial memory in the Morris Water Maze test, accompanied by reduced histological damage in the hippocampus.</w:t>
      </w:r>
      <w:r w:rsidR="001839CC" w:rsidRPr="001839CC">
        <w:rPr>
          <w:rFonts w:ascii="Times New Roman" w:eastAsiaTheme="minorHAnsi" w:hAnsi="Times New Roman" w:cs="Times New Roman"/>
          <w:kern w:val="2"/>
          <w:sz w:val="24"/>
          <w:szCs w:val="24"/>
          <w:vertAlign w:val="superscript"/>
          <w:lang w:val="en-ID"/>
        </w:rPr>
        <w:t>35</w:t>
      </w:r>
    </w:p>
    <w:p w14:paraId="0FE8DE65" w14:textId="64E2CD13"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The beneficial effects of HBOT are believed to be related to its ability to enhance oxygen delivery to tissues and modulate inflammatory responses. HBOT has been shown to reduce the expression of pro-inflammatory cytokines such as TNF-α and IL-1β while simultaneously increasing the expression of tight junction proteins including </w:t>
      </w:r>
      <w:proofErr w:type="spellStart"/>
      <w:r w:rsidRPr="00A20750">
        <w:rPr>
          <w:rFonts w:ascii="Times New Roman" w:eastAsiaTheme="minorHAnsi" w:hAnsi="Times New Roman" w:cs="Times New Roman"/>
          <w:kern w:val="2"/>
          <w:sz w:val="24"/>
          <w:szCs w:val="24"/>
          <w:lang w:val="en-ID"/>
        </w:rPr>
        <w:t>occludin</w:t>
      </w:r>
      <w:proofErr w:type="spellEnd"/>
      <w:r w:rsidRPr="00A20750">
        <w:rPr>
          <w:rFonts w:ascii="Times New Roman" w:eastAsiaTheme="minorHAnsi" w:hAnsi="Times New Roman" w:cs="Times New Roman"/>
          <w:kern w:val="2"/>
          <w:sz w:val="24"/>
          <w:szCs w:val="24"/>
          <w:lang w:val="en-ID"/>
        </w:rPr>
        <w:t xml:space="preserve"> and claudin-5, thereby improving BBB integrity.</w:t>
      </w:r>
      <w:r w:rsidR="001839CC" w:rsidRPr="001839CC">
        <w:rPr>
          <w:rFonts w:ascii="Times New Roman" w:eastAsiaTheme="minorHAnsi" w:hAnsi="Times New Roman" w:cs="Times New Roman"/>
          <w:kern w:val="2"/>
          <w:sz w:val="24"/>
          <w:szCs w:val="24"/>
          <w:vertAlign w:val="superscript"/>
          <w:lang w:val="en-ID"/>
        </w:rPr>
        <w:t>36</w:t>
      </w:r>
      <w:r w:rsidRPr="00A20750">
        <w:rPr>
          <w:rFonts w:ascii="Times New Roman" w:eastAsiaTheme="minorHAnsi" w:hAnsi="Times New Roman" w:cs="Times New Roman"/>
          <w:kern w:val="2"/>
          <w:sz w:val="24"/>
          <w:szCs w:val="24"/>
          <w:lang w:val="en-ID"/>
        </w:rPr>
        <w:t xml:space="preserve"> In addition, HBOT has been reported to reduce amyloid-β accumulation and improve cerebral blood circulation in transgenic animal models of neurodegenerative disease.</w:t>
      </w:r>
      <w:r w:rsidR="001839CC" w:rsidRPr="001839CC">
        <w:rPr>
          <w:rFonts w:ascii="Times New Roman" w:eastAsiaTheme="minorHAnsi" w:hAnsi="Times New Roman" w:cs="Times New Roman"/>
          <w:kern w:val="2"/>
          <w:sz w:val="24"/>
          <w:szCs w:val="24"/>
          <w:vertAlign w:val="superscript"/>
          <w:lang w:val="en-ID"/>
        </w:rPr>
        <w:t>21</w:t>
      </w:r>
    </w:p>
    <w:p w14:paraId="73A88C0D" w14:textId="795F3BCD"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HBOT may also induce adaptive antioxidant responses. Although increased oxygen availability during HBOT may initially stimulate the production of reactive oxygen species, this process subsequently activates endogenous antioxidant </w:t>
      </w:r>
      <w:proofErr w:type="spellStart"/>
      <w:r w:rsidRPr="00A20750">
        <w:rPr>
          <w:rFonts w:ascii="Times New Roman" w:eastAsiaTheme="minorHAnsi" w:hAnsi="Times New Roman" w:cs="Times New Roman"/>
          <w:kern w:val="2"/>
          <w:sz w:val="24"/>
          <w:szCs w:val="24"/>
          <w:lang w:val="en-ID"/>
        </w:rPr>
        <w:t>defense</w:t>
      </w:r>
      <w:proofErr w:type="spellEnd"/>
      <w:r w:rsidRPr="00A20750">
        <w:rPr>
          <w:rFonts w:ascii="Times New Roman" w:eastAsiaTheme="minorHAnsi" w:hAnsi="Times New Roman" w:cs="Times New Roman"/>
          <w:kern w:val="2"/>
          <w:sz w:val="24"/>
          <w:szCs w:val="24"/>
          <w:lang w:val="en-ID"/>
        </w:rPr>
        <w:t xml:space="preserve"> mechanisms such as superoxide dismutase (SOD), catalase, and glutathione peroxidase. These antioxidant systems help restore redox balance, reduce oxidative neuronal damage, and suppress inflammatory </w:t>
      </w:r>
      <w:proofErr w:type="spellStart"/>
      <w:r w:rsidRPr="00A20750">
        <w:rPr>
          <w:rFonts w:ascii="Times New Roman" w:eastAsiaTheme="minorHAnsi" w:hAnsi="Times New Roman" w:cs="Times New Roman"/>
          <w:kern w:val="2"/>
          <w:sz w:val="24"/>
          <w:szCs w:val="24"/>
          <w:lang w:val="en-ID"/>
        </w:rPr>
        <w:t>signaling</w:t>
      </w:r>
      <w:proofErr w:type="spellEnd"/>
      <w:r w:rsidRPr="00A20750">
        <w:rPr>
          <w:rFonts w:ascii="Times New Roman" w:eastAsiaTheme="minorHAnsi" w:hAnsi="Times New Roman" w:cs="Times New Roman"/>
          <w:kern w:val="2"/>
          <w:sz w:val="24"/>
          <w:szCs w:val="24"/>
          <w:lang w:val="en-ID"/>
        </w:rPr>
        <w:t xml:space="preserve"> pathways such as NLRP3 inflammasome activation.</w:t>
      </w:r>
      <w:r w:rsidR="001839CC" w:rsidRPr="001839CC">
        <w:rPr>
          <w:rFonts w:ascii="Times New Roman" w:eastAsiaTheme="minorHAnsi" w:hAnsi="Times New Roman" w:cs="Times New Roman"/>
          <w:kern w:val="2"/>
          <w:sz w:val="24"/>
          <w:szCs w:val="24"/>
          <w:vertAlign w:val="superscript"/>
          <w:lang w:val="en-ID"/>
        </w:rPr>
        <w:t>37</w:t>
      </w:r>
    </w:p>
    <w:p w14:paraId="2411B3E1"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Despite the observed improvement in spatial working memory following HBOT administration, the cognitive performance of the experimental animals did not fully return to baseline levels. This finding suggests that although HBOT can mitigate neuroinflammatory effects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it may not completely reverse structural neuronal damage caused by chronic infection.</w:t>
      </w:r>
    </w:p>
    <w:p w14:paraId="562E7A9B" w14:textId="395C22BD"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lastRenderedPageBreak/>
        <w:t xml:space="preserve">Differences in outcomes between studies may also be influenced by variations in animal models, immune status, and age of experimental animals. For instance, Liu et al. (2013) reported significant recovery of spatial memory in a traumatic brain injury model following HBOT treatment, whereas the present study used a chronic infection model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w:t>
      </w:r>
      <w:r w:rsidR="001839CC" w:rsidRPr="001839CC">
        <w:rPr>
          <w:rFonts w:ascii="Times New Roman" w:eastAsiaTheme="minorHAnsi" w:hAnsi="Times New Roman" w:cs="Times New Roman"/>
          <w:kern w:val="2"/>
          <w:sz w:val="24"/>
          <w:szCs w:val="24"/>
          <w:vertAlign w:val="superscript"/>
          <w:lang w:val="en-ID"/>
        </w:rPr>
        <w:t>38</w:t>
      </w:r>
      <w:r w:rsidRPr="00A20750">
        <w:rPr>
          <w:rFonts w:ascii="Times New Roman" w:eastAsiaTheme="minorHAnsi" w:hAnsi="Times New Roman" w:cs="Times New Roman"/>
          <w:kern w:val="2"/>
          <w:sz w:val="24"/>
          <w:szCs w:val="24"/>
          <w:lang w:val="en-ID"/>
        </w:rPr>
        <w:t xml:space="preserve"> Previous studies have also demonstrated that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infection may induce chronic neuroinflammation, amyloid accumulation, and tau hyperphosphorylation similar to pathological processes observed in Alzheimer’s disease, which may lead to irreversible neuronal damage.</w:t>
      </w:r>
      <w:r w:rsidR="001839CC" w:rsidRPr="001839CC">
        <w:rPr>
          <w:rFonts w:ascii="Times New Roman" w:eastAsiaTheme="minorHAnsi" w:hAnsi="Times New Roman" w:cs="Times New Roman"/>
          <w:kern w:val="2"/>
          <w:sz w:val="24"/>
          <w:szCs w:val="24"/>
          <w:vertAlign w:val="superscript"/>
          <w:lang w:val="en-ID"/>
        </w:rPr>
        <w:t>39</w:t>
      </w:r>
    </w:p>
    <w:p w14:paraId="50226B2B" w14:textId="0A1013EF" w:rsidR="00CF3BFB"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Age-related immune changes may further influence the severity of neuroinflammatory responses. Ding et al. (2018) reported increased expression of pro-inflammatory cytokines in the brains of middle-aged mice compared with younger animals following inflammatory stimulation, suggesting that aging may amplify neuroinflammatory effects associated with infection.</w:t>
      </w:r>
      <w:r w:rsidR="00F7125A" w:rsidRPr="00F7125A">
        <w:rPr>
          <w:rFonts w:ascii="Times New Roman" w:eastAsiaTheme="minorHAnsi" w:hAnsi="Times New Roman" w:cs="Times New Roman"/>
          <w:kern w:val="2"/>
          <w:sz w:val="24"/>
          <w:szCs w:val="24"/>
          <w:vertAlign w:val="superscript"/>
          <w:lang w:val="en-ID"/>
        </w:rPr>
        <w:t>40</w:t>
      </w:r>
      <w:r w:rsidRPr="00A20750">
        <w:rPr>
          <w:rFonts w:ascii="Times New Roman" w:eastAsiaTheme="minorHAnsi" w:hAnsi="Times New Roman" w:cs="Times New Roman"/>
          <w:kern w:val="2"/>
          <w:sz w:val="24"/>
          <w:szCs w:val="24"/>
          <w:lang w:val="en-ID"/>
        </w:rPr>
        <w:t xml:space="preserve"> These findings highlight the complex interactions between infection, immune response, and neurodegeneration in the development of cognitive impairment.</w:t>
      </w:r>
    </w:p>
    <w:p w14:paraId="67B74B66" w14:textId="77777777" w:rsidR="00992249" w:rsidRDefault="00992249" w:rsidP="00256FF2">
      <w:pPr>
        <w:spacing w:after="0" w:line="240" w:lineRule="auto"/>
        <w:jc w:val="both"/>
        <w:rPr>
          <w:rFonts w:ascii="Times New Roman" w:eastAsiaTheme="minorHAnsi" w:hAnsi="Times New Roman" w:cs="Times New Roman"/>
          <w:kern w:val="2"/>
          <w:sz w:val="24"/>
          <w:szCs w:val="24"/>
          <w:lang w:val="en-ID"/>
        </w:rPr>
      </w:pPr>
    </w:p>
    <w:p w14:paraId="63D6C381" w14:textId="299B89B7" w:rsidR="00992249" w:rsidRPr="00992249" w:rsidRDefault="00992249" w:rsidP="00256FF2">
      <w:pPr>
        <w:spacing w:after="0" w:line="240" w:lineRule="auto"/>
        <w:jc w:val="both"/>
        <w:rPr>
          <w:rFonts w:ascii="Times New Roman" w:eastAsiaTheme="minorHAnsi" w:hAnsi="Times New Roman" w:cs="Times New Roman"/>
          <w:b/>
          <w:bCs/>
          <w:kern w:val="2"/>
          <w:sz w:val="24"/>
          <w:szCs w:val="24"/>
          <w:lang w:val="en-ID"/>
        </w:rPr>
      </w:pPr>
      <w:r w:rsidRPr="00992249">
        <w:rPr>
          <w:rFonts w:ascii="Times New Roman" w:eastAsiaTheme="minorHAnsi" w:hAnsi="Times New Roman" w:cs="Times New Roman"/>
          <w:b/>
          <w:bCs/>
          <w:kern w:val="2"/>
          <w:sz w:val="24"/>
          <w:szCs w:val="24"/>
          <w:lang w:val="en-ID"/>
        </w:rPr>
        <w:t>Limitation</w:t>
      </w:r>
      <w:r w:rsidR="00F84464">
        <w:rPr>
          <w:rFonts w:ascii="Times New Roman" w:eastAsiaTheme="minorHAnsi" w:hAnsi="Times New Roman" w:cs="Times New Roman"/>
          <w:b/>
          <w:bCs/>
          <w:kern w:val="2"/>
          <w:sz w:val="24"/>
          <w:szCs w:val="24"/>
          <w:lang w:val="en-ID"/>
        </w:rPr>
        <w:t>s</w:t>
      </w:r>
    </w:p>
    <w:p w14:paraId="2BEC346F" w14:textId="0FB12A32" w:rsidR="00992249" w:rsidRDefault="00992249" w:rsidP="00256FF2">
      <w:pPr>
        <w:spacing w:after="0" w:line="240" w:lineRule="auto"/>
        <w:jc w:val="both"/>
        <w:rPr>
          <w:rFonts w:ascii="Times New Roman" w:eastAsiaTheme="minorHAnsi" w:hAnsi="Times New Roman" w:cs="Times New Roman"/>
          <w:kern w:val="2"/>
          <w:sz w:val="24"/>
          <w:szCs w:val="24"/>
          <w:lang w:val="en-ID"/>
        </w:rPr>
      </w:pPr>
      <w:r w:rsidRPr="00992249">
        <w:rPr>
          <w:rFonts w:ascii="Times New Roman" w:eastAsiaTheme="minorHAnsi" w:hAnsi="Times New Roman" w:cs="Times New Roman"/>
          <w:kern w:val="2"/>
          <w:sz w:val="24"/>
          <w:szCs w:val="24"/>
          <w:lang w:val="en-ID"/>
        </w:rPr>
        <w:t>This study has several limitations. First, molecular biomarkers of inflammation and oxidative stress were not directly measured, limiting confirmation of the underlying mechanisms. Second, the relatively small sample size and the use of an animal model may restrict generalizability to human conditions. Future studies incorporating molecular and histopathological analyses are warranted to further elucidate the neuroprotective mechanisms of HBOT.</w:t>
      </w:r>
    </w:p>
    <w:p w14:paraId="4FA9315A" w14:textId="77777777" w:rsidR="00A20750" w:rsidRPr="00A20750" w:rsidRDefault="00A20750" w:rsidP="00256FF2">
      <w:pPr>
        <w:spacing w:after="0" w:line="240" w:lineRule="auto"/>
        <w:jc w:val="both"/>
        <w:rPr>
          <w:rFonts w:ascii="Times New Roman" w:eastAsiaTheme="minorHAnsi" w:hAnsi="Times New Roman" w:cs="Times New Roman"/>
          <w:kern w:val="2"/>
          <w:sz w:val="24"/>
          <w:szCs w:val="24"/>
          <w:lang w:val="en-ID"/>
        </w:rPr>
      </w:pPr>
    </w:p>
    <w:p w14:paraId="0E148E47" w14:textId="77777777" w:rsidR="0085225B" w:rsidRPr="00A20750" w:rsidRDefault="0085225B" w:rsidP="00256FF2">
      <w:pPr>
        <w:spacing w:after="0" w:line="240" w:lineRule="auto"/>
        <w:rPr>
          <w:rFonts w:ascii="Times New Roman" w:hAnsi="Times New Roman" w:cs="Times New Roman"/>
          <w:b/>
          <w:sz w:val="24"/>
          <w:szCs w:val="24"/>
        </w:rPr>
      </w:pPr>
    </w:p>
    <w:p w14:paraId="179794AE" w14:textId="5C3C6911" w:rsidR="0085225B" w:rsidRPr="00992249" w:rsidRDefault="00AF78BE" w:rsidP="00992249">
      <w:pPr>
        <w:spacing w:after="0" w:line="240" w:lineRule="auto"/>
        <w:rPr>
          <w:rFonts w:ascii="Times New Roman" w:hAnsi="Times New Roman" w:cs="Times New Roman"/>
          <w:b/>
          <w:sz w:val="24"/>
          <w:szCs w:val="24"/>
        </w:rPr>
      </w:pPr>
      <w:r w:rsidRPr="00A20750">
        <w:rPr>
          <w:rFonts w:ascii="Times New Roman" w:hAnsi="Times New Roman" w:cs="Times New Roman"/>
          <w:b/>
          <w:sz w:val="24"/>
          <w:szCs w:val="24"/>
        </w:rPr>
        <w:t>Conclusion</w:t>
      </w:r>
    </w:p>
    <w:p w14:paraId="20D9B8C6" w14:textId="77777777" w:rsidR="008606AC" w:rsidRPr="00A20750" w:rsidRDefault="008606AC"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This study demonstrated that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kern w:val="2"/>
          <w:sz w:val="24"/>
          <w:szCs w:val="24"/>
          <w:lang w:val="en-ID"/>
        </w:rPr>
        <w:t xml:space="preserve"> infection significantly impaired spatial working memory in Sprague–Dawley rats, as indicated by reduced performance in the Y-maze spontaneous alternation test. The impairment is likely associated with the ability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virulence factors, including lipopolysaccharide (LPS) and gingipain, to induce systemic inflammation, disrupt blood–brain barrier integrity, and trigger neuroinflammatory responses within the central nervous system.</w:t>
      </w:r>
    </w:p>
    <w:p w14:paraId="5B9259CC" w14:textId="77777777" w:rsidR="008606AC" w:rsidRPr="00A20750" w:rsidRDefault="008606AC"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Administration of Hyperbaric Oxygen Therapy (HBOT) at a pressure of 2.0 ATA for four weeks resulted in improvement of spatial working memory in rats previously exposed to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Although cognitive performance did not fully return to baseline levels, the findings suggest that HBOT may contribute to the mitigation of neuroinflammatory effects associated with chronic periodontal infection.</w:t>
      </w:r>
    </w:p>
    <w:p w14:paraId="188BC718" w14:textId="77777777" w:rsidR="008606AC" w:rsidRDefault="008606AC"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Further studies are required to investigate the molecular mechanisms underlying the neuroprotective effects of HBOT and to determine the optimal treatment duration and therapeutic protocol for managing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-induced neuroinflammatory conditions.</w:t>
      </w:r>
    </w:p>
    <w:p w14:paraId="144B5409" w14:textId="77777777" w:rsidR="00AF78BE" w:rsidRDefault="00AF78BE" w:rsidP="00256FF2">
      <w:pPr>
        <w:spacing w:after="0" w:line="240" w:lineRule="auto"/>
        <w:jc w:val="both"/>
        <w:rPr>
          <w:rFonts w:ascii="Times New Roman" w:eastAsiaTheme="minorHAnsi" w:hAnsi="Times New Roman" w:cs="Times New Roman"/>
          <w:kern w:val="2"/>
          <w:sz w:val="24"/>
          <w:szCs w:val="24"/>
          <w:lang w:val="en-ID"/>
        </w:rPr>
      </w:pPr>
    </w:p>
    <w:p w14:paraId="348C62A5" w14:textId="0E835C7B" w:rsidR="000260D0" w:rsidRDefault="00EB2D98" w:rsidP="00325CC3">
      <w:pPr>
        <w:spacing w:after="0" w:line="240" w:lineRule="auto"/>
        <w:jc w:val="both"/>
        <w:rPr>
          <w:rFonts w:ascii="Times New Roman" w:eastAsiaTheme="minorHAnsi" w:hAnsi="Times New Roman" w:cs="Times New Roman"/>
          <w:kern w:val="2"/>
          <w:sz w:val="24"/>
          <w:szCs w:val="24"/>
        </w:rPr>
      </w:pPr>
      <w:r w:rsidRPr="00EB2D98">
        <w:rPr>
          <w:rFonts w:ascii="Times New Roman" w:eastAsiaTheme="minorHAnsi" w:hAnsi="Times New Roman" w:cs="Times New Roman"/>
          <w:b/>
          <w:bCs/>
          <w:kern w:val="2"/>
          <w:sz w:val="24"/>
          <w:szCs w:val="24"/>
        </w:rPr>
        <w:t>Acknowledgments</w:t>
      </w:r>
      <w:r w:rsidRPr="00EB2D98">
        <w:rPr>
          <w:rFonts w:ascii="Times New Roman" w:eastAsiaTheme="minorHAnsi" w:hAnsi="Times New Roman" w:cs="Times New Roman"/>
          <w:kern w:val="2"/>
          <w:sz w:val="24"/>
          <w:szCs w:val="24"/>
        </w:rPr>
        <w:br/>
        <w:t>The authors would like to thank the laboratory staff and supporting institutions involved in this study for their valuable assistance.</w:t>
      </w:r>
    </w:p>
    <w:p w14:paraId="2FA49F2E" w14:textId="77777777" w:rsidR="00EB2D98" w:rsidRDefault="00EB2D98" w:rsidP="00EB2D98">
      <w:pPr>
        <w:spacing w:after="0" w:line="240" w:lineRule="auto"/>
        <w:jc w:val="both"/>
        <w:rPr>
          <w:rFonts w:ascii="Times New Roman" w:eastAsiaTheme="minorHAnsi" w:hAnsi="Times New Roman" w:cs="Times New Roman"/>
          <w:kern w:val="2"/>
          <w:sz w:val="24"/>
          <w:szCs w:val="24"/>
        </w:rPr>
      </w:pPr>
    </w:p>
    <w:p w14:paraId="519D6C80" w14:textId="4A796F03" w:rsidR="00EB2D98" w:rsidRPr="00EB2D98" w:rsidRDefault="00EB2D98" w:rsidP="00EB2D98">
      <w:pPr>
        <w:spacing w:after="0" w:line="240" w:lineRule="auto"/>
        <w:jc w:val="both"/>
        <w:rPr>
          <w:rFonts w:ascii="Times New Roman" w:eastAsiaTheme="minorHAnsi" w:hAnsi="Times New Roman" w:cs="Times New Roman"/>
          <w:b/>
          <w:bCs/>
          <w:kern w:val="2"/>
          <w:sz w:val="24"/>
          <w:szCs w:val="24"/>
          <w:lang w:val="en-ID"/>
        </w:rPr>
      </w:pPr>
      <w:r w:rsidRPr="00EB2D98">
        <w:rPr>
          <w:rFonts w:ascii="Times New Roman" w:eastAsiaTheme="minorHAnsi" w:hAnsi="Times New Roman" w:cs="Times New Roman"/>
          <w:b/>
          <w:bCs/>
          <w:kern w:val="2"/>
          <w:sz w:val="24"/>
          <w:szCs w:val="24"/>
          <w:lang w:val="en-ID"/>
        </w:rPr>
        <w:t>Funding sources</w:t>
      </w:r>
    </w:p>
    <w:p w14:paraId="3512072E" w14:textId="71FAB1D5" w:rsidR="00EB2D98" w:rsidRDefault="00EB2D98" w:rsidP="00EB2D98">
      <w:pPr>
        <w:spacing w:after="0" w:line="240" w:lineRule="auto"/>
        <w:jc w:val="both"/>
        <w:rPr>
          <w:rFonts w:ascii="Times New Roman" w:eastAsiaTheme="minorHAnsi" w:hAnsi="Times New Roman" w:cs="Times New Roman"/>
          <w:kern w:val="2"/>
          <w:sz w:val="24"/>
          <w:szCs w:val="24"/>
          <w:lang w:val="en-ID"/>
        </w:rPr>
      </w:pPr>
      <w:r w:rsidRPr="00EB2D98">
        <w:rPr>
          <w:rFonts w:ascii="Times New Roman" w:eastAsiaTheme="minorHAnsi" w:hAnsi="Times New Roman" w:cs="Times New Roman"/>
          <w:kern w:val="2"/>
          <w:sz w:val="24"/>
          <w:szCs w:val="24"/>
          <w:lang w:val="en-ID"/>
        </w:rPr>
        <w:t>This research received no external funding.</w:t>
      </w:r>
    </w:p>
    <w:p w14:paraId="24B09085" w14:textId="77777777" w:rsidR="00F84464" w:rsidRDefault="00F84464" w:rsidP="00EB2D98">
      <w:pPr>
        <w:spacing w:after="0" w:line="240" w:lineRule="auto"/>
        <w:jc w:val="both"/>
        <w:rPr>
          <w:rFonts w:ascii="Times New Roman" w:eastAsiaTheme="minorHAnsi" w:hAnsi="Times New Roman" w:cs="Times New Roman"/>
          <w:b/>
          <w:bCs/>
          <w:kern w:val="2"/>
          <w:sz w:val="24"/>
          <w:szCs w:val="24"/>
        </w:rPr>
      </w:pPr>
    </w:p>
    <w:p w14:paraId="236E9E59" w14:textId="4EFEEC00" w:rsidR="00EB2D98" w:rsidRPr="00EB2D98" w:rsidRDefault="00EB2D98" w:rsidP="00EB2D98">
      <w:pPr>
        <w:spacing w:after="0" w:line="240" w:lineRule="auto"/>
        <w:jc w:val="both"/>
        <w:rPr>
          <w:rFonts w:ascii="Times New Roman" w:eastAsiaTheme="minorHAnsi" w:hAnsi="Times New Roman" w:cs="Times New Roman"/>
          <w:b/>
          <w:bCs/>
          <w:kern w:val="2"/>
          <w:sz w:val="24"/>
          <w:szCs w:val="24"/>
        </w:rPr>
      </w:pPr>
      <w:r w:rsidRPr="00EB2D98">
        <w:rPr>
          <w:rFonts w:ascii="Times New Roman" w:eastAsiaTheme="minorHAnsi" w:hAnsi="Times New Roman" w:cs="Times New Roman"/>
          <w:b/>
          <w:bCs/>
          <w:kern w:val="2"/>
          <w:sz w:val="24"/>
          <w:szCs w:val="24"/>
        </w:rPr>
        <w:t>Ethical statement</w:t>
      </w:r>
    </w:p>
    <w:p w14:paraId="64C76932" w14:textId="783CB3CE" w:rsidR="00EB2D98" w:rsidRDefault="00EB2D98" w:rsidP="00EB2D98">
      <w:pPr>
        <w:spacing w:after="0" w:line="240" w:lineRule="auto"/>
        <w:jc w:val="both"/>
        <w:rPr>
          <w:rFonts w:ascii="Times New Roman" w:eastAsiaTheme="minorHAnsi" w:hAnsi="Times New Roman" w:cs="Times New Roman"/>
          <w:kern w:val="2"/>
          <w:sz w:val="24"/>
          <w:szCs w:val="24"/>
          <w:lang w:val="en-ID"/>
        </w:rPr>
      </w:pPr>
      <w:r w:rsidRPr="00EB2D98">
        <w:rPr>
          <w:rFonts w:ascii="Times New Roman" w:eastAsiaTheme="minorHAnsi" w:hAnsi="Times New Roman" w:cs="Times New Roman"/>
          <w:kern w:val="2"/>
          <w:sz w:val="24"/>
          <w:szCs w:val="24"/>
          <w:lang w:val="en-ID"/>
        </w:rPr>
        <w:lastRenderedPageBreak/>
        <w:t xml:space="preserve">All experimental procedures involving animals were conducted in accordance with institutional guidelines for laboratory animal care and </w:t>
      </w:r>
      <w:proofErr w:type="spellStart"/>
      <w:r w:rsidRPr="00EB2D98">
        <w:rPr>
          <w:rFonts w:ascii="Times New Roman" w:eastAsiaTheme="minorHAnsi" w:hAnsi="Times New Roman" w:cs="Times New Roman"/>
          <w:kern w:val="2"/>
          <w:sz w:val="24"/>
          <w:szCs w:val="24"/>
          <w:lang w:val="en-ID"/>
        </w:rPr>
        <w:t>use</w:t>
      </w:r>
      <w:r w:rsidR="00F84464" w:rsidRPr="00F84464">
        <w:rPr>
          <w:rFonts w:ascii="Times New Roman" w:eastAsiaTheme="minorHAnsi" w:hAnsi="Times New Roman" w:cs="Times New Roman"/>
          <w:kern w:val="2"/>
          <w:sz w:val="24"/>
          <w:szCs w:val="24"/>
          <w:lang w:val="en-ID"/>
        </w:rPr>
        <w:t>The</w:t>
      </w:r>
      <w:proofErr w:type="spellEnd"/>
      <w:r w:rsidR="00F84464" w:rsidRPr="00F84464">
        <w:rPr>
          <w:rFonts w:ascii="Times New Roman" w:eastAsiaTheme="minorHAnsi" w:hAnsi="Times New Roman" w:cs="Times New Roman"/>
          <w:kern w:val="2"/>
          <w:sz w:val="24"/>
          <w:szCs w:val="24"/>
          <w:lang w:val="en-ID"/>
        </w:rPr>
        <w:t xml:space="preserve"> study protocol was reviewed and approved by the Institutional Research Ethics Committee (Approval No: EC/101/KEPK-FKGUHT/X/2024)</w:t>
      </w:r>
      <w:r w:rsidRPr="00EB2D98">
        <w:rPr>
          <w:rFonts w:ascii="Times New Roman" w:eastAsiaTheme="minorHAnsi" w:hAnsi="Times New Roman" w:cs="Times New Roman"/>
          <w:kern w:val="2"/>
          <w:sz w:val="24"/>
          <w:szCs w:val="24"/>
          <w:lang w:val="en-ID"/>
        </w:rPr>
        <w:t>. No biosafety or biosecurity concerns were identified in this study.</w:t>
      </w:r>
    </w:p>
    <w:p w14:paraId="040F77D8" w14:textId="77777777" w:rsidR="00EB2D98" w:rsidRPr="00EB2D98" w:rsidRDefault="00EB2D98" w:rsidP="00EB2D98">
      <w:pPr>
        <w:spacing w:after="0" w:line="240" w:lineRule="auto"/>
        <w:jc w:val="both"/>
        <w:rPr>
          <w:rFonts w:ascii="Times New Roman" w:eastAsiaTheme="minorHAnsi" w:hAnsi="Times New Roman" w:cs="Times New Roman"/>
          <w:kern w:val="2"/>
          <w:sz w:val="24"/>
          <w:szCs w:val="24"/>
          <w:lang w:val="en-ID"/>
        </w:rPr>
      </w:pPr>
    </w:p>
    <w:p w14:paraId="2D42D7E4" w14:textId="77777777" w:rsidR="00EB2D98" w:rsidRPr="00EB2D98" w:rsidRDefault="00EB2D98" w:rsidP="00325CC3">
      <w:pPr>
        <w:spacing w:after="0" w:line="240" w:lineRule="auto"/>
        <w:jc w:val="both"/>
        <w:rPr>
          <w:rFonts w:ascii="Times New Roman" w:eastAsiaTheme="minorHAnsi" w:hAnsi="Times New Roman" w:cs="Times New Roman"/>
          <w:b/>
          <w:bCs/>
          <w:kern w:val="2"/>
          <w:sz w:val="24"/>
          <w:szCs w:val="24"/>
        </w:rPr>
      </w:pPr>
      <w:r w:rsidRPr="00EB2D98">
        <w:rPr>
          <w:rFonts w:ascii="Times New Roman" w:eastAsiaTheme="minorHAnsi" w:hAnsi="Times New Roman" w:cs="Times New Roman"/>
          <w:b/>
          <w:bCs/>
          <w:kern w:val="2"/>
          <w:sz w:val="24"/>
          <w:szCs w:val="24"/>
        </w:rPr>
        <w:t>Competing interests</w:t>
      </w:r>
    </w:p>
    <w:p w14:paraId="32C36EEE" w14:textId="3EB5AF90" w:rsidR="00EB2D98" w:rsidRDefault="00EB2D98" w:rsidP="00325CC3">
      <w:pPr>
        <w:spacing w:after="0" w:line="240" w:lineRule="auto"/>
        <w:jc w:val="both"/>
        <w:rPr>
          <w:rFonts w:ascii="Times New Roman" w:eastAsiaTheme="minorHAnsi" w:hAnsi="Times New Roman" w:cs="Times New Roman"/>
          <w:kern w:val="2"/>
          <w:sz w:val="24"/>
          <w:szCs w:val="24"/>
        </w:rPr>
      </w:pPr>
      <w:r w:rsidRPr="00EB2D98">
        <w:rPr>
          <w:rFonts w:ascii="Times New Roman" w:eastAsiaTheme="minorHAnsi" w:hAnsi="Times New Roman" w:cs="Times New Roman"/>
          <w:kern w:val="2"/>
          <w:sz w:val="24"/>
          <w:szCs w:val="24"/>
        </w:rPr>
        <w:t>The authors declare no conflict of interests.</w:t>
      </w:r>
    </w:p>
    <w:p w14:paraId="0C5E10E3" w14:textId="77777777" w:rsidR="00EB2D98" w:rsidRDefault="00EB2D98" w:rsidP="00325CC3">
      <w:pPr>
        <w:spacing w:after="0" w:line="240" w:lineRule="auto"/>
        <w:jc w:val="both"/>
        <w:rPr>
          <w:rFonts w:ascii="Times New Roman" w:eastAsiaTheme="minorHAnsi" w:hAnsi="Times New Roman" w:cs="Times New Roman"/>
          <w:kern w:val="2"/>
          <w:sz w:val="24"/>
          <w:szCs w:val="24"/>
          <w:lang w:val="en-ID"/>
        </w:rPr>
      </w:pPr>
    </w:p>
    <w:p w14:paraId="10C15E15" w14:textId="77777777" w:rsidR="000260D0" w:rsidRPr="000260D0" w:rsidRDefault="000260D0" w:rsidP="00325CC3">
      <w:pPr>
        <w:spacing w:after="0" w:line="240" w:lineRule="auto"/>
        <w:jc w:val="both"/>
        <w:rPr>
          <w:rFonts w:ascii="Times New Roman" w:eastAsiaTheme="minorHAnsi" w:hAnsi="Times New Roman" w:cs="Times New Roman"/>
          <w:b/>
          <w:bCs/>
          <w:kern w:val="2"/>
          <w:sz w:val="24"/>
          <w:szCs w:val="24"/>
        </w:rPr>
      </w:pPr>
      <w:r w:rsidRPr="000260D0">
        <w:rPr>
          <w:rFonts w:ascii="Times New Roman" w:eastAsiaTheme="minorHAnsi" w:hAnsi="Times New Roman" w:cs="Times New Roman"/>
          <w:b/>
          <w:bCs/>
          <w:kern w:val="2"/>
          <w:sz w:val="24"/>
          <w:szCs w:val="24"/>
        </w:rPr>
        <w:t>Authors’ Contributions</w:t>
      </w:r>
    </w:p>
    <w:p w14:paraId="2435284D" w14:textId="4FE6A339" w:rsidR="0085225B" w:rsidRDefault="000260D0" w:rsidP="000260D0">
      <w:pPr>
        <w:spacing w:after="0" w:line="240" w:lineRule="auto"/>
        <w:rPr>
          <w:rFonts w:ascii="Times New Roman" w:eastAsiaTheme="minorHAnsi" w:hAnsi="Times New Roman" w:cs="Times New Roman"/>
          <w:kern w:val="2"/>
          <w:sz w:val="24"/>
          <w:szCs w:val="24"/>
        </w:rPr>
      </w:pPr>
      <w:r w:rsidRPr="000260D0">
        <w:rPr>
          <w:rFonts w:ascii="Times New Roman" w:eastAsiaTheme="minorHAnsi" w:hAnsi="Times New Roman" w:cs="Times New Roman"/>
          <w:kern w:val="2"/>
          <w:sz w:val="24"/>
          <w:szCs w:val="24"/>
        </w:rPr>
        <w:t xml:space="preserve">Conceptualization: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Rizka Wedarti,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Data curation: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Rizka Wedarti, Agung </w:t>
      </w:r>
      <w:proofErr w:type="spellStart"/>
      <w:r w:rsidRPr="000260D0">
        <w:rPr>
          <w:rFonts w:ascii="Times New Roman" w:eastAsiaTheme="minorHAnsi" w:hAnsi="Times New Roman" w:cs="Times New Roman"/>
          <w:kern w:val="2"/>
          <w:sz w:val="24"/>
          <w:szCs w:val="24"/>
        </w:rPr>
        <w:t>Krismariono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Formal analysis: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Agung </w:t>
      </w:r>
      <w:proofErr w:type="spellStart"/>
      <w:r w:rsidRPr="000260D0">
        <w:rPr>
          <w:rFonts w:ascii="Times New Roman" w:eastAsiaTheme="minorHAnsi" w:hAnsi="Times New Roman" w:cs="Times New Roman"/>
          <w:kern w:val="2"/>
          <w:sz w:val="24"/>
          <w:szCs w:val="24"/>
        </w:rPr>
        <w:t>Krismariono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Funding acquisition: None </w:t>
      </w:r>
      <w:r w:rsidRPr="000260D0">
        <w:rPr>
          <w:rFonts w:ascii="Times New Roman" w:eastAsiaTheme="minorHAnsi" w:hAnsi="Times New Roman" w:cs="Times New Roman"/>
          <w:kern w:val="2"/>
          <w:sz w:val="24"/>
          <w:szCs w:val="24"/>
        </w:rPr>
        <w:br/>
        <w:t xml:space="preserve">Investigation: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Rizka Wedarti,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Agung </w:t>
      </w:r>
      <w:proofErr w:type="spellStart"/>
      <w:r w:rsidRPr="000260D0">
        <w:rPr>
          <w:rFonts w:ascii="Times New Roman" w:eastAsiaTheme="minorHAnsi" w:hAnsi="Times New Roman" w:cs="Times New Roman"/>
          <w:kern w:val="2"/>
          <w:sz w:val="24"/>
          <w:szCs w:val="24"/>
        </w:rPr>
        <w:t>Krismariono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Methodology: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Agung </w:t>
      </w:r>
      <w:proofErr w:type="spellStart"/>
      <w:r w:rsidRPr="000260D0">
        <w:rPr>
          <w:rFonts w:ascii="Times New Roman" w:eastAsiaTheme="minorHAnsi" w:hAnsi="Times New Roman" w:cs="Times New Roman"/>
          <w:kern w:val="2"/>
          <w:sz w:val="24"/>
          <w:szCs w:val="24"/>
        </w:rPr>
        <w:t>Krismariono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Project administration: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w:t>
      </w:r>
      <w:proofErr w:type="spellStart"/>
      <w:r w:rsidRPr="000260D0">
        <w:rPr>
          <w:rFonts w:ascii="Times New Roman" w:eastAsiaTheme="minorHAnsi" w:hAnsi="Times New Roman" w:cs="Times New Roman"/>
          <w:kern w:val="2"/>
          <w:sz w:val="24"/>
          <w:szCs w:val="24"/>
        </w:rPr>
        <w:t>Rizka</w:t>
      </w:r>
      <w:proofErr w:type="spellEnd"/>
      <w:r w:rsidRPr="000260D0">
        <w:rPr>
          <w:rFonts w:ascii="Times New Roman" w:eastAsiaTheme="minorHAnsi" w:hAnsi="Times New Roman" w:cs="Times New Roman"/>
          <w:kern w:val="2"/>
          <w:sz w:val="24"/>
          <w:szCs w:val="24"/>
        </w:rPr>
        <w:t xml:space="preserve"> Wedarti </w:t>
      </w:r>
      <w:r w:rsidRPr="000260D0">
        <w:rPr>
          <w:rFonts w:ascii="Times New Roman" w:eastAsiaTheme="minorHAnsi" w:hAnsi="Times New Roman" w:cs="Times New Roman"/>
          <w:kern w:val="2"/>
          <w:sz w:val="24"/>
          <w:szCs w:val="24"/>
        </w:rPr>
        <w:br/>
        <w:t xml:space="preserve">Resources: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w:t>
      </w:r>
      <w:proofErr w:type="spellStart"/>
      <w:r w:rsidRPr="000260D0">
        <w:rPr>
          <w:rFonts w:ascii="Times New Roman" w:eastAsiaTheme="minorHAnsi" w:hAnsi="Times New Roman" w:cs="Times New Roman"/>
          <w:kern w:val="2"/>
          <w:sz w:val="24"/>
          <w:szCs w:val="24"/>
        </w:rPr>
        <w:t>Rizka</w:t>
      </w:r>
      <w:proofErr w:type="spellEnd"/>
      <w:r w:rsidRPr="000260D0">
        <w:rPr>
          <w:rFonts w:ascii="Times New Roman" w:eastAsiaTheme="minorHAnsi" w:hAnsi="Times New Roman" w:cs="Times New Roman"/>
          <w:kern w:val="2"/>
          <w:sz w:val="24"/>
          <w:szCs w:val="24"/>
        </w:rPr>
        <w:t xml:space="preserve"> Wedarti,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Software: Agung </w:t>
      </w:r>
      <w:proofErr w:type="spellStart"/>
      <w:r w:rsidRPr="000260D0">
        <w:rPr>
          <w:rFonts w:ascii="Times New Roman" w:eastAsiaTheme="minorHAnsi" w:hAnsi="Times New Roman" w:cs="Times New Roman"/>
          <w:kern w:val="2"/>
          <w:sz w:val="24"/>
          <w:szCs w:val="24"/>
        </w:rPr>
        <w:t>Krismariono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Supervision: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Validation: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Visualization: Agung </w:t>
      </w:r>
      <w:proofErr w:type="spellStart"/>
      <w:r w:rsidRPr="000260D0">
        <w:rPr>
          <w:rFonts w:ascii="Times New Roman" w:eastAsiaTheme="minorHAnsi" w:hAnsi="Times New Roman" w:cs="Times New Roman"/>
          <w:kern w:val="2"/>
          <w:sz w:val="24"/>
          <w:szCs w:val="24"/>
        </w:rPr>
        <w:t>Krismariono</w:t>
      </w:r>
      <w:proofErr w:type="spellEnd"/>
      <w:r w:rsidRPr="000260D0">
        <w:rPr>
          <w:rFonts w:ascii="Times New Roman" w:eastAsiaTheme="minorHAnsi" w:hAnsi="Times New Roman" w:cs="Times New Roman"/>
          <w:kern w:val="2"/>
          <w:sz w:val="24"/>
          <w:szCs w:val="24"/>
        </w:rPr>
        <w:t xml:space="preserve"> </w:t>
      </w:r>
      <w:r w:rsidRPr="000260D0">
        <w:rPr>
          <w:rFonts w:ascii="Times New Roman" w:eastAsiaTheme="minorHAnsi" w:hAnsi="Times New Roman" w:cs="Times New Roman"/>
          <w:kern w:val="2"/>
          <w:sz w:val="24"/>
          <w:szCs w:val="24"/>
        </w:rPr>
        <w:br/>
        <w:t xml:space="preserve">Writing–original draft: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Rizka Wedarti </w:t>
      </w:r>
      <w:r w:rsidRPr="000260D0">
        <w:rPr>
          <w:rFonts w:ascii="Times New Roman" w:eastAsiaTheme="minorHAnsi" w:hAnsi="Times New Roman" w:cs="Times New Roman"/>
          <w:kern w:val="2"/>
          <w:sz w:val="24"/>
          <w:szCs w:val="24"/>
        </w:rPr>
        <w:br/>
        <w:t xml:space="preserve">Writing–review &amp; editing: </w:t>
      </w:r>
      <w:proofErr w:type="spellStart"/>
      <w:r w:rsidRPr="000260D0">
        <w:rPr>
          <w:rFonts w:ascii="Times New Roman" w:eastAsiaTheme="minorHAnsi" w:hAnsi="Times New Roman" w:cs="Times New Roman"/>
          <w:kern w:val="2"/>
          <w:sz w:val="24"/>
          <w:szCs w:val="24"/>
        </w:rPr>
        <w:t>Yoifah</w:t>
      </w:r>
      <w:proofErr w:type="spellEnd"/>
      <w:r w:rsidRPr="000260D0">
        <w:rPr>
          <w:rFonts w:ascii="Times New Roman" w:eastAsiaTheme="minorHAnsi" w:hAnsi="Times New Roman" w:cs="Times New Roman"/>
          <w:kern w:val="2"/>
          <w:sz w:val="24"/>
          <w:szCs w:val="24"/>
        </w:rPr>
        <w:t xml:space="preserve"> Rizka Wedarti, </w:t>
      </w:r>
      <w:proofErr w:type="spellStart"/>
      <w:r w:rsidRPr="000260D0">
        <w:rPr>
          <w:rFonts w:ascii="Times New Roman" w:eastAsiaTheme="minorHAnsi" w:hAnsi="Times New Roman" w:cs="Times New Roman"/>
          <w:kern w:val="2"/>
          <w:sz w:val="24"/>
          <w:szCs w:val="24"/>
        </w:rPr>
        <w:t>Soetjipto</w:t>
      </w:r>
      <w:proofErr w:type="spellEnd"/>
      <w:r w:rsidRPr="000260D0">
        <w:rPr>
          <w:rFonts w:ascii="Times New Roman" w:eastAsiaTheme="minorHAnsi" w:hAnsi="Times New Roman" w:cs="Times New Roman"/>
          <w:kern w:val="2"/>
          <w:sz w:val="24"/>
          <w:szCs w:val="24"/>
        </w:rPr>
        <w:t xml:space="preserve">, Agung </w:t>
      </w:r>
      <w:proofErr w:type="spellStart"/>
      <w:r w:rsidRPr="000260D0">
        <w:rPr>
          <w:rFonts w:ascii="Times New Roman" w:eastAsiaTheme="minorHAnsi" w:hAnsi="Times New Roman" w:cs="Times New Roman"/>
          <w:kern w:val="2"/>
          <w:sz w:val="24"/>
          <w:szCs w:val="24"/>
        </w:rPr>
        <w:t>Krismariono</w:t>
      </w:r>
      <w:proofErr w:type="spellEnd"/>
    </w:p>
    <w:p w14:paraId="172F4C2F" w14:textId="77777777" w:rsidR="00174FF1" w:rsidRPr="00A20750" w:rsidRDefault="00174FF1" w:rsidP="000260D0">
      <w:pPr>
        <w:spacing w:after="0" w:line="240" w:lineRule="auto"/>
        <w:rPr>
          <w:rFonts w:ascii="Times New Roman" w:eastAsia="Calibri" w:hAnsi="Times New Roman" w:cs="Times New Roman"/>
          <w:bCs/>
          <w:sz w:val="24"/>
          <w:szCs w:val="24"/>
          <w:lang w:val="en-GB"/>
        </w:rPr>
      </w:pPr>
    </w:p>
    <w:p w14:paraId="1C51EDB6" w14:textId="77777777" w:rsidR="000260D0" w:rsidRDefault="000260D0" w:rsidP="00256FF2">
      <w:pPr>
        <w:spacing w:after="0" w:line="240" w:lineRule="auto"/>
        <w:jc w:val="both"/>
        <w:rPr>
          <w:rFonts w:ascii="Times New Roman" w:eastAsia="Calibri" w:hAnsi="Times New Roman" w:cs="Times New Roman"/>
          <w:b/>
          <w:sz w:val="24"/>
          <w:szCs w:val="24"/>
        </w:rPr>
      </w:pPr>
      <w:r w:rsidRPr="000260D0">
        <w:rPr>
          <w:rFonts w:ascii="Times New Roman" w:eastAsia="Calibri" w:hAnsi="Times New Roman" w:cs="Times New Roman"/>
          <w:b/>
          <w:sz w:val="24"/>
          <w:szCs w:val="24"/>
        </w:rPr>
        <w:t>Study Highlights</w:t>
      </w:r>
    </w:p>
    <w:p w14:paraId="523B8DC7" w14:textId="0E191A50" w:rsidR="000260D0" w:rsidRPr="000260D0" w:rsidRDefault="000260D0" w:rsidP="00256FF2">
      <w:pPr>
        <w:spacing w:after="0" w:line="240" w:lineRule="auto"/>
        <w:jc w:val="both"/>
        <w:rPr>
          <w:rFonts w:ascii="Times New Roman" w:eastAsia="Calibri" w:hAnsi="Times New Roman" w:cs="Times New Roman"/>
          <w:bCs/>
          <w:sz w:val="24"/>
          <w:szCs w:val="24"/>
        </w:rPr>
      </w:pPr>
      <w:r w:rsidRPr="000260D0">
        <w:rPr>
          <w:rFonts w:ascii="Times New Roman" w:eastAsia="Calibri" w:hAnsi="Times New Roman" w:cs="Times New Roman"/>
          <w:bCs/>
          <w:sz w:val="24"/>
          <w:szCs w:val="24"/>
        </w:rPr>
        <w:t>What is the current knowledge?</w:t>
      </w:r>
    </w:p>
    <w:p w14:paraId="37559AEE" w14:textId="77777777" w:rsidR="000260D0" w:rsidRDefault="000260D0" w:rsidP="00256FF2">
      <w:pPr>
        <w:spacing w:after="0" w:line="240" w:lineRule="auto"/>
        <w:jc w:val="both"/>
        <w:rPr>
          <w:rFonts w:ascii="Times New Roman" w:eastAsia="Calibri" w:hAnsi="Times New Roman" w:cs="Times New Roman"/>
          <w:bCs/>
          <w:sz w:val="24"/>
          <w:szCs w:val="24"/>
        </w:rPr>
      </w:pPr>
      <w:r w:rsidRPr="000260D0">
        <w:rPr>
          <w:rFonts w:ascii="Times New Roman" w:eastAsia="Calibri" w:hAnsi="Times New Roman" w:cs="Times New Roman"/>
          <w:bCs/>
          <w:sz w:val="24"/>
          <w:szCs w:val="24"/>
        </w:rPr>
        <w:t>• Porphyromonas gingivalis-associated periodontitis has been linked to systemic inflammation, neuroinflammation, and cognitive decline.</w:t>
      </w:r>
    </w:p>
    <w:p w14:paraId="5649ACF9" w14:textId="74133591" w:rsidR="000260D0" w:rsidRPr="000260D0" w:rsidRDefault="000260D0" w:rsidP="000260D0">
      <w:pPr>
        <w:spacing w:line="240" w:lineRule="auto"/>
        <w:jc w:val="both"/>
        <w:rPr>
          <w:rFonts w:ascii="Times New Roman" w:eastAsia="Calibri" w:hAnsi="Times New Roman" w:cs="Times New Roman"/>
          <w:bCs/>
          <w:sz w:val="24"/>
          <w:szCs w:val="24"/>
        </w:rPr>
      </w:pPr>
      <w:r w:rsidRPr="000260D0">
        <w:rPr>
          <w:rFonts w:ascii="Times New Roman" w:eastAsia="Calibri" w:hAnsi="Times New Roman" w:cs="Times New Roman"/>
          <w:bCs/>
          <w:sz w:val="24"/>
          <w:szCs w:val="24"/>
        </w:rPr>
        <w:t>• Hyperbaric oxygen therapy has shown anti-inflammatory and neuroprotective effects in experimental models of neurological injury.</w:t>
      </w:r>
    </w:p>
    <w:p w14:paraId="2D19A199" w14:textId="6A72EF0D" w:rsidR="000260D0" w:rsidRPr="000260D0" w:rsidRDefault="000260D0" w:rsidP="00256FF2">
      <w:pPr>
        <w:spacing w:after="0" w:line="240" w:lineRule="auto"/>
        <w:jc w:val="both"/>
        <w:rPr>
          <w:rFonts w:ascii="Times New Roman" w:eastAsia="Calibri" w:hAnsi="Times New Roman" w:cs="Times New Roman"/>
          <w:bCs/>
          <w:sz w:val="24"/>
          <w:szCs w:val="24"/>
        </w:rPr>
      </w:pPr>
      <w:r w:rsidRPr="000260D0">
        <w:rPr>
          <w:rFonts w:ascii="Times New Roman" w:eastAsia="Calibri" w:hAnsi="Times New Roman" w:cs="Times New Roman"/>
          <w:bCs/>
          <w:sz w:val="24"/>
          <w:szCs w:val="24"/>
        </w:rPr>
        <w:t>What is new here?</w:t>
      </w:r>
    </w:p>
    <w:p w14:paraId="5169C962" w14:textId="77777777" w:rsidR="000260D0" w:rsidRDefault="000260D0" w:rsidP="00256FF2">
      <w:pPr>
        <w:spacing w:after="0" w:line="240" w:lineRule="auto"/>
        <w:jc w:val="both"/>
        <w:rPr>
          <w:rFonts w:ascii="Times New Roman" w:eastAsia="Calibri" w:hAnsi="Times New Roman" w:cs="Times New Roman"/>
          <w:bCs/>
          <w:sz w:val="24"/>
          <w:szCs w:val="24"/>
        </w:rPr>
      </w:pPr>
      <w:r w:rsidRPr="000260D0">
        <w:rPr>
          <w:rFonts w:ascii="Times New Roman" w:eastAsia="Calibri" w:hAnsi="Times New Roman" w:cs="Times New Roman"/>
          <w:bCs/>
          <w:sz w:val="24"/>
          <w:szCs w:val="24"/>
        </w:rPr>
        <w:t>• This study shows that Porphyromonas gingivalis-induced periodontitis impairs spatial working memory in Sprague–Dawley rats.</w:t>
      </w:r>
    </w:p>
    <w:p w14:paraId="06D27389" w14:textId="77777777" w:rsidR="000260D0" w:rsidRDefault="000260D0" w:rsidP="00256FF2">
      <w:pPr>
        <w:spacing w:after="0" w:line="240" w:lineRule="auto"/>
        <w:jc w:val="both"/>
        <w:rPr>
          <w:rFonts w:ascii="Times New Roman" w:eastAsia="Calibri" w:hAnsi="Times New Roman" w:cs="Times New Roman"/>
          <w:bCs/>
          <w:sz w:val="24"/>
          <w:szCs w:val="24"/>
        </w:rPr>
      </w:pPr>
      <w:r w:rsidRPr="000260D0">
        <w:rPr>
          <w:rFonts w:ascii="Times New Roman" w:eastAsia="Calibri" w:hAnsi="Times New Roman" w:cs="Times New Roman"/>
          <w:bCs/>
          <w:sz w:val="24"/>
          <w:szCs w:val="24"/>
        </w:rPr>
        <w:t>• Hyperbaric oxygen therapy improved Y-maze spontaneous alternation performance after Porphyromonas gingivalis induction.</w:t>
      </w:r>
    </w:p>
    <w:p w14:paraId="2657DE67" w14:textId="52A6F788" w:rsidR="0085225B" w:rsidRPr="00A20750" w:rsidRDefault="000260D0" w:rsidP="00256FF2">
      <w:pPr>
        <w:spacing w:after="0" w:line="240" w:lineRule="auto"/>
        <w:jc w:val="both"/>
        <w:rPr>
          <w:rFonts w:ascii="Times New Roman" w:eastAsia="Calibri" w:hAnsi="Times New Roman" w:cs="Times New Roman"/>
          <w:bCs/>
          <w:sz w:val="24"/>
          <w:szCs w:val="24"/>
          <w:lang w:val="en-GB"/>
        </w:rPr>
      </w:pPr>
      <w:r w:rsidRPr="000260D0">
        <w:rPr>
          <w:rFonts w:ascii="Times New Roman" w:eastAsia="Calibri" w:hAnsi="Times New Roman" w:cs="Times New Roman"/>
          <w:bCs/>
          <w:sz w:val="24"/>
          <w:szCs w:val="24"/>
        </w:rPr>
        <w:t>• These findings support the potential role of HBOT as an adjunctive approach to mitigate neuroinflammatory effects associated with chronic periodontal infection.</w:t>
      </w:r>
    </w:p>
    <w:p w14:paraId="6BEDB665" w14:textId="77777777" w:rsidR="00256FF2" w:rsidRPr="00A20750" w:rsidRDefault="00256FF2" w:rsidP="00256FF2">
      <w:pPr>
        <w:tabs>
          <w:tab w:val="left" w:pos="3206"/>
        </w:tabs>
        <w:spacing w:after="0" w:line="240" w:lineRule="auto"/>
        <w:jc w:val="both"/>
        <w:rPr>
          <w:rFonts w:ascii="Times New Roman" w:hAnsi="Times New Roman" w:cs="Times New Roman"/>
          <w:b/>
          <w:sz w:val="24"/>
          <w:szCs w:val="24"/>
        </w:rPr>
      </w:pPr>
    </w:p>
    <w:p w14:paraId="13FBD363" w14:textId="13C8E056" w:rsidR="0085225B" w:rsidRPr="00A20750" w:rsidRDefault="0085225B" w:rsidP="00256FF2">
      <w:pPr>
        <w:tabs>
          <w:tab w:val="left" w:pos="3206"/>
        </w:tabs>
        <w:spacing w:after="0" w:line="240" w:lineRule="auto"/>
        <w:jc w:val="both"/>
        <w:rPr>
          <w:rFonts w:ascii="Times New Roman" w:hAnsi="Times New Roman" w:cs="Times New Roman"/>
          <w:b/>
          <w:sz w:val="24"/>
          <w:szCs w:val="24"/>
        </w:rPr>
      </w:pPr>
      <w:r w:rsidRPr="00A20750">
        <w:rPr>
          <w:rFonts w:ascii="Times New Roman" w:hAnsi="Times New Roman" w:cs="Times New Roman"/>
          <w:b/>
          <w:sz w:val="24"/>
          <w:szCs w:val="24"/>
        </w:rPr>
        <w:t>REFERENCES:</w:t>
      </w:r>
    </w:p>
    <w:p w14:paraId="3EE938C2" w14:textId="77777777" w:rsidR="0085225B" w:rsidRPr="00A20750" w:rsidRDefault="0085225B" w:rsidP="00256FF2">
      <w:pPr>
        <w:tabs>
          <w:tab w:val="left" w:pos="3206"/>
        </w:tabs>
        <w:spacing w:after="0" w:line="240" w:lineRule="auto"/>
        <w:jc w:val="both"/>
        <w:rPr>
          <w:rFonts w:ascii="Times New Roman" w:hAnsi="Times New Roman" w:cs="Times New Roman"/>
          <w:b/>
          <w:color w:val="FF0000"/>
          <w:sz w:val="24"/>
          <w:szCs w:val="24"/>
        </w:rPr>
      </w:pPr>
    </w:p>
    <w:p w14:paraId="11B10179" w14:textId="4C2F3081"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proofErr w:type="spellStart"/>
      <w:r w:rsidRPr="00A20750">
        <w:rPr>
          <w:rFonts w:ascii="Times New Roman" w:eastAsiaTheme="minorHAnsi" w:hAnsi="Times New Roman" w:cs="Times New Roman"/>
          <w:kern w:val="2"/>
          <w:sz w:val="24"/>
          <w:szCs w:val="24"/>
          <w:lang w:val="en-ID"/>
        </w:rPr>
        <w:t>Hajishengallis</w:t>
      </w:r>
      <w:proofErr w:type="spellEnd"/>
      <w:r w:rsidRPr="00A20750">
        <w:rPr>
          <w:rFonts w:ascii="Times New Roman" w:eastAsiaTheme="minorHAnsi" w:hAnsi="Times New Roman" w:cs="Times New Roman"/>
          <w:kern w:val="2"/>
          <w:sz w:val="24"/>
          <w:szCs w:val="24"/>
          <w:lang w:val="en-ID"/>
        </w:rPr>
        <w:t xml:space="preserve"> G. Periodontitis: from microbial immune subversion to systemic inflammation. Nat Rev Immunol. </w:t>
      </w:r>
      <w:proofErr w:type="gramStart"/>
      <w:r w:rsidRPr="00A20750">
        <w:rPr>
          <w:rFonts w:ascii="Times New Roman" w:eastAsiaTheme="minorHAnsi" w:hAnsi="Times New Roman" w:cs="Times New Roman"/>
          <w:kern w:val="2"/>
          <w:sz w:val="24"/>
          <w:szCs w:val="24"/>
          <w:lang w:val="en-ID"/>
        </w:rPr>
        <w:t>2015;15:30</w:t>
      </w:r>
      <w:proofErr w:type="gramEnd"/>
      <w:r w:rsidRPr="00A20750">
        <w:rPr>
          <w:rFonts w:ascii="Times New Roman" w:eastAsiaTheme="minorHAnsi" w:hAnsi="Times New Roman" w:cs="Times New Roman"/>
          <w:kern w:val="2"/>
          <w:sz w:val="24"/>
          <w:szCs w:val="24"/>
          <w:lang w:val="en-ID"/>
        </w:rPr>
        <w:t>–44.</w:t>
      </w:r>
    </w:p>
    <w:p w14:paraId="4E923BF3" w14:textId="72A27A6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How KY, Song KP, Chan KG. Porphyromonas gingivalis: an overview of periodontopathic pathogen below the gum line. Front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2016;7:53</w:t>
      </w:r>
      <w:proofErr w:type="gramEnd"/>
      <w:r w:rsidRPr="00A20750">
        <w:rPr>
          <w:rFonts w:ascii="Times New Roman" w:eastAsiaTheme="minorHAnsi" w:hAnsi="Times New Roman" w:cs="Times New Roman"/>
          <w:kern w:val="2"/>
          <w:sz w:val="24"/>
          <w:szCs w:val="24"/>
          <w:lang w:val="en-ID"/>
        </w:rPr>
        <w:t>.</w:t>
      </w:r>
    </w:p>
    <w:p w14:paraId="5B12AD92" w14:textId="35FB2500"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Kassebaum NJ, Bernabé E, Dahiya M, Bhandari B, Murray CJ, </w:t>
      </w:r>
      <w:proofErr w:type="spellStart"/>
      <w:r w:rsidRPr="00A20750">
        <w:rPr>
          <w:rFonts w:ascii="Times New Roman" w:eastAsiaTheme="minorHAnsi" w:hAnsi="Times New Roman" w:cs="Times New Roman"/>
          <w:kern w:val="2"/>
          <w:sz w:val="24"/>
          <w:szCs w:val="24"/>
          <w:lang w:val="en-ID"/>
        </w:rPr>
        <w:t>Marcenes</w:t>
      </w:r>
      <w:proofErr w:type="spellEnd"/>
      <w:r w:rsidRPr="00A20750">
        <w:rPr>
          <w:rFonts w:ascii="Times New Roman" w:eastAsiaTheme="minorHAnsi" w:hAnsi="Times New Roman" w:cs="Times New Roman"/>
          <w:kern w:val="2"/>
          <w:sz w:val="24"/>
          <w:szCs w:val="24"/>
          <w:lang w:val="en-ID"/>
        </w:rPr>
        <w:t xml:space="preserve"> W. Global burden of severe periodontitis. J Dent Res. </w:t>
      </w:r>
      <w:proofErr w:type="gramStart"/>
      <w:r w:rsidRPr="00A20750">
        <w:rPr>
          <w:rFonts w:ascii="Times New Roman" w:eastAsiaTheme="minorHAnsi" w:hAnsi="Times New Roman" w:cs="Times New Roman"/>
          <w:kern w:val="2"/>
          <w:sz w:val="24"/>
          <w:szCs w:val="24"/>
          <w:lang w:val="en-ID"/>
        </w:rPr>
        <w:t>2014;93:1045</w:t>
      </w:r>
      <w:proofErr w:type="gramEnd"/>
      <w:r w:rsidRPr="00A20750">
        <w:rPr>
          <w:rFonts w:ascii="Times New Roman" w:eastAsiaTheme="minorHAnsi" w:hAnsi="Times New Roman" w:cs="Times New Roman"/>
          <w:kern w:val="2"/>
          <w:sz w:val="24"/>
          <w:szCs w:val="24"/>
          <w:lang w:val="en-ID"/>
        </w:rPr>
        <w:t>–53.</w:t>
      </w:r>
    </w:p>
    <w:p w14:paraId="7699A123" w14:textId="7FE8DF61"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lastRenderedPageBreak/>
        <w:t xml:space="preserve">Dominy SS, Lynch C, </w:t>
      </w:r>
      <w:proofErr w:type="spellStart"/>
      <w:r w:rsidRPr="00A20750">
        <w:rPr>
          <w:rFonts w:ascii="Times New Roman" w:eastAsiaTheme="minorHAnsi" w:hAnsi="Times New Roman" w:cs="Times New Roman"/>
          <w:kern w:val="2"/>
          <w:sz w:val="24"/>
          <w:szCs w:val="24"/>
          <w:lang w:val="en-ID"/>
        </w:rPr>
        <w:t>Ermini</w:t>
      </w:r>
      <w:proofErr w:type="spellEnd"/>
      <w:r w:rsidRPr="00A20750">
        <w:rPr>
          <w:rFonts w:ascii="Times New Roman" w:eastAsiaTheme="minorHAnsi" w:hAnsi="Times New Roman" w:cs="Times New Roman"/>
          <w:kern w:val="2"/>
          <w:sz w:val="24"/>
          <w:szCs w:val="24"/>
          <w:lang w:val="en-ID"/>
        </w:rPr>
        <w:t xml:space="preserve"> F, </w:t>
      </w:r>
      <w:proofErr w:type="spellStart"/>
      <w:r w:rsidRPr="00A20750">
        <w:rPr>
          <w:rFonts w:ascii="Times New Roman" w:eastAsiaTheme="minorHAnsi" w:hAnsi="Times New Roman" w:cs="Times New Roman"/>
          <w:kern w:val="2"/>
          <w:sz w:val="24"/>
          <w:szCs w:val="24"/>
          <w:lang w:val="en-ID"/>
        </w:rPr>
        <w:t>Benedyk</w:t>
      </w:r>
      <w:proofErr w:type="spellEnd"/>
      <w:r w:rsidRPr="00A20750">
        <w:rPr>
          <w:rFonts w:ascii="Times New Roman" w:eastAsiaTheme="minorHAnsi" w:hAnsi="Times New Roman" w:cs="Times New Roman"/>
          <w:kern w:val="2"/>
          <w:sz w:val="24"/>
          <w:szCs w:val="24"/>
          <w:lang w:val="en-ID"/>
        </w:rPr>
        <w:t xml:space="preserve"> M, Marczyk A, Konradi A, et al. Porphyromonas gingivalis in Alzheimer’s disease brains: evidence for disease causation and treatment with small-molecule inhibitors. Sci Adv. 2019;</w:t>
      </w:r>
      <w:proofErr w:type="gramStart"/>
      <w:r w:rsidRPr="00A20750">
        <w:rPr>
          <w:rFonts w:ascii="Times New Roman" w:eastAsiaTheme="minorHAnsi" w:hAnsi="Times New Roman" w:cs="Times New Roman"/>
          <w:kern w:val="2"/>
          <w:sz w:val="24"/>
          <w:szCs w:val="24"/>
          <w:lang w:val="en-ID"/>
        </w:rPr>
        <w:t>5:eaau</w:t>
      </w:r>
      <w:proofErr w:type="gramEnd"/>
      <w:r w:rsidRPr="00A20750">
        <w:rPr>
          <w:rFonts w:ascii="Times New Roman" w:eastAsiaTheme="minorHAnsi" w:hAnsi="Times New Roman" w:cs="Times New Roman"/>
          <w:kern w:val="2"/>
          <w:sz w:val="24"/>
          <w:szCs w:val="24"/>
          <w:lang w:val="en-ID"/>
        </w:rPr>
        <w:t>3333.</w:t>
      </w:r>
    </w:p>
    <w:p w14:paraId="7EC7B984" w14:textId="4801214A"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Livingston G, Huntley J, </w:t>
      </w:r>
      <w:proofErr w:type="spellStart"/>
      <w:r w:rsidRPr="00A20750">
        <w:rPr>
          <w:rFonts w:ascii="Times New Roman" w:eastAsiaTheme="minorHAnsi" w:hAnsi="Times New Roman" w:cs="Times New Roman"/>
          <w:kern w:val="2"/>
          <w:sz w:val="24"/>
          <w:szCs w:val="24"/>
          <w:lang w:val="en-ID"/>
        </w:rPr>
        <w:t>Sommerlad</w:t>
      </w:r>
      <w:proofErr w:type="spellEnd"/>
      <w:r w:rsidRPr="00A20750">
        <w:rPr>
          <w:rFonts w:ascii="Times New Roman" w:eastAsiaTheme="minorHAnsi" w:hAnsi="Times New Roman" w:cs="Times New Roman"/>
          <w:kern w:val="2"/>
          <w:sz w:val="24"/>
          <w:szCs w:val="24"/>
          <w:lang w:val="en-ID"/>
        </w:rPr>
        <w:t xml:space="preserve"> A, Ames D, Ballard C, Banerjee S, et al. Dementia prevention, intervention, and care. Lancet. </w:t>
      </w:r>
      <w:proofErr w:type="gramStart"/>
      <w:r w:rsidRPr="00A20750">
        <w:rPr>
          <w:rFonts w:ascii="Times New Roman" w:eastAsiaTheme="minorHAnsi" w:hAnsi="Times New Roman" w:cs="Times New Roman"/>
          <w:kern w:val="2"/>
          <w:sz w:val="24"/>
          <w:szCs w:val="24"/>
          <w:lang w:val="en-ID"/>
        </w:rPr>
        <w:t>2020;396:413</w:t>
      </w:r>
      <w:proofErr w:type="gramEnd"/>
      <w:r w:rsidRPr="00A20750">
        <w:rPr>
          <w:rFonts w:ascii="Times New Roman" w:eastAsiaTheme="minorHAnsi" w:hAnsi="Times New Roman" w:cs="Times New Roman"/>
          <w:kern w:val="2"/>
          <w:sz w:val="24"/>
          <w:szCs w:val="24"/>
          <w:lang w:val="en-ID"/>
        </w:rPr>
        <w:t>–46.</w:t>
      </w:r>
    </w:p>
    <w:p w14:paraId="4F24FC41" w14:textId="520642B3"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Kim J, Kang H, Lee YB, Lee B, Lee D. Inflammatory responses induced by Porphyromonas gingivalis and their systemic implications. Sci Rep. </w:t>
      </w:r>
      <w:proofErr w:type="gramStart"/>
      <w:r w:rsidRPr="00A20750">
        <w:rPr>
          <w:rFonts w:ascii="Times New Roman" w:eastAsiaTheme="minorHAnsi" w:hAnsi="Times New Roman" w:cs="Times New Roman"/>
          <w:kern w:val="2"/>
          <w:sz w:val="24"/>
          <w:szCs w:val="24"/>
          <w:lang w:val="en-ID"/>
        </w:rPr>
        <w:t>2023;13:14722</w:t>
      </w:r>
      <w:proofErr w:type="gramEnd"/>
      <w:r w:rsidRPr="00A20750">
        <w:rPr>
          <w:rFonts w:ascii="Times New Roman" w:eastAsiaTheme="minorHAnsi" w:hAnsi="Times New Roman" w:cs="Times New Roman"/>
          <w:kern w:val="2"/>
          <w:sz w:val="24"/>
          <w:szCs w:val="24"/>
          <w:lang w:val="en-ID"/>
        </w:rPr>
        <w:t>.</w:t>
      </w:r>
    </w:p>
    <w:p w14:paraId="58EE3AD4" w14:textId="22F020B7"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Jiang Y, et al. Porphyromonas gingivalis and systemic inflammatory responses in neurodegenerative diseases. Front Cell Infect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2025;15:1559182</w:t>
      </w:r>
      <w:proofErr w:type="gramEnd"/>
      <w:r w:rsidRPr="00A20750">
        <w:rPr>
          <w:rFonts w:ascii="Times New Roman" w:eastAsiaTheme="minorHAnsi" w:hAnsi="Times New Roman" w:cs="Times New Roman"/>
          <w:kern w:val="2"/>
          <w:sz w:val="24"/>
          <w:szCs w:val="24"/>
          <w:lang w:val="en-ID"/>
        </w:rPr>
        <w:t>.</w:t>
      </w:r>
    </w:p>
    <w:p w14:paraId="4653C276" w14:textId="76AA3830"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Cichońska D, </w:t>
      </w:r>
      <w:proofErr w:type="spellStart"/>
      <w:r w:rsidRPr="00A20750">
        <w:rPr>
          <w:rFonts w:ascii="Times New Roman" w:eastAsiaTheme="minorHAnsi" w:hAnsi="Times New Roman" w:cs="Times New Roman"/>
          <w:kern w:val="2"/>
          <w:sz w:val="24"/>
          <w:szCs w:val="24"/>
          <w:lang w:val="en-ID"/>
        </w:rPr>
        <w:t>Mazuś</w:t>
      </w:r>
      <w:proofErr w:type="spellEnd"/>
      <w:r w:rsidRPr="00A20750">
        <w:rPr>
          <w:rFonts w:ascii="Times New Roman" w:eastAsiaTheme="minorHAnsi" w:hAnsi="Times New Roman" w:cs="Times New Roman"/>
          <w:kern w:val="2"/>
          <w:sz w:val="24"/>
          <w:szCs w:val="24"/>
          <w:lang w:val="en-ID"/>
        </w:rPr>
        <w:t xml:space="preserve"> M, Kusiak A. Molecular mechanisms linking periodontal disease and neurodegeneration. Int J Mol Sci. </w:t>
      </w:r>
      <w:proofErr w:type="gramStart"/>
      <w:r w:rsidRPr="00A20750">
        <w:rPr>
          <w:rFonts w:ascii="Times New Roman" w:eastAsiaTheme="minorHAnsi" w:hAnsi="Times New Roman" w:cs="Times New Roman"/>
          <w:kern w:val="2"/>
          <w:sz w:val="24"/>
          <w:szCs w:val="24"/>
          <w:lang w:val="en-ID"/>
        </w:rPr>
        <w:t>2024;25:2612</w:t>
      </w:r>
      <w:proofErr w:type="gramEnd"/>
      <w:r w:rsidRPr="00A20750">
        <w:rPr>
          <w:rFonts w:ascii="Times New Roman" w:eastAsiaTheme="minorHAnsi" w:hAnsi="Times New Roman" w:cs="Times New Roman"/>
          <w:kern w:val="2"/>
          <w:sz w:val="24"/>
          <w:szCs w:val="24"/>
          <w:lang w:val="en-ID"/>
        </w:rPr>
        <w:t>.</w:t>
      </w:r>
    </w:p>
    <w:p w14:paraId="165814D7" w14:textId="72B70AE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 F, et al. </w:t>
      </w:r>
      <w:proofErr w:type="spellStart"/>
      <w:r w:rsidRPr="00A20750">
        <w:rPr>
          <w:rFonts w:ascii="Times New Roman" w:eastAsiaTheme="minorHAnsi" w:hAnsi="Times New Roman" w:cs="Times New Roman"/>
          <w:kern w:val="2"/>
          <w:sz w:val="24"/>
          <w:szCs w:val="24"/>
          <w:lang w:val="en-ID"/>
        </w:rPr>
        <w:t>Behavioral</w:t>
      </w:r>
      <w:proofErr w:type="spellEnd"/>
      <w:r w:rsidRPr="00A20750">
        <w:rPr>
          <w:rFonts w:ascii="Times New Roman" w:eastAsiaTheme="minorHAnsi" w:hAnsi="Times New Roman" w:cs="Times New Roman"/>
          <w:kern w:val="2"/>
          <w:sz w:val="24"/>
          <w:szCs w:val="24"/>
          <w:lang w:val="en-ID"/>
        </w:rPr>
        <w:t xml:space="preserve"> assessment of spatial working memory using the Y-maze paradigm. J Clin Periodontol. </w:t>
      </w:r>
      <w:proofErr w:type="gramStart"/>
      <w:r w:rsidRPr="00A20750">
        <w:rPr>
          <w:rFonts w:ascii="Times New Roman" w:eastAsiaTheme="minorHAnsi" w:hAnsi="Times New Roman" w:cs="Times New Roman"/>
          <w:kern w:val="2"/>
          <w:sz w:val="24"/>
          <w:szCs w:val="24"/>
          <w:lang w:val="en-ID"/>
        </w:rPr>
        <w:t>2024;51:818</w:t>
      </w:r>
      <w:proofErr w:type="gramEnd"/>
      <w:r w:rsidRPr="00A20750">
        <w:rPr>
          <w:rFonts w:ascii="Times New Roman" w:eastAsiaTheme="minorHAnsi" w:hAnsi="Times New Roman" w:cs="Times New Roman"/>
          <w:kern w:val="2"/>
          <w:sz w:val="24"/>
          <w:szCs w:val="24"/>
          <w:lang w:val="en-ID"/>
        </w:rPr>
        <w:t>–39.</w:t>
      </w:r>
    </w:p>
    <w:p w14:paraId="4C244C21" w14:textId="601068AB"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Lei S, et al. Periodontal infection and systemic disease progression. Int J Oral Sci. </w:t>
      </w:r>
      <w:proofErr w:type="gramStart"/>
      <w:r w:rsidRPr="00A20750">
        <w:rPr>
          <w:rFonts w:ascii="Times New Roman" w:eastAsiaTheme="minorHAnsi" w:hAnsi="Times New Roman" w:cs="Times New Roman"/>
          <w:kern w:val="2"/>
          <w:sz w:val="24"/>
          <w:szCs w:val="24"/>
          <w:lang w:val="en-ID"/>
        </w:rPr>
        <w:t>2023;15:3</w:t>
      </w:r>
      <w:proofErr w:type="gramEnd"/>
      <w:r w:rsidRPr="00A20750">
        <w:rPr>
          <w:rFonts w:ascii="Times New Roman" w:eastAsiaTheme="minorHAnsi" w:hAnsi="Times New Roman" w:cs="Times New Roman"/>
          <w:kern w:val="2"/>
          <w:sz w:val="24"/>
          <w:szCs w:val="24"/>
          <w:lang w:val="en-ID"/>
        </w:rPr>
        <w:t>.</w:t>
      </w:r>
    </w:p>
    <w:p w14:paraId="27896788" w14:textId="4A1A6359"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Nonaka S, Kadowaki T, Nakanishi H. Neuroinflammatory mechanisms triggered by periodontal pathogens. </w:t>
      </w:r>
      <w:proofErr w:type="spellStart"/>
      <w:r w:rsidRPr="00A20750">
        <w:rPr>
          <w:rFonts w:ascii="Times New Roman" w:eastAsiaTheme="minorHAnsi" w:hAnsi="Times New Roman" w:cs="Times New Roman"/>
          <w:kern w:val="2"/>
          <w:sz w:val="24"/>
          <w:szCs w:val="24"/>
          <w:lang w:val="en-ID"/>
        </w:rPr>
        <w:t>Neurochem</w:t>
      </w:r>
      <w:proofErr w:type="spellEnd"/>
      <w:r w:rsidRPr="00A20750">
        <w:rPr>
          <w:rFonts w:ascii="Times New Roman" w:eastAsiaTheme="minorHAnsi" w:hAnsi="Times New Roman" w:cs="Times New Roman"/>
          <w:kern w:val="2"/>
          <w:sz w:val="24"/>
          <w:szCs w:val="24"/>
          <w:lang w:val="en-ID"/>
        </w:rPr>
        <w:t xml:space="preserve"> Int. </w:t>
      </w:r>
      <w:proofErr w:type="gramStart"/>
      <w:r w:rsidRPr="00A20750">
        <w:rPr>
          <w:rFonts w:ascii="Times New Roman" w:eastAsiaTheme="minorHAnsi" w:hAnsi="Times New Roman" w:cs="Times New Roman"/>
          <w:kern w:val="2"/>
          <w:sz w:val="24"/>
          <w:szCs w:val="24"/>
          <w:lang w:val="en-ID"/>
        </w:rPr>
        <w:t>2022;154:105282</w:t>
      </w:r>
      <w:proofErr w:type="gramEnd"/>
      <w:r w:rsidRPr="00A20750">
        <w:rPr>
          <w:rFonts w:ascii="Times New Roman" w:eastAsiaTheme="minorHAnsi" w:hAnsi="Times New Roman" w:cs="Times New Roman"/>
          <w:kern w:val="2"/>
          <w:sz w:val="24"/>
          <w:szCs w:val="24"/>
          <w:lang w:val="en-ID"/>
        </w:rPr>
        <w:t>.</w:t>
      </w:r>
    </w:p>
    <w:p w14:paraId="5D558234" w14:textId="6153734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Aarabi G, Thomalla G, Walther C, Mayer C, </w:t>
      </w:r>
      <w:proofErr w:type="spellStart"/>
      <w:r w:rsidRPr="00A20750">
        <w:rPr>
          <w:rFonts w:ascii="Times New Roman" w:eastAsiaTheme="minorHAnsi" w:hAnsi="Times New Roman" w:cs="Times New Roman"/>
          <w:kern w:val="2"/>
          <w:sz w:val="24"/>
          <w:szCs w:val="24"/>
          <w:lang w:val="en-ID"/>
        </w:rPr>
        <w:t>Beikler</w:t>
      </w:r>
      <w:proofErr w:type="spellEnd"/>
      <w:r w:rsidRPr="00A20750">
        <w:rPr>
          <w:rFonts w:ascii="Times New Roman" w:eastAsiaTheme="minorHAnsi" w:hAnsi="Times New Roman" w:cs="Times New Roman"/>
          <w:kern w:val="2"/>
          <w:sz w:val="24"/>
          <w:szCs w:val="24"/>
          <w:lang w:val="en-ID"/>
        </w:rPr>
        <w:t xml:space="preserve"> T, </w:t>
      </w:r>
      <w:proofErr w:type="spellStart"/>
      <w:r w:rsidRPr="00A20750">
        <w:rPr>
          <w:rFonts w:ascii="Times New Roman" w:eastAsiaTheme="minorHAnsi" w:hAnsi="Times New Roman" w:cs="Times New Roman"/>
          <w:kern w:val="2"/>
          <w:sz w:val="24"/>
          <w:szCs w:val="24"/>
          <w:lang w:val="en-ID"/>
        </w:rPr>
        <w:t>Heydecke</w:t>
      </w:r>
      <w:proofErr w:type="spellEnd"/>
      <w:r w:rsidRPr="00A20750">
        <w:rPr>
          <w:rFonts w:ascii="Times New Roman" w:eastAsiaTheme="minorHAnsi" w:hAnsi="Times New Roman" w:cs="Times New Roman"/>
          <w:kern w:val="2"/>
          <w:sz w:val="24"/>
          <w:szCs w:val="24"/>
          <w:lang w:val="en-ID"/>
        </w:rPr>
        <w:t xml:space="preserve"> G, et al. Periodontal disease and neurological disorders: clinical evidence and mechanisms. </w:t>
      </w:r>
      <w:proofErr w:type="spellStart"/>
      <w:r w:rsidRPr="00A20750">
        <w:rPr>
          <w:rFonts w:ascii="Times New Roman" w:eastAsiaTheme="minorHAnsi" w:hAnsi="Times New Roman" w:cs="Times New Roman"/>
          <w:kern w:val="2"/>
          <w:sz w:val="24"/>
          <w:szCs w:val="24"/>
          <w:lang w:val="en-ID"/>
        </w:rPr>
        <w:t>Dtsch</w:t>
      </w:r>
      <w:proofErr w:type="spellEnd"/>
      <w:r w:rsidRPr="00A20750">
        <w:rPr>
          <w:rFonts w:ascii="Times New Roman" w:eastAsiaTheme="minorHAnsi" w:hAnsi="Times New Roman" w:cs="Times New Roman"/>
          <w:kern w:val="2"/>
          <w:sz w:val="24"/>
          <w:szCs w:val="24"/>
          <w:lang w:val="en-ID"/>
        </w:rPr>
        <w:t xml:space="preserve"> </w:t>
      </w:r>
      <w:proofErr w:type="spellStart"/>
      <w:r w:rsidRPr="00A20750">
        <w:rPr>
          <w:rFonts w:ascii="Times New Roman" w:eastAsiaTheme="minorHAnsi" w:hAnsi="Times New Roman" w:cs="Times New Roman"/>
          <w:kern w:val="2"/>
          <w:sz w:val="24"/>
          <w:szCs w:val="24"/>
          <w:lang w:val="en-ID"/>
        </w:rPr>
        <w:t>Zahnärztl</w:t>
      </w:r>
      <w:proofErr w:type="spellEnd"/>
      <w:r w:rsidRPr="00A20750">
        <w:rPr>
          <w:rFonts w:ascii="Times New Roman" w:eastAsiaTheme="minorHAnsi" w:hAnsi="Times New Roman" w:cs="Times New Roman"/>
          <w:kern w:val="2"/>
          <w:sz w:val="24"/>
          <w:szCs w:val="24"/>
          <w:lang w:val="en-ID"/>
        </w:rPr>
        <w:t xml:space="preserve"> Z Int. </w:t>
      </w:r>
      <w:proofErr w:type="gramStart"/>
      <w:r w:rsidRPr="00A20750">
        <w:rPr>
          <w:rFonts w:ascii="Times New Roman" w:eastAsiaTheme="minorHAnsi" w:hAnsi="Times New Roman" w:cs="Times New Roman"/>
          <w:kern w:val="2"/>
          <w:sz w:val="24"/>
          <w:szCs w:val="24"/>
          <w:lang w:val="en-ID"/>
        </w:rPr>
        <w:t>2021;3:121</w:t>
      </w:r>
      <w:proofErr w:type="gramEnd"/>
      <w:r w:rsidRPr="00A20750">
        <w:rPr>
          <w:rFonts w:ascii="Times New Roman" w:eastAsiaTheme="minorHAnsi" w:hAnsi="Times New Roman" w:cs="Times New Roman"/>
          <w:kern w:val="2"/>
          <w:sz w:val="24"/>
          <w:szCs w:val="24"/>
          <w:lang w:val="en-ID"/>
        </w:rPr>
        <w:t>–8.</w:t>
      </w:r>
    </w:p>
    <w:p w14:paraId="3470EEC4" w14:textId="37CE47E9"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proofErr w:type="spellStart"/>
      <w:r w:rsidRPr="00A20750">
        <w:rPr>
          <w:rFonts w:ascii="Times New Roman" w:eastAsiaTheme="minorHAnsi" w:hAnsi="Times New Roman" w:cs="Times New Roman"/>
          <w:kern w:val="2"/>
          <w:sz w:val="24"/>
          <w:szCs w:val="24"/>
          <w:lang w:val="en-ID"/>
        </w:rPr>
        <w:t>Vom</w:t>
      </w:r>
      <w:proofErr w:type="spellEnd"/>
      <w:r w:rsidRPr="00A20750">
        <w:rPr>
          <w:rFonts w:ascii="Times New Roman" w:eastAsiaTheme="minorHAnsi" w:hAnsi="Times New Roman" w:cs="Times New Roman"/>
          <w:kern w:val="2"/>
          <w:sz w:val="24"/>
          <w:szCs w:val="24"/>
          <w:lang w:val="en-ID"/>
        </w:rPr>
        <w:t xml:space="preserve"> Hofe I, Stricker BH, Ikram MK, Wolters FJ, Ikram MA. Association between periodontal disease and cognitive decline. J Am </w:t>
      </w:r>
      <w:proofErr w:type="spellStart"/>
      <w:r w:rsidRPr="00A20750">
        <w:rPr>
          <w:rFonts w:ascii="Times New Roman" w:eastAsiaTheme="minorHAnsi" w:hAnsi="Times New Roman" w:cs="Times New Roman"/>
          <w:kern w:val="2"/>
          <w:sz w:val="24"/>
          <w:szCs w:val="24"/>
          <w:lang w:val="en-ID"/>
        </w:rPr>
        <w:t>Geriatr</w:t>
      </w:r>
      <w:proofErr w:type="spellEnd"/>
      <w:r w:rsidRPr="00A20750">
        <w:rPr>
          <w:rFonts w:ascii="Times New Roman" w:eastAsiaTheme="minorHAnsi" w:hAnsi="Times New Roman" w:cs="Times New Roman"/>
          <w:kern w:val="2"/>
          <w:sz w:val="24"/>
          <w:szCs w:val="24"/>
          <w:lang w:val="en-ID"/>
        </w:rPr>
        <w:t xml:space="preserve"> Soc. </w:t>
      </w:r>
      <w:proofErr w:type="gramStart"/>
      <w:r w:rsidRPr="00A20750">
        <w:rPr>
          <w:rFonts w:ascii="Times New Roman" w:eastAsiaTheme="minorHAnsi" w:hAnsi="Times New Roman" w:cs="Times New Roman"/>
          <w:kern w:val="2"/>
          <w:sz w:val="24"/>
          <w:szCs w:val="24"/>
          <w:lang w:val="en-ID"/>
        </w:rPr>
        <w:t>2025;73:1484</w:t>
      </w:r>
      <w:proofErr w:type="gramEnd"/>
      <w:r w:rsidRPr="00A20750">
        <w:rPr>
          <w:rFonts w:ascii="Times New Roman" w:eastAsiaTheme="minorHAnsi" w:hAnsi="Times New Roman" w:cs="Times New Roman"/>
          <w:kern w:val="2"/>
          <w:sz w:val="24"/>
          <w:szCs w:val="24"/>
          <w:lang w:val="en-ID"/>
        </w:rPr>
        <w:t>–90.</w:t>
      </w:r>
    </w:p>
    <w:p w14:paraId="6B84A1ED" w14:textId="07D427D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Lawson TM, Amos N, Bulgen D, Williams BD. Cytokine-mediated inflammatory responses in chronic disease. Rheumatology (Oxford). </w:t>
      </w:r>
      <w:proofErr w:type="gramStart"/>
      <w:r w:rsidRPr="00A20750">
        <w:rPr>
          <w:rFonts w:ascii="Times New Roman" w:eastAsiaTheme="minorHAnsi" w:hAnsi="Times New Roman" w:cs="Times New Roman"/>
          <w:kern w:val="2"/>
          <w:sz w:val="24"/>
          <w:szCs w:val="24"/>
          <w:lang w:val="en-ID"/>
        </w:rPr>
        <w:t>2001;40:329</w:t>
      </w:r>
      <w:proofErr w:type="gramEnd"/>
      <w:r w:rsidRPr="00A20750">
        <w:rPr>
          <w:rFonts w:ascii="Times New Roman" w:eastAsiaTheme="minorHAnsi" w:hAnsi="Times New Roman" w:cs="Times New Roman"/>
          <w:kern w:val="2"/>
          <w:sz w:val="24"/>
          <w:szCs w:val="24"/>
          <w:lang w:val="en-ID"/>
        </w:rPr>
        <w:t>–35.</w:t>
      </w:r>
    </w:p>
    <w:p w14:paraId="5A45014C" w14:textId="6868B85C"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Plane JM, Shen Y, Pleasure DE, Deng W. Neuroinflammation and cognitive impairment associated with bacterial infection. Arch Neurol. </w:t>
      </w:r>
      <w:proofErr w:type="gramStart"/>
      <w:r w:rsidRPr="00A20750">
        <w:rPr>
          <w:rFonts w:ascii="Times New Roman" w:eastAsiaTheme="minorHAnsi" w:hAnsi="Times New Roman" w:cs="Times New Roman"/>
          <w:kern w:val="2"/>
          <w:sz w:val="24"/>
          <w:szCs w:val="24"/>
          <w:lang w:val="en-ID"/>
        </w:rPr>
        <w:t>2010;67:1442</w:t>
      </w:r>
      <w:proofErr w:type="gramEnd"/>
      <w:r w:rsidRPr="00A20750">
        <w:rPr>
          <w:rFonts w:ascii="Times New Roman" w:eastAsiaTheme="minorHAnsi" w:hAnsi="Times New Roman" w:cs="Times New Roman"/>
          <w:kern w:val="2"/>
          <w:sz w:val="24"/>
          <w:szCs w:val="24"/>
          <w:lang w:val="en-ID"/>
        </w:rPr>
        <w:t>–8.</w:t>
      </w:r>
    </w:p>
    <w:p w14:paraId="244FB8B9" w14:textId="3C91DF6F"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Schreiner TG, </w:t>
      </w:r>
      <w:proofErr w:type="spellStart"/>
      <w:r w:rsidRPr="00A20750">
        <w:rPr>
          <w:rFonts w:ascii="Times New Roman" w:eastAsiaTheme="minorHAnsi" w:hAnsi="Times New Roman" w:cs="Times New Roman"/>
          <w:kern w:val="2"/>
          <w:sz w:val="24"/>
          <w:szCs w:val="24"/>
          <w:lang w:val="en-ID"/>
        </w:rPr>
        <w:t>Maresz</w:t>
      </w:r>
      <w:proofErr w:type="spellEnd"/>
      <w:r w:rsidRPr="00A20750">
        <w:rPr>
          <w:rFonts w:ascii="Times New Roman" w:eastAsiaTheme="minorHAnsi" w:hAnsi="Times New Roman" w:cs="Times New Roman"/>
          <w:kern w:val="2"/>
          <w:sz w:val="24"/>
          <w:szCs w:val="24"/>
          <w:lang w:val="en-ID"/>
        </w:rPr>
        <w:t xml:space="preserve"> K, Majchrzak M, </w:t>
      </w:r>
      <w:proofErr w:type="spellStart"/>
      <w:r w:rsidRPr="00A20750">
        <w:rPr>
          <w:rFonts w:ascii="Times New Roman" w:eastAsiaTheme="minorHAnsi" w:hAnsi="Times New Roman" w:cs="Times New Roman"/>
          <w:kern w:val="2"/>
          <w:sz w:val="24"/>
          <w:szCs w:val="24"/>
          <w:lang w:val="en-ID"/>
        </w:rPr>
        <w:t>Biały</w:t>
      </w:r>
      <w:proofErr w:type="spellEnd"/>
      <w:r w:rsidRPr="00A20750">
        <w:rPr>
          <w:rFonts w:ascii="Times New Roman" w:eastAsiaTheme="minorHAnsi" w:hAnsi="Times New Roman" w:cs="Times New Roman"/>
          <w:kern w:val="2"/>
          <w:sz w:val="24"/>
          <w:szCs w:val="24"/>
          <w:lang w:val="en-ID"/>
        </w:rPr>
        <w:t xml:space="preserve"> D, </w:t>
      </w:r>
      <w:proofErr w:type="spellStart"/>
      <w:r w:rsidRPr="00A20750">
        <w:rPr>
          <w:rFonts w:ascii="Times New Roman" w:eastAsiaTheme="minorHAnsi" w:hAnsi="Times New Roman" w:cs="Times New Roman"/>
          <w:kern w:val="2"/>
          <w:sz w:val="24"/>
          <w:szCs w:val="24"/>
          <w:lang w:val="en-ID"/>
        </w:rPr>
        <w:t>Wiciński</w:t>
      </w:r>
      <w:proofErr w:type="spellEnd"/>
      <w:r w:rsidRPr="00A20750">
        <w:rPr>
          <w:rFonts w:ascii="Times New Roman" w:eastAsiaTheme="minorHAnsi" w:hAnsi="Times New Roman" w:cs="Times New Roman"/>
          <w:kern w:val="2"/>
          <w:sz w:val="24"/>
          <w:szCs w:val="24"/>
          <w:lang w:val="en-ID"/>
        </w:rPr>
        <w:t xml:space="preserve"> M, </w:t>
      </w:r>
      <w:proofErr w:type="spellStart"/>
      <w:r w:rsidRPr="00A20750">
        <w:rPr>
          <w:rFonts w:ascii="Times New Roman" w:eastAsiaTheme="minorHAnsi" w:hAnsi="Times New Roman" w:cs="Times New Roman"/>
          <w:kern w:val="2"/>
          <w:sz w:val="24"/>
          <w:szCs w:val="24"/>
          <w:lang w:val="en-ID"/>
        </w:rPr>
        <w:t>Wróbel</w:t>
      </w:r>
      <w:proofErr w:type="spellEnd"/>
      <w:r w:rsidRPr="00A20750">
        <w:rPr>
          <w:rFonts w:ascii="Times New Roman" w:eastAsiaTheme="minorHAnsi" w:hAnsi="Times New Roman" w:cs="Times New Roman"/>
          <w:kern w:val="2"/>
          <w:sz w:val="24"/>
          <w:szCs w:val="24"/>
          <w:lang w:val="en-ID"/>
        </w:rPr>
        <w:t xml:space="preserve"> A. The oral–brain axis: role of periodontal pathogens in neurodegenerative disease. Biomedicines. </w:t>
      </w:r>
      <w:proofErr w:type="gramStart"/>
      <w:r w:rsidRPr="00A20750">
        <w:rPr>
          <w:rFonts w:ascii="Times New Roman" w:eastAsiaTheme="minorHAnsi" w:hAnsi="Times New Roman" w:cs="Times New Roman"/>
          <w:kern w:val="2"/>
          <w:sz w:val="24"/>
          <w:szCs w:val="24"/>
          <w:lang w:val="en-ID"/>
        </w:rPr>
        <w:t>2024;12:1096</w:t>
      </w:r>
      <w:proofErr w:type="gramEnd"/>
      <w:r w:rsidRPr="00A20750">
        <w:rPr>
          <w:rFonts w:ascii="Times New Roman" w:eastAsiaTheme="minorHAnsi" w:hAnsi="Times New Roman" w:cs="Times New Roman"/>
          <w:kern w:val="2"/>
          <w:sz w:val="24"/>
          <w:szCs w:val="24"/>
          <w:lang w:val="en-ID"/>
        </w:rPr>
        <w:t>.</w:t>
      </w:r>
    </w:p>
    <w:p w14:paraId="216E4B34" w14:textId="53B7007F"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Chen TL, Xu B, Liu JC, et al. Experimental periodontitis models and systemic inflammatory responses. J Indian Soc </w:t>
      </w:r>
      <w:proofErr w:type="spellStart"/>
      <w:r w:rsidRPr="00A20750">
        <w:rPr>
          <w:rFonts w:ascii="Times New Roman" w:eastAsiaTheme="minorHAnsi" w:hAnsi="Times New Roman" w:cs="Times New Roman"/>
          <w:kern w:val="2"/>
          <w:sz w:val="24"/>
          <w:szCs w:val="24"/>
          <w:lang w:val="en-ID"/>
        </w:rPr>
        <w:t>Periodontol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2012;16:492</w:t>
      </w:r>
      <w:proofErr w:type="gramEnd"/>
      <w:r w:rsidRPr="00A20750">
        <w:rPr>
          <w:rFonts w:ascii="Times New Roman" w:eastAsiaTheme="minorHAnsi" w:hAnsi="Times New Roman" w:cs="Times New Roman"/>
          <w:kern w:val="2"/>
          <w:sz w:val="24"/>
          <w:szCs w:val="24"/>
          <w:lang w:val="en-ID"/>
        </w:rPr>
        <w:t>–7.</w:t>
      </w:r>
    </w:p>
    <w:p w14:paraId="1F47D3FF" w14:textId="7182C067"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Burcea A, Mihai LL, Bechir A, </w:t>
      </w:r>
      <w:proofErr w:type="spellStart"/>
      <w:r w:rsidRPr="00A20750">
        <w:rPr>
          <w:rFonts w:ascii="Times New Roman" w:eastAsiaTheme="minorHAnsi" w:hAnsi="Times New Roman" w:cs="Times New Roman"/>
          <w:kern w:val="2"/>
          <w:sz w:val="24"/>
          <w:szCs w:val="24"/>
          <w:lang w:val="en-ID"/>
        </w:rPr>
        <w:t>Filipescu</w:t>
      </w:r>
      <w:proofErr w:type="spellEnd"/>
      <w:r w:rsidRPr="00A20750">
        <w:rPr>
          <w:rFonts w:ascii="Times New Roman" w:eastAsiaTheme="minorHAnsi" w:hAnsi="Times New Roman" w:cs="Times New Roman"/>
          <w:kern w:val="2"/>
          <w:sz w:val="24"/>
          <w:szCs w:val="24"/>
          <w:lang w:val="en-ID"/>
        </w:rPr>
        <w:t xml:space="preserve"> A, </w:t>
      </w:r>
      <w:proofErr w:type="spellStart"/>
      <w:r w:rsidRPr="00A20750">
        <w:rPr>
          <w:rFonts w:ascii="Times New Roman" w:eastAsiaTheme="minorHAnsi" w:hAnsi="Times New Roman" w:cs="Times New Roman"/>
          <w:kern w:val="2"/>
          <w:sz w:val="24"/>
          <w:szCs w:val="24"/>
          <w:lang w:val="en-ID"/>
        </w:rPr>
        <w:t>Sfredel</w:t>
      </w:r>
      <w:proofErr w:type="spellEnd"/>
      <w:r w:rsidRPr="00A20750">
        <w:rPr>
          <w:rFonts w:ascii="Times New Roman" w:eastAsiaTheme="minorHAnsi" w:hAnsi="Times New Roman" w:cs="Times New Roman"/>
          <w:kern w:val="2"/>
          <w:sz w:val="24"/>
          <w:szCs w:val="24"/>
          <w:lang w:val="en-ID"/>
        </w:rPr>
        <w:t xml:space="preserve"> V, </w:t>
      </w:r>
      <w:proofErr w:type="spellStart"/>
      <w:r w:rsidRPr="00A20750">
        <w:rPr>
          <w:rFonts w:ascii="Times New Roman" w:eastAsiaTheme="minorHAnsi" w:hAnsi="Times New Roman" w:cs="Times New Roman"/>
          <w:kern w:val="2"/>
          <w:sz w:val="24"/>
          <w:szCs w:val="24"/>
          <w:lang w:val="en-ID"/>
        </w:rPr>
        <w:t>Berceanu</w:t>
      </w:r>
      <w:proofErr w:type="spellEnd"/>
      <w:r w:rsidRPr="00A20750">
        <w:rPr>
          <w:rFonts w:ascii="Times New Roman" w:eastAsiaTheme="minorHAnsi" w:hAnsi="Times New Roman" w:cs="Times New Roman"/>
          <w:kern w:val="2"/>
          <w:sz w:val="24"/>
          <w:szCs w:val="24"/>
          <w:lang w:val="en-ID"/>
        </w:rPr>
        <w:t xml:space="preserve"> D, et al. Mechanisms linking periodontal disease and neurological pathology. Medicina (Kaunas). </w:t>
      </w:r>
      <w:proofErr w:type="gramStart"/>
      <w:r w:rsidRPr="00A20750">
        <w:rPr>
          <w:rFonts w:ascii="Times New Roman" w:eastAsiaTheme="minorHAnsi" w:hAnsi="Times New Roman" w:cs="Times New Roman"/>
          <w:kern w:val="2"/>
          <w:sz w:val="24"/>
          <w:szCs w:val="24"/>
          <w:lang w:val="en-ID"/>
        </w:rPr>
        <w:t>2022;58:234</w:t>
      </w:r>
      <w:proofErr w:type="gramEnd"/>
      <w:r w:rsidRPr="00A20750">
        <w:rPr>
          <w:rFonts w:ascii="Times New Roman" w:eastAsiaTheme="minorHAnsi" w:hAnsi="Times New Roman" w:cs="Times New Roman"/>
          <w:kern w:val="2"/>
          <w:sz w:val="24"/>
          <w:szCs w:val="24"/>
          <w:lang w:val="en-ID"/>
        </w:rPr>
        <w:t>.</w:t>
      </w:r>
    </w:p>
    <w:p w14:paraId="219CA9C4" w14:textId="00CADB5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Harch PG, </w:t>
      </w:r>
      <w:proofErr w:type="spellStart"/>
      <w:r w:rsidRPr="00A20750">
        <w:rPr>
          <w:rFonts w:ascii="Times New Roman" w:eastAsiaTheme="minorHAnsi" w:hAnsi="Times New Roman" w:cs="Times New Roman"/>
          <w:kern w:val="2"/>
          <w:sz w:val="24"/>
          <w:szCs w:val="24"/>
          <w:lang w:val="en-ID"/>
        </w:rPr>
        <w:t>Kriedt</w:t>
      </w:r>
      <w:proofErr w:type="spellEnd"/>
      <w:r w:rsidRPr="00A20750">
        <w:rPr>
          <w:rFonts w:ascii="Times New Roman" w:eastAsiaTheme="minorHAnsi" w:hAnsi="Times New Roman" w:cs="Times New Roman"/>
          <w:kern w:val="2"/>
          <w:sz w:val="24"/>
          <w:szCs w:val="24"/>
          <w:lang w:val="en-ID"/>
        </w:rPr>
        <w:t xml:space="preserve"> CL, Van Meter KW, Sutherland RJ. Hyperbaric oxygen therapy improves neurological recovery in experimental models. Brain Res. </w:t>
      </w:r>
      <w:proofErr w:type="gramStart"/>
      <w:r w:rsidRPr="00A20750">
        <w:rPr>
          <w:rFonts w:ascii="Times New Roman" w:eastAsiaTheme="minorHAnsi" w:hAnsi="Times New Roman" w:cs="Times New Roman"/>
          <w:kern w:val="2"/>
          <w:sz w:val="24"/>
          <w:szCs w:val="24"/>
          <w:lang w:val="en-ID"/>
        </w:rPr>
        <w:t>2007;1174:120</w:t>
      </w:r>
      <w:proofErr w:type="gramEnd"/>
      <w:r w:rsidRPr="00A20750">
        <w:rPr>
          <w:rFonts w:ascii="Times New Roman" w:eastAsiaTheme="minorHAnsi" w:hAnsi="Times New Roman" w:cs="Times New Roman"/>
          <w:kern w:val="2"/>
          <w:sz w:val="24"/>
          <w:szCs w:val="24"/>
          <w:lang w:val="en-ID"/>
        </w:rPr>
        <w:t>–9.</w:t>
      </w:r>
    </w:p>
    <w:p w14:paraId="12298CA9" w14:textId="74897AAA"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Zhao B, Wang Y, Tan X, Liu B, Li H, Liu Z, et al. Effects of hyperbaric oxygen therapy on neuroinflammation and cognitive function. Yonsei Med J. </w:t>
      </w:r>
      <w:proofErr w:type="gramStart"/>
      <w:r w:rsidRPr="00A20750">
        <w:rPr>
          <w:rFonts w:ascii="Times New Roman" w:eastAsiaTheme="minorHAnsi" w:hAnsi="Times New Roman" w:cs="Times New Roman"/>
          <w:kern w:val="2"/>
          <w:sz w:val="24"/>
          <w:szCs w:val="24"/>
          <w:lang w:val="en-ID"/>
        </w:rPr>
        <w:t>2017;58:131</w:t>
      </w:r>
      <w:proofErr w:type="gramEnd"/>
      <w:r w:rsidRPr="00A20750">
        <w:rPr>
          <w:rFonts w:ascii="Times New Roman" w:eastAsiaTheme="minorHAnsi" w:hAnsi="Times New Roman" w:cs="Times New Roman"/>
          <w:kern w:val="2"/>
          <w:sz w:val="24"/>
          <w:szCs w:val="24"/>
          <w:lang w:val="en-ID"/>
        </w:rPr>
        <w:t>–8.</w:t>
      </w:r>
    </w:p>
    <w:p w14:paraId="5F05FBAC" w14:textId="2514524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Shapira R, </w:t>
      </w:r>
      <w:proofErr w:type="spellStart"/>
      <w:r w:rsidRPr="00A20750">
        <w:rPr>
          <w:rFonts w:ascii="Times New Roman" w:eastAsiaTheme="minorHAnsi" w:hAnsi="Times New Roman" w:cs="Times New Roman"/>
          <w:kern w:val="2"/>
          <w:sz w:val="24"/>
          <w:szCs w:val="24"/>
          <w:lang w:val="en-ID"/>
        </w:rPr>
        <w:t>Gdalyahu</w:t>
      </w:r>
      <w:proofErr w:type="spellEnd"/>
      <w:r w:rsidRPr="00A20750">
        <w:rPr>
          <w:rFonts w:ascii="Times New Roman" w:eastAsiaTheme="minorHAnsi" w:hAnsi="Times New Roman" w:cs="Times New Roman"/>
          <w:kern w:val="2"/>
          <w:sz w:val="24"/>
          <w:szCs w:val="24"/>
          <w:lang w:val="en-ID"/>
        </w:rPr>
        <w:t xml:space="preserve"> A, Gottfried I, Sasson E, </w:t>
      </w:r>
      <w:proofErr w:type="spellStart"/>
      <w:r w:rsidRPr="00A20750">
        <w:rPr>
          <w:rFonts w:ascii="Times New Roman" w:eastAsiaTheme="minorHAnsi" w:hAnsi="Times New Roman" w:cs="Times New Roman"/>
          <w:kern w:val="2"/>
          <w:sz w:val="24"/>
          <w:szCs w:val="24"/>
          <w:lang w:val="en-ID"/>
        </w:rPr>
        <w:t>Hadanny</w:t>
      </w:r>
      <w:proofErr w:type="spellEnd"/>
      <w:r w:rsidRPr="00A20750">
        <w:rPr>
          <w:rFonts w:ascii="Times New Roman" w:eastAsiaTheme="minorHAnsi" w:hAnsi="Times New Roman" w:cs="Times New Roman"/>
          <w:kern w:val="2"/>
          <w:sz w:val="24"/>
          <w:szCs w:val="24"/>
          <w:lang w:val="en-ID"/>
        </w:rPr>
        <w:t xml:space="preserve"> A, Efrati S, et al. Hyperbaric oxygen therapy promotes neuroplasticity and cognitive improvement. Aging (Albany NY). </w:t>
      </w:r>
      <w:proofErr w:type="gramStart"/>
      <w:r w:rsidRPr="00A20750">
        <w:rPr>
          <w:rFonts w:ascii="Times New Roman" w:eastAsiaTheme="minorHAnsi" w:hAnsi="Times New Roman" w:cs="Times New Roman"/>
          <w:kern w:val="2"/>
          <w:sz w:val="24"/>
          <w:szCs w:val="24"/>
          <w:lang w:val="en-ID"/>
        </w:rPr>
        <w:t>2021;13:20935</w:t>
      </w:r>
      <w:proofErr w:type="gramEnd"/>
      <w:r w:rsidRPr="00A20750">
        <w:rPr>
          <w:rFonts w:ascii="Times New Roman" w:eastAsiaTheme="minorHAnsi" w:hAnsi="Times New Roman" w:cs="Times New Roman"/>
          <w:kern w:val="2"/>
          <w:sz w:val="24"/>
          <w:szCs w:val="24"/>
          <w:lang w:val="en-ID"/>
        </w:rPr>
        <w:t>–61.</w:t>
      </w:r>
    </w:p>
    <w:p w14:paraId="0394CBE1" w14:textId="6DEF271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Jin R, Ning X, Liu X, Zhao Y, Ye G. Experimental models of Porphyromonas gingivalis-induced periodontal disease. Front Cell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2023;17:1141339</w:t>
      </w:r>
      <w:proofErr w:type="gramEnd"/>
      <w:r w:rsidRPr="00A20750">
        <w:rPr>
          <w:rFonts w:ascii="Times New Roman" w:eastAsiaTheme="minorHAnsi" w:hAnsi="Times New Roman" w:cs="Times New Roman"/>
          <w:kern w:val="2"/>
          <w:sz w:val="24"/>
          <w:szCs w:val="24"/>
          <w:lang w:val="en-ID"/>
        </w:rPr>
        <w:t>.</w:t>
      </w:r>
    </w:p>
    <w:p w14:paraId="7E5E3AC5" w14:textId="5415841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Rahman M, Hashioka S, Azis IA, Jaya MA, Jerin SJF, Kimura-Kataoka K, et al. Neuroinflammation associated with bacterial infection. J </w:t>
      </w:r>
      <w:proofErr w:type="spellStart"/>
      <w:r w:rsidRPr="00A20750">
        <w:rPr>
          <w:rFonts w:ascii="Times New Roman" w:eastAsiaTheme="minorHAnsi" w:hAnsi="Times New Roman" w:cs="Times New Roman"/>
          <w:kern w:val="2"/>
          <w:sz w:val="24"/>
          <w:szCs w:val="24"/>
          <w:lang w:val="en-ID"/>
        </w:rPr>
        <w:t>Integr</w:t>
      </w:r>
      <w:proofErr w:type="spellEnd"/>
      <w:r w:rsidRPr="00A20750">
        <w:rPr>
          <w:rFonts w:ascii="Times New Roman" w:eastAsiaTheme="minorHAnsi" w:hAnsi="Times New Roman" w:cs="Times New Roman"/>
          <w:kern w:val="2"/>
          <w:sz w:val="24"/>
          <w:szCs w:val="24"/>
          <w:lang w:val="en-ID"/>
        </w:rPr>
        <w:t xml:space="preserve">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2023;22:120</w:t>
      </w:r>
      <w:proofErr w:type="gramEnd"/>
      <w:r w:rsidRPr="00A20750">
        <w:rPr>
          <w:rFonts w:ascii="Times New Roman" w:eastAsiaTheme="minorHAnsi" w:hAnsi="Times New Roman" w:cs="Times New Roman"/>
          <w:kern w:val="2"/>
          <w:sz w:val="24"/>
          <w:szCs w:val="24"/>
          <w:lang w:val="en-ID"/>
        </w:rPr>
        <w:t>.</w:t>
      </w:r>
    </w:p>
    <w:p w14:paraId="00019513" w14:textId="03B2756E"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Zhang Z, Liu D, Liu S, Zhang S, Pan Y. Porphyromonas gingivalis and neuroinflammation. Front Cell Infect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2021;10:585917</w:t>
      </w:r>
      <w:proofErr w:type="gramEnd"/>
      <w:r w:rsidRPr="00A20750">
        <w:rPr>
          <w:rFonts w:ascii="Times New Roman" w:eastAsiaTheme="minorHAnsi" w:hAnsi="Times New Roman" w:cs="Times New Roman"/>
          <w:kern w:val="2"/>
          <w:sz w:val="24"/>
          <w:szCs w:val="24"/>
          <w:lang w:val="en-ID"/>
        </w:rPr>
        <w:t>.</w:t>
      </w:r>
    </w:p>
    <w:p w14:paraId="57C0B6F8" w14:textId="6D8339C7"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lastRenderedPageBreak/>
        <w:t xml:space="preserve">Abdulkareem AA, Al-Taweel FB, Al-Sharqi AJB, Gul SS, Sha A, Chapple ILC. Periodontal infection and systemic inflammation. J Oral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2023;15:2197779</w:t>
      </w:r>
      <w:proofErr w:type="gramEnd"/>
      <w:r w:rsidRPr="00A20750">
        <w:rPr>
          <w:rFonts w:ascii="Times New Roman" w:eastAsiaTheme="minorHAnsi" w:hAnsi="Times New Roman" w:cs="Times New Roman"/>
          <w:kern w:val="2"/>
          <w:sz w:val="24"/>
          <w:szCs w:val="24"/>
          <w:lang w:val="en-ID"/>
        </w:rPr>
        <w:t>.</w:t>
      </w:r>
    </w:p>
    <w:p w14:paraId="1738235C" w14:textId="419229C0"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Zhang J, Yu C, Zhang X, et al. Inflammatory </w:t>
      </w:r>
      <w:proofErr w:type="spellStart"/>
      <w:r w:rsidRPr="00A20750">
        <w:rPr>
          <w:rFonts w:ascii="Times New Roman" w:eastAsiaTheme="minorHAnsi" w:hAnsi="Times New Roman" w:cs="Times New Roman"/>
          <w:kern w:val="2"/>
          <w:sz w:val="24"/>
          <w:szCs w:val="24"/>
          <w:lang w:val="en-ID"/>
        </w:rPr>
        <w:t>signaling</w:t>
      </w:r>
      <w:proofErr w:type="spellEnd"/>
      <w:r w:rsidRPr="00A20750">
        <w:rPr>
          <w:rFonts w:ascii="Times New Roman" w:eastAsiaTheme="minorHAnsi" w:hAnsi="Times New Roman" w:cs="Times New Roman"/>
          <w:kern w:val="2"/>
          <w:sz w:val="24"/>
          <w:szCs w:val="24"/>
          <w:lang w:val="en-ID"/>
        </w:rPr>
        <w:t xml:space="preserve"> pathways in neurodegeneration. J Neuroinflammation. </w:t>
      </w:r>
      <w:proofErr w:type="gramStart"/>
      <w:r w:rsidRPr="00A20750">
        <w:rPr>
          <w:rFonts w:ascii="Times New Roman" w:eastAsiaTheme="minorHAnsi" w:hAnsi="Times New Roman" w:cs="Times New Roman"/>
          <w:kern w:val="2"/>
          <w:sz w:val="24"/>
          <w:szCs w:val="24"/>
          <w:lang w:val="en-ID"/>
        </w:rPr>
        <w:t>2018;15:37</w:t>
      </w:r>
      <w:proofErr w:type="gramEnd"/>
      <w:r w:rsidRPr="00A20750">
        <w:rPr>
          <w:rFonts w:ascii="Times New Roman" w:eastAsiaTheme="minorHAnsi" w:hAnsi="Times New Roman" w:cs="Times New Roman"/>
          <w:kern w:val="2"/>
          <w:sz w:val="24"/>
          <w:szCs w:val="24"/>
          <w:lang w:val="en-ID"/>
        </w:rPr>
        <w:t>.</w:t>
      </w:r>
    </w:p>
    <w:p w14:paraId="5FB14AE6" w14:textId="5B2A3A2B"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Versele R, Sevin E, </w:t>
      </w:r>
      <w:proofErr w:type="spellStart"/>
      <w:r w:rsidRPr="00A20750">
        <w:rPr>
          <w:rFonts w:ascii="Times New Roman" w:eastAsiaTheme="minorHAnsi" w:hAnsi="Times New Roman" w:cs="Times New Roman"/>
          <w:kern w:val="2"/>
          <w:sz w:val="24"/>
          <w:szCs w:val="24"/>
          <w:lang w:val="en-ID"/>
        </w:rPr>
        <w:t>Gosselet</w:t>
      </w:r>
      <w:proofErr w:type="spellEnd"/>
      <w:r w:rsidRPr="00A20750">
        <w:rPr>
          <w:rFonts w:ascii="Times New Roman" w:eastAsiaTheme="minorHAnsi" w:hAnsi="Times New Roman" w:cs="Times New Roman"/>
          <w:kern w:val="2"/>
          <w:sz w:val="24"/>
          <w:szCs w:val="24"/>
          <w:lang w:val="en-ID"/>
        </w:rPr>
        <w:t xml:space="preserve"> F, </w:t>
      </w:r>
      <w:proofErr w:type="spellStart"/>
      <w:r w:rsidRPr="00A20750">
        <w:rPr>
          <w:rFonts w:ascii="Times New Roman" w:eastAsiaTheme="minorHAnsi" w:hAnsi="Times New Roman" w:cs="Times New Roman"/>
          <w:kern w:val="2"/>
          <w:sz w:val="24"/>
          <w:szCs w:val="24"/>
          <w:lang w:val="en-ID"/>
        </w:rPr>
        <w:t>Fenart</w:t>
      </w:r>
      <w:proofErr w:type="spellEnd"/>
      <w:r w:rsidRPr="00A20750">
        <w:rPr>
          <w:rFonts w:ascii="Times New Roman" w:eastAsiaTheme="minorHAnsi" w:hAnsi="Times New Roman" w:cs="Times New Roman"/>
          <w:kern w:val="2"/>
          <w:sz w:val="24"/>
          <w:szCs w:val="24"/>
          <w:lang w:val="en-ID"/>
        </w:rPr>
        <w:t xml:space="preserve"> L, Candela P. Blood–brain barrier dysfunction in neuroinflammatory diseases. Int J Mol Sci. </w:t>
      </w:r>
      <w:proofErr w:type="gramStart"/>
      <w:r w:rsidRPr="00A20750">
        <w:rPr>
          <w:rFonts w:ascii="Times New Roman" w:eastAsiaTheme="minorHAnsi" w:hAnsi="Times New Roman" w:cs="Times New Roman"/>
          <w:kern w:val="2"/>
          <w:sz w:val="24"/>
          <w:szCs w:val="24"/>
          <w:lang w:val="en-ID"/>
        </w:rPr>
        <w:t>2022;23:10235</w:t>
      </w:r>
      <w:proofErr w:type="gramEnd"/>
      <w:r w:rsidRPr="00A20750">
        <w:rPr>
          <w:rFonts w:ascii="Times New Roman" w:eastAsiaTheme="minorHAnsi" w:hAnsi="Times New Roman" w:cs="Times New Roman"/>
          <w:kern w:val="2"/>
          <w:sz w:val="24"/>
          <w:szCs w:val="24"/>
          <w:lang w:val="en-ID"/>
        </w:rPr>
        <w:t>.</w:t>
      </w:r>
    </w:p>
    <w:p w14:paraId="2F934886" w14:textId="48ED31E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Takata F, Nakagawa S, Matsumoto J, Dohgu S. Blood–brain barrier dysfunction in neurodegenerative disease. Front Cell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2021;15:661838</w:t>
      </w:r>
      <w:proofErr w:type="gramEnd"/>
      <w:r w:rsidRPr="00A20750">
        <w:rPr>
          <w:rFonts w:ascii="Times New Roman" w:eastAsiaTheme="minorHAnsi" w:hAnsi="Times New Roman" w:cs="Times New Roman"/>
          <w:kern w:val="2"/>
          <w:sz w:val="24"/>
          <w:szCs w:val="24"/>
          <w:lang w:val="en-ID"/>
        </w:rPr>
        <w:t>.</w:t>
      </w:r>
    </w:p>
    <w:p w14:paraId="405216E5" w14:textId="72DDD89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Ma X, Shin YJ, Yoo JW, Park HS, Kim DH. Neural pathways involved in infection-induced neuroinflammation. J Adv Res. </w:t>
      </w:r>
      <w:proofErr w:type="gramStart"/>
      <w:r w:rsidRPr="00A20750">
        <w:rPr>
          <w:rFonts w:ascii="Times New Roman" w:eastAsiaTheme="minorHAnsi" w:hAnsi="Times New Roman" w:cs="Times New Roman"/>
          <w:kern w:val="2"/>
          <w:sz w:val="24"/>
          <w:szCs w:val="24"/>
          <w:lang w:val="en-ID"/>
        </w:rPr>
        <w:t>2023;54:293</w:t>
      </w:r>
      <w:proofErr w:type="gramEnd"/>
      <w:r w:rsidRPr="00A20750">
        <w:rPr>
          <w:rFonts w:ascii="Times New Roman" w:eastAsiaTheme="minorHAnsi" w:hAnsi="Times New Roman" w:cs="Times New Roman"/>
          <w:kern w:val="2"/>
          <w:sz w:val="24"/>
          <w:szCs w:val="24"/>
          <w:lang w:val="en-ID"/>
        </w:rPr>
        <w:t>–303.</w:t>
      </w:r>
    </w:p>
    <w:p w14:paraId="28451D58" w14:textId="029D94A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 R, Wang J, Xiong W, Luo Y, Feng H, Zhou H, et al. Porphyromonas gingivalis and cognitive impairment. Front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2024;15:1358179</w:t>
      </w:r>
      <w:proofErr w:type="gramEnd"/>
      <w:r w:rsidRPr="00A20750">
        <w:rPr>
          <w:rFonts w:ascii="Times New Roman" w:eastAsiaTheme="minorHAnsi" w:hAnsi="Times New Roman" w:cs="Times New Roman"/>
          <w:kern w:val="2"/>
          <w:sz w:val="24"/>
          <w:szCs w:val="24"/>
          <w:lang w:val="en-ID"/>
        </w:rPr>
        <w:t>.</w:t>
      </w:r>
    </w:p>
    <w:p w14:paraId="7E837DC0" w14:textId="3C13130F"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Jung S, Park H. Periodontal pathogens and systemic inflammatory diseases. Oral </w:t>
      </w:r>
      <w:proofErr w:type="spellStart"/>
      <w:r w:rsidRPr="00A20750">
        <w:rPr>
          <w:rFonts w:ascii="Times New Roman" w:eastAsiaTheme="minorHAnsi" w:hAnsi="Times New Roman" w:cs="Times New Roman"/>
          <w:kern w:val="2"/>
          <w:sz w:val="24"/>
          <w:szCs w:val="24"/>
          <w:lang w:val="en-ID"/>
        </w:rPr>
        <w:t>Biol</w:t>
      </w:r>
      <w:proofErr w:type="spellEnd"/>
      <w:r w:rsidRPr="00A20750">
        <w:rPr>
          <w:rFonts w:ascii="Times New Roman" w:eastAsiaTheme="minorHAnsi" w:hAnsi="Times New Roman" w:cs="Times New Roman"/>
          <w:kern w:val="2"/>
          <w:sz w:val="24"/>
          <w:szCs w:val="24"/>
          <w:lang w:val="en-ID"/>
        </w:rPr>
        <w:t xml:space="preserve"> Res. </w:t>
      </w:r>
      <w:proofErr w:type="gramStart"/>
      <w:r w:rsidRPr="00A20750">
        <w:rPr>
          <w:rFonts w:ascii="Times New Roman" w:eastAsiaTheme="minorHAnsi" w:hAnsi="Times New Roman" w:cs="Times New Roman"/>
          <w:kern w:val="2"/>
          <w:sz w:val="24"/>
          <w:szCs w:val="24"/>
          <w:lang w:val="en-ID"/>
        </w:rPr>
        <w:t>2025;49:2</w:t>
      </w:r>
      <w:proofErr w:type="gramEnd"/>
      <w:r w:rsidRPr="00A20750">
        <w:rPr>
          <w:rFonts w:ascii="Times New Roman" w:eastAsiaTheme="minorHAnsi" w:hAnsi="Times New Roman" w:cs="Times New Roman"/>
          <w:kern w:val="2"/>
          <w:sz w:val="24"/>
          <w:szCs w:val="24"/>
          <w:lang w:val="en-ID"/>
        </w:rPr>
        <w:t>.</w:t>
      </w:r>
    </w:p>
    <w:p w14:paraId="157C2537" w14:textId="7F6E665E"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Magnusson A, Wu R, Demirel I. Bacterial infection and immune activation pathways. Front Cell Infect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2024;14:1451683</w:t>
      </w:r>
      <w:proofErr w:type="gramEnd"/>
      <w:r w:rsidRPr="00A20750">
        <w:rPr>
          <w:rFonts w:ascii="Times New Roman" w:eastAsiaTheme="minorHAnsi" w:hAnsi="Times New Roman" w:cs="Times New Roman"/>
          <w:kern w:val="2"/>
          <w:sz w:val="24"/>
          <w:szCs w:val="24"/>
          <w:lang w:val="en-ID"/>
        </w:rPr>
        <w:t>.</w:t>
      </w:r>
    </w:p>
    <w:p w14:paraId="56AC6933" w14:textId="47083E5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Mayer MG, Fischer T. Microglial activation and neurodegeneration. Front Cell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2024;18:1360195</w:t>
      </w:r>
      <w:proofErr w:type="gramEnd"/>
      <w:r w:rsidRPr="00A20750">
        <w:rPr>
          <w:rFonts w:ascii="Times New Roman" w:eastAsiaTheme="minorHAnsi" w:hAnsi="Times New Roman" w:cs="Times New Roman"/>
          <w:kern w:val="2"/>
          <w:sz w:val="24"/>
          <w:szCs w:val="24"/>
          <w:lang w:val="en-ID"/>
        </w:rPr>
        <w:t>.</w:t>
      </w:r>
    </w:p>
    <w:p w14:paraId="2F4CA88A" w14:textId="3539085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Tan S, Chen W, Kong G, Wei L, Xie Y. Neuroinflammation and cognitive decline. Front Aging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2023;15:1305790</w:t>
      </w:r>
      <w:proofErr w:type="gramEnd"/>
      <w:r w:rsidRPr="00A20750">
        <w:rPr>
          <w:rFonts w:ascii="Times New Roman" w:eastAsiaTheme="minorHAnsi" w:hAnsi="Times New Roman" w:cs="Times New Roman"/>
          <w:kern w:val="2"/>
          <w:sz w:val="24"/>
          <w:szCs w:val="24"/>
          <w:lang w:val="en-ID"/>
        </w:rPr>
        <w:t>.</w:t>
      </w:r>
    </w:p>
    <w:p w14:paraId="2AEA75E6" w14:textId="28D4B795"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Liu XH, Zhao YL, Ma QM, Zhou XH, Wang Y. Hyperbaric oxygen therapy and cognitive recovery. Sichuan Da Xue </w:t>
      </w:r>
      <w:proofErr w:type="spellStart"/>
      <w:r w:rsidRPr="00A20750">
        <w:rPr>
          <w:rFonts w:ascii="Times New Roman" w:eastAsiaTheme="minorHAnsi" w:hAnsi="Times New Roman" w:cs="Times New Roman"/>
          <w:kern w:val="2"/>
          <w:sz w:val="24"/>
          <w:szCs w:val="24"/>
          <w:lang w:val="en-ID"/>
        </w:rPr>
        <w:t>Xue</w:t>
      </w:r>
      <w:proofErr w:type="spellEnd"/>
      <w:r w:rsidRPr="00A20750">
        <w:rPr>
          <w:rFonts w:ascii="Times New Roman" w:eastAsiaTheme="minorHAnsi" w:hAnsi="Times New Roman" w:cs="Times New Roman"/>
          <w:kern w:val="2"/>
          <w:sz w:val="24"/>
          <w:szCs w:val="24"/>
          <w:lang w:val="en-ID"/>
        </w:rPr>
        <w:t xml:space="preserve"> Bao Yi Xue Ban. </w:t>
      </w:r>
      <w:proofErr w:type="gramStart"/>
      <w:r w:rsidRPr="00A20750">
        <w:rPr>
          <w:rFonts w:ascii="Times New Roman" w:eastAsiaTheme="minorHAnsi" w:hAnsi="Times New Roman" w:cs="Times New Roman"/>
          <w:kern w:val="2"/>
          <w:sz w:val="24"/>
          <w:szCs w:val="24"/>
          <w:lang w:val="en-ID"/>
        </w:rPr>
        <w:t>2007;38:73</w:t>
      </w:r>
      <w:proofErr w:type="gramEnd"/>
      <w:r w:rsidRPr="00A20750">
        <w:rPr>
          <w:rFonts w:ascii="Times New Roman" w:eastAsiaTheme="minorHAnsi" w:hAnsi="Times New Roman" w:cs="Times New Roman"/>
          <w:kern w:val="2"/>
          <w:sz w:val="24"/>
          <w:szCs w:val="24"/>
          <w:lang w:val="en-ID"/>
        </w:rPr>
        <w:t>–7.</w:t>
      </w:r>
    </w:p>
    <w:p w14:paraId="7FB9C221" w14:textId="25AA06B3"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Bosco G, </w:t>
      </w:r>
      <w:proofErr w:type="spellStart"/>
      <w:r w:rsidRPr="00A20750">
        <w:rPr>
          <w:rFonts w:ascii="Times New Roman" w:eastAsiaTheme="minorHAnsi" w:hAnsi="Times New Roman" w:cs="Times New Roman"/>
          <w:kern w:val="2"/>
          <w:sz w:val="24"/>
          <w:szCs w:val="24"/>
          <w:lang w:val="en-ID"/>
        </w:rPr>
        <w:t>Brizzolari</w:t>
      </w:r>
      <w:proofErr w:type="spellEnd"/>
      <w:r w:rsidRPr="00A20750">
        <w:rPr>
          <w:rFonts w:ascii="Times New Roman" w:eastAsiaTheme="minorHAnsi" w:hAnsi="Times New Roman" w:cs="Times New Roman"/>
          <w:kern w:val="2"/>
          <w:sz w:val="24"/>
          <w:szCs w:val="24"/>
          <w:lang w:val="en-ID"/>
        </w:rPr>
        <w:t xml:space="preserve"> A, Paganini M, </w:t>
      </w:r>
      <w:proofErr w:type="spellStart"/>
      <w:r w:rsidRPr="00A20750">
        <w:rPr>
          <w:rFonts w:ascii="Times New Roman" w:eastAsiaTheme="minorHAnsi" w:hAnsi="Times New Roman" w:cs="Times New Roman"/>
          <w:kern w:val="2"/>
          <w:sz w:val="24"/>
          <w:szCs w:val="24"/>
          <w:lang w:val="en-ID"/>
        </w:rPr>
        <w:t>Camporesi</w:t>
      </w:r>
      <w:proofErr w:type="spellEnd"/>
      <w:r w:rsidRPr="00A20750">
        <w:rPr>
          <w:rFonts w:ascii="Times New Roman" w:eastAsiaTheme="minorHAnsi" w:hAnsi="Times New Roman" w:cs="Times New Roman"/>
          <w:kern w:val="2"/>
          <w:sz w:val="24"/>
          <w:szCs w:val="24"/>
          <w:lang w:val="en-ID"/>
        </w:rPr>
        <w:t xml:space="preserve"> E, Vezzoli A, </w:t>
      </w:r>
      <w:proofErr w:type="spellStart"/>
      <w:r w:rsidRPr="00A20750">
        <w:rPr>
          <w:rFonts w:ascii="Times New Roman" w:eastAsiaTheme="minorHAnsi" w:hAnsi="Times New Roman" w:cs="Times New Roman"/>
          <w:kern w:val="2"/>
          <w:sz w:val="24"/>
          <w:szCs w:val="24"/>
          <w:lang w:val="en-ID"/>
        </w:rPr>
        <w:t>Mrakic</w:t>
      </w:r>
      <w:proofErr w:type="spellEnd"/>
      <w:r w:rsidRPr="00A20750">
        <w:rPr>
          <w:rFonts w:ascii="Times New Roman" w:eastAsiaTheme="minorHAnsi" w:hAnsi="Times New Roman" w:cs="Times New Roman"/>
          <w:kern w:val="2"/>
          <w:sz w:val="24"/>
          <w:szCs w:val="24"/>
          <w:lang w:val="en-ID"/>
        </w:rPr>
        <w:t xml:space="preserve">-Sposta S. Hyperbaric oxygen therapy and oxidative stress modulation. J </w:t>
      </w:r>
      <w:proofErr w:type="spellStart"/>
      <w:r w:rsidRPr="00A20750">
        <w:rPr>
          <w:rFonts w:ascii="Times New Roman" w:eastAsiaTheme="minorHAnsi" w:hAnsi="Times New Roman" w:cs="Times New Roman"/>
          <w:kern w:val="2"/>
          <w:sz w:val="24"/>
          <w:szCs w:val="24"/>
          <w:lang w:val="en-ID"/>
        </w:rPr>
        <w:t>Transl</w:t>
      </w:r>
      <w:proofErr w:type="spellEnd"/>
      <w:r w:rsidRPr="00A20750">
        <w:rPr>
          <w:rFonts w:ascii="Times New Roman" w:eastAsiaTheme="minorHAnsi" w:hAnsi="Times New Roman" w:cs="Times New Roman"/>
          <w:kern w:val="2"/>
          <w:sz w:val="24"/>
          <w:szCs w:val="24"/>
          <w:lang w:val="en-ID"/>
        </w:rPr>
        <w:t xml:space="preserve"> </w:t>
      </w:r>
      <w:proofErr w:type="spellStart"/>
      <w:r w:rsidRPr="00A20750">
        <w:rPr>
          <w:rFonts w:ascii="Times New Roman" w:eastAsiaTheme="minorHAnsi" w:hAnsi="Times New Roman" w:cs="Times New Roman"/>
          <w:kern w:val="2"/>
          <w:sz w:val="24"/>
          <w:szCs w:val="24"/>
          <w:lang w:val="en-ID"/>
        </w:rPr>
        <w:t>Myol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2025;35:12783</w:t>
      </w:r>
      <w:proofErr w:type="gramEnd"/>
      <w:r w:rsidRPr="00A20750">
        <w:rPr>
          <w:rFonts w:ascii="Times New Roman" w:eastAsiaTheme="minorHAnsi" w:hAnsi="Times New Roman" w:cs="Times New Roman"/>
          <w:kern w:val="2"/>
          <w:sz w:val="24"/>
          <w:szCs w:val="24"/>
          <w:lang w:val="en-ID"/>
        </w:rPr>
        <w:t>.</w:t>
      </w:r>
    </w:p>
    <w:p w14:paraId="14597A6E" w14:textId="3444CF5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Thom SR. Hyperbaric oxygen therapy mechanisms of action. J Appl Physiol. </w:t>
      </w:r>
      <w:proofErr w:type="gramStart"/>
      <w:r w:rsidRPr="00A20750">
        <w:rPr>
          <w:rFonts w:ascii="Times New Roman" w:eastAsiaTheme="minorHAnsi" w:hAnsi="Times New Roman" w:cs="Times New Roman"/>
          <w:kern w:val="2"/>
          <w:sz w:val="24"/>
          <w:szCs w:val="24"/>
          <w:lang w:val="en-ID"/>
        </w:rPr>
        <w:t>2009;106:988</w:t>
      </w:r>
      <w:proofErr w:type="gramEnd"/>
      <w:r w:rsidRPr="00A20750">
        <w:rPr>
          <w:rFonts w:ascii="Times New Roman" w:eastAsiaTheme="minorHAnsi" w:hAnsi="Times New Roman" w:cs="Times New Roman"/>
          <w:kern w:val="2"/>
          <w:sz w:val="24"/>
          <w:szCs w:val="24"/>
          <w:lang w:val="en-ID"/>
        </w:rPr>
        <w:t>–95.</w:t>
      </w:r>
    </w:p>
    <w:p w14:paraId="47BA8CFA" w14:textId="384A7791"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Liu S, Shen G, Deng S, Wang X, Wu Q, Guo A. Hyperbaric oxygen therapy improves neurological recovery in traumatic brain injury models. Neural Regen Res. </w:t>
      </w:r>
      <w:proofErr w:type="gramStart"/>
      <w:r w:rsidRPr="00A20750">
        <w:rPr>
          <w:rFonts w:ascii="Times New Roman" w:eastAsiaTheme="minorHAnsi" w:hAnsi="Times New Roman" w:cs="Times New Roman"/>
          <w:kern w:val="2"/>
          <w:sz w:val="24"/>
          <w:szCs w:val="24"/>
          <w:lang w:val="en-ID"/>
        </w:rPr>
        <w:t>2013;8:3334</w:t>
      </w:r>
      <w:proofErr w:type="gramEnd"/>
      <w:r w:rsidRPr="00A20750">
        <w:rPr>
          <w:rFonts w:ascii="Times New Roman" w:eastAsiaTheme="minorHAnsi" w:hAnsi="Times New Roman" w:cs="Times New Roman"/>
          <w:kern w:val="2"/>
          <w:sz w:val="24"/>
          <w:szCs w:val="24"/>
          <w:lang w:val="en-ID"/>
        </w:rPr>
        <w:t>–43.</w:t>
      </w:r>
    </w:p>
    <w:p w14:paraId="5ABF2371" w14:textId="3C0D857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Ilievski V, Zuchowska PK, Green SJ, Toth PT, Ragozzino ME, et al. Chronic oral infection with Porphyromonas gingivalis induces brain inflammation and amyloid deposition. </w:t>
      </w:r>
      <w:proofErr w:type="spellStart"/>
      <w:r w:rsidRPr="00A20750">
        <w:rPr>
          <w:rFonts w:ascii="Times New Roman" w:eastAsiaTheme="minorHAnsi" w:hAnsi="Times New Roman" w:cs="Times New Roman"/>
          <w:kern w:val="2"/>
          <w:sz w:val="24"/>
          <w:szCs w:val="24"/>
          <w:lang w:val="en-ID"/>
        </w:rPr>
        <w:t>PLoS</w:t>
      </w:r>
      <w:proofErr w:type="spellEnd"/>
      <w:r w:rsidRPr="00A20750">
        <w:rPr>
          <w:rFonts w:ascii="Times New Roman" w:eastAsiaTheme="minorHAnsi" w:hAnsi="Times New Roman" w:cs="Times New Roman"/>
          <w:kern w:val="2"/>
          <w:sz w:val="24"/>
          <w:szCs w:val="24"/>
          <w:lang w:val="en-ID"/>
        </w:rPr>
        <w:t xml:space="preserve"> One. 2018;</w:t>
      </w:r>
      <w:proofErr w:type="gramStart"/>
      <w:r w:rsidRPr="00A20750">
        <w:rPr>
          <w:rFonts w:ascii="Times New Roman" w:eastAsiaTheme="minorHAnsi" w:hAnsi="Times New Roman" w:cs="Times New Roman"/>
          <w:kern w:val="2"/>
          <w:sz w:val="24"/>
          <w:szCs w:val="24"/>
          <w:lang w:val="en-ID"/>
        </w:rPr>
        <w:t>13:e</w:t>
      </w:r>
      <w:proofErr w:type="gramEnd"/>
      <w:r w:rsidRPr="00A20750">
        <w:rPr>
          <w:rFonts w:ascii="Times New Roman" w:eastAsiaTheme="minorHAnsi" w:hAnsi="Times New Roman" w:cs="Times New Roman"/>
          <w:kern w:val="2"/>
          <w:sz w:val="24"/>
          <w:szCs w:val="24"/>
          <w:lang w:val="en-ID"/>
        </w:rPr>
        <w:t>0204941.</w:t>
      </w:r>
    </w:p>
    <w:p w14:paraId="71BF90F9" w14:textId="525BA65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Ding Y, Ren J, Yu H, Yu W, Zhou Y. Age-related inflammatory responses in the brain. </w:t>
      </w:r>
      <w:proofErr w:type="spellStart"/>
      <w:r w:rsidRPr="00A20750">
        <w:rPr>
          <w:rFonts w:ascii="Times New Roman" w:eastAsiaTheme="minorHAnsi" w:hAnsi="Times New Roman" w:cs="Times New Roman"/>
          <w:kern w:val="2"/>
          <w:sz w:val="24"/>
          <w:szCs w:val="24"/>
          <w:lang w:val="en-ID"/>
        </w:rPr>
        <w:t>Immun</w:t>
      </w:r>
      <w:proofErr w:type="spellEnd"/>
      <w:r w:rsidRPr="00A20750">
        <w:rPr>
          <w:rFonts w:ascii="Times New Roman" w:eastAsiaTheme="minorHAnsi" w:hAnsi="Times New Roman" w:cs="Times New Roman"/>
          <w:kern w:val="2"/>
          <w:sz w:val="24"/>
          <w:szCs w:val="24"/>
          <w:lang w:val="en-ID"/>
        </w:rPr>
        <w:t xml:space="preserve"> Ageing. </w:t>
      </w:r>
      <w:proofErr w:type="gramStart"/>
      <w:r w:rsidRPr="00A20750">
        <w:rPr>
          <w:rFonts w:ascii="Times New Roman" w:eastAsiaTheme="minorHAnsi" w:hAnsi="Times New Roman" w:cs="Times New Roman"/>
          <w:kern w:val="2"/>
          <w:sz w:val="24"/>
          <w:szCs w:val="24"/>
          <w:lang w:val="en-ID"/>
        </w:rPr>
        <w:t>2018;15:6</w:t>
      </w:r>
      <w:proofErr w:type="gramEnd"/>
      <w:r w:rsidRPr="00A20750">
        <w:rPr>
          <w:rFonts w:ascii="Times New Roman" w:eastAsiaTheme="minorHAnsi" w:hAnsi="Times New Roman" w:cs="Times New Roman"/>
          <w:kern w:val="2"/>
          <w:sz w:val="24"/>
          <w:szCs w:val="24"/>
          <w:lang w:val="en-ID"/>
        </w:rPr>
        <w:t>.</w:t>
      </w:r>
    </w:p>
    <w:p w14:paraId="5D298203" w14:textId="67CEE38C"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proofErr w:type="spellStart"/>
      <w:r w:rsidRPr="00A20750">
        <w:rPr>
          <w:rFonts w:ascii="Times New Roman" w:eastAsiaTheme="minorHAnsi" w:hAnsi="Times New Roman" w:cs="Times New Roman"/>
          <w:kern w:val="2"/>
          <w:sz w:val="24"/>
          <w:szCs w:val="24"/>
          <w:lang w:val="en-ID"/>
        </w:rPr>
        <w:t>Melbiarta</w:t>
      </w:r>
      <w:proofErr w:type="spellEnd"/>
      <w:r w:rsidRPr="00A20750">
        <w:rPr>
          <w:rFonts w:ascii="Times New Roman" w:eastAsiaTheme="minorHAnsi" w:hAnsi="Times New Roman" w:cs="Times New Roman"/>
          <w:kern w:val="2"/>
          <w:sz w:val="24"/>
          <w:szCs w:val="24"/>
          <w:lang w:val="en-ID"/>
        </w:rPr>
        <w:t xml:space="preserve"> RR, </w:t>
      </w:r>
      <w:proofErr w:type="spellStart"/>
      <w:r w:rsidRPr="00A20750">
        <w:rPr>
          <w:rFonts w:ascii="Times New Roman" w:eastAsiaTheme="minorHAnsi" w:hAnsi="Times New Roman" w:cs="Times New Roman"/>
          <w:kern w:val="2"/>
          <w:sz w:val="24"/>
          <w:szCs w:val="24"/>
          <w:lang w:val="en-ID"/>
        </w:rPr>
        <w:t>Kalanjati</w:t>
      </w:r>
      <w:proofErr w:type="spellEnd"/>
      <w:r w:rsidRPr="00A20750">
        <w:rPr>
          <w:rFonts w:ascii="Times New Roman" w:eastAsiaTheme="minorHAnsi" w:hAnsi="Times New Roman" w:cs="Times New Roman"/>
          <w:kern w:val="2"/>
          <w:sz w:val="24"/>
          <w:szCs w:val="24"/>
          <w:lang w:val="en-ID"/>
        </w:rPr>
        <w:t xml:space="preserve"> VP, Herawati L, Salim Y, Othman Z. Experimental design of Y-maze </w:t>
      </w:r>
      <w:proofErr w:type="spellStart"/>
      <w:r w:rsidRPr="00A20750">
        <w:rPr>
          <w:rFonts w:ascii="Times New Roman" w:eastAsiaTheme="minorHAnsi" w:hAnsi="Times New Roman" w:cs="Times New Roman"/>
          <w:kern w:val="2"/>
          <w:sz w:val="24"/>
          <w:szCs w:val="24"/>
          <w:lang w:val="en-ID"/>
        </w:rPr>
        <w:t>behavioral</w:t>
      </w:r>
      <w:proofErr w:type="spellEnd"/>
      <w:r w:rsidRPr="00A20750">
        <w:rPr>
          <w:rFonts w:ascii="Times New Roman" w:eastAsiaTheme="minorHAnsi" w:hAnsi="Times New Roman" w:cs="Times New Roman"/>
          <w:kern w:val="2"/>
          <w:sz w:val="24"/>
          <w:szCs w:val="24"/>
          <w:lang w:val="en-ID"/>
        </w:rPr>
        <w:t xml:space="preserve"> testing. Folia Med </w:t>
      </w:r>
      <w:proofErr w:type="spellStart"/>
      <w:r w:rsidRPr="00A20750">
        <w:rPr>
          <w:rFonts w:ascii="Times New Roman" w:eastAsiaTheme="minorHAnsi" w:hAnsi="Times New Roman" w:cs="Times New Roman"/>
          <w:kern w:val="2"/>
          <w:sz w:val="24"/>
          <w:szCs w:val="24"/>
          <w:lang w:val="en-ID"/>
        </w:rPr>
        <w:t>Indones</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2023;59:1</w:t>
      </w:r>
      <w:proofErr w:type="gramEnd"/>
      <w:r w:rsidRPr="00A20750">
        <w:rPr>
          <w:rFonts w:ascii="Times New Roman" w:eastAsiaTheme="minorHAnsi" w:hAnsi="Times New Roman" w:cs="Times New Roman"/>
          <w:kern w:val="2"/>
          <w:sz w:val="24"/>
          <w:szCs w:val="24"/>
          <w:lang w:val="en-ID"/>
        </w:rPr>
        <w:t>.</w:t>
      </w:r>
    </w:p>
    <w:p w14:paraId="187FCBCA" w14:textId="77777777" w:rsidR="0085225B" w:rsidRPr="00A20750" w:rsidRDefault="0085225B" w:rsidP="00256FF2">
      <w:pPr>
        <w:spacing w:line="240" w:lineRule="auto"/>
        <w:jc w:val="both"/>
        <w:rPr>
          <w:rFonts w:ascii="Times New Roman" w:hAnsi="Times New Roman" w:cs="Times New Roman"/>
          <w:b/>
          <w:bCs/>
          <w:sz w:val="24"/>
          <w:szCs w:val="24"/>
        </w:rPr>
      </w:pPr>
    </w:p>
    <w:sectPr w:rsidR="0085225B" w:rsidRPr="00A207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BFB6" w14:textId="77777777" w:rsidR="00132B53" w:rsidRDefault="00132B53" w:rsidP="008376F4">
      <w:pPr>
        <w:spacing w:after="0" w:line="240" w:lineRule="auto"/>
      </w:pPr>
      <w:r>
        <w:separator/>
      </w:r>
    </w:p>
  </w:endnote>
  <w:endnote w:type="continuationSeparator" w:id="0">
    <w:p w14:paraId="0B57D33C" w14:textId="77777777" w:rsidR="00132B53" w:rsidRDefault="00132B53" w:rsidP="0083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TimesNewRomanPS-BoldMT">
    <w:altName w:val="Times New Roman"/>
    <w:charset w:val="00"/>
    <w:family w:val="roman"/>
    <w:pitch w:val="default"/>
  </w:font>
  <w:font w:name="URWPalladioL-Bold">
    <w:altName w:val="Times New Roman"/>
    <w:charset w:val="00"/>
    <w:family w:val="roman"/>
    <w:pitch w:val="default"/>
  </w:font>
  <w:font w:name="VnURWPalladioL">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E5A7" w14:textId="77777777" w:rsidR="00132B53" w:rsidRDefault="00132B53" w:rsidP="008376F4">
      <w:pPr>
        <w:spacing w:after="0" w:line="240" w:lineRule="auto"/>
      </w:pPr>
      <w:r>
        <w:separator/>
      </w:r>
    </w:p>
  </w:footnote>
  <w:footnote w:type="continuationSeparator" w:id="0">
    <w:p w14:paraId="4BCD3A9E" w14:textId="77777777" w:rsidR="00132B53" w:rsidRDefault="00132B53" w:rsidP="00837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6BD"/>
    <w:multiLevelType w:val="hybridMultilevel"/>
    <w:tmpl w:val="1E1EC6DA"/>
    <w:lvl w:ilvl="0" w:tplc="3809000F">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5D5CA2"/>
    <w:multiLevelType w:val="multilevel"/>
    <w:tmpl w:val="D6F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90E86"/>
    <w:multiLevelType w:val="hybridMultilevel"/>
    <w:tmpl w:val="9ADA33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6675A0"/>
    <w:multiLevelType w:val="hybridMultilevel"/>
    <w:tmpl w:val="1ABA94C6"/>
    <w:lvl w:ilvl="0" w:tplc="72C4600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9215E"/>
    <w:multiLevelType w:val="multilevel"/>
    <w:tmpl w:val="60C0412E"/>
    <w:lvl w:ilvl="0">
      <w:start w:val="1"/>
      <w:numFmt w:val="decimal"/>
      <w:lvlText w:val="%1."/>
      <w:lvlJc w:val="left"/>
      <w:pPr>
        <w:ind w:left="404" w:hanging="284"/>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502" w:hanging="360"/>
      </w:pPr>
      <w:rPr>
        <w:i w:val="0"/>
        <w:iCs/>
      </w:rPr>
    </w:lvl>
    <w:lvl w:ilvl="2">
      <w:numFmt w:val="bullet"/>
      <w:lvlText w:val="•"/>
      <w:lvlJc w:val="left"/>
      <w:pPr>
        <w:ind w:left="2472" w:hanging="181"/>
      </w:pPr>
      <w:rPr>
        <w:rFonts w:hint="default"/>
        <w:lang w:val="en-US" w:eastAsia="en-US" w:bidi="ar-SA"/>
      </w:rPr>
    </w:lvl>
    <w:lvl w:ilvl="3">
      <w:numFmt w:val="bullet"/>
      <w:lvlText w:val="•"/>
      <w:lvlJc w:val="left"/>
      <w:pPr>
        <w:ind w:left="3384" w:hanging="181"/>
      </w:pPr>
      <w:rPr>
        <w:rFonts w:hint="default"/>
        <w:lang w:val="en-US" w:eastAsia="en-US" w:bidi="ar-SA"/>
      </w:rPr>
    </w:lvl>
    <w:lvl w:ilvl="4">
      <w:numFmt w:val="bullet"/>
      <w:lvlText w:val="•"/>
      <w:lvlJc w:val="left"/>
      <w:pPr>
        <w:ind w:left="4296" w:hanging="181"/>
      </w:pPr>
      <w:rPr>
        <w:rFonts w:hint="default"/>
        <w:lang w:val="en-US" w:eastAsia="en-US" w:bidi="ar-SA"/>
      </w:rPr>
    </w:lvl>
    <w:lvl w:ilvl="5">
      <w:numFmt w:val="bullet"/>
      <w:lvlText w:val="•"/>
      <w:lvlJc w:val="left"/>
      <w:pPr>
        <w:ind w:left="5208" w:hanging="181"/>
      </w:pPr>
      <w:rPr>
        <w:rFonts w:hint="default"/>
        <w:lang w:val="en-US" w:eastAsia="en-US" w:bidi="ar-SA"/>
      </w:rPr>
    </w:lvl>
    <w:lvl w:ilvl="6">
      <w:numFmt w:val="bullet"/>
      <w:lvlText w:val="•"/>
      <w:lvlJc w:val="left"/>
      <w:pPr>
        <w:ind w:left="6120" w:hanging="181"/>
      </w:pPr>
      <w:rPr>
        <w:rFonts w:hint="default"/>
        <w:lang w:val="en-US" w:eastAsia="en-US" w:bidi="ar-SA"/>
      </w:rPr>
    </w:lvl>
    <w:lvl w:ilvl="7">
      <w:numFmt w:val="bullet"/>
      <w:lvlText w:val="•"/>
      <w:lvlJc w:val="left"/>
      <w:pPr>
        <w:ind w:left="7032" w:hanging="181"/>
      </w:pPr>
      <w:rPr>
        <w:rFonts w:hint="default"/>
        <w:lang w:val="en-US" w:eastAsia="en-US" w:bidi="ar-SA"/>
      </w:rPr>
    </w:lvl>
    <w:lvl w:ilvl="8">
      <w:numFmt w:val="bullet"/>
      <w:lvlText w:val="•"/>
      <w:lvlJc w:val="left"/>
      <w:pPr>
        <w:ind w:left="7944" w:hanging="181"/>
      </w:pPr>
      <w:rPr>
        <w:rFonts w:hint="default"/>
        <w:lang w:val="en-US" w:eastAsia="en-US" w:bidi="ar-SA"/>
      </w:rPr>
    </w:lvl>
  </w:abstractNum>
  <w:abstractNum w:abstractNumId="5" w15:restartNumberingAfterBreak="0">
    <w:nsid w:val="6E4A4C07"/>
    <w:multiLevelType w:val="hybridMultilevel"/>
    <w:tmpl w:val="DAF0D1DC"/>
    <w:lvl w:ilvl="0" w:tplc="B34E430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8579680">
    <w:abstractNumId w:val="4"/>
  </w:num>
  <w:num w:numId="2" w16cid:durableId="495534654">
    <w:abstractNumId w:val="0"/>
  </w:num>
  <w:num w:numId="3" w16cid:durableId="1977838111">
    <w:abstractNumId w:val="3"/>
  </w:num>
  <w:num w:numId="4" w16cid:durableId="909778371">
    <w:abstractNumId w:val="1"/>
  </w:num>
  <w:num w:numId="5" w16cid:durableId="1112285523">
    <w:abstractNumId w:val="2"/>
  </w:num>
  <w:num w:numId="6" w16cid:durableId="407465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66"/>
    <w:rsid w:val="000021A1"/>
    <w:rsid w:val="00005127"/>
    <w:rsid w:val="00012392"/>
    <w:rsid w:val="00013A87"/>
    <w:rsid w:val="000260D0"/>
    <w:rsid w:val="00034F1A"/>
    <w:rsid w:val="0006295B"/>
    <w:rsid w:val="00062C99"/>
    <w:rsid w:val="00064E4D"/>
    <w:rsid w:val="00077A05"/>
    <w:rsid w:val="000A11CF"/>
    <w:rsid w:val="000B24D5"/>
    <w:rsid w:val="000B7158"/>
    <w:rsid w:val="000C7BBA"/>
    <w:rsid w:val="000D44C9"/>
    <w:rsid w:val="000E6513"/>
    <w:rsid w:val="000F5440"/>
    <w:rsid w:val="001178D9"/>
    <w:rsid w:val="00132B53"/>
    <w:rsid w:val="00136FC3"/>
    <w:rsid w:val="00142AD2"/>
    <w:rsid w:val="00154097"/>
    <w:rsid w:val="00162331"/>
    <w:rsid w:val="00167B6F"/>
    <w:rsid w:val="00170C30"/>
    <w:rsid w:val="00174FF1"/>
    <w:rsid w:val="001839CC"/>
    <w:rsid w:val="00186AB0"/>
    <w:rsid w:val="00204002"/>
    <w:rsid w:val="00207FD9"/>
    <w:rsid w:val="00211BBB"/>
    <w:rsid w:val="00221F5A"/>
    <w:rsid w:val="00233775"/>
    <w:rsid w:val="00233ECA"/>
    <w:rsid w:val="00241897"/>
    <w:rsid w:val="00256FF2"/>
    <w:rsid w:val="0027435C"/>
    <w:rsid w:val="00277672"/>
    <w:rsid w:val="002950D1"/>
    <w:rsid w:val="002A1266"/>
    <w:rsid w:val="002B3957"/>
    <w:rsid w:val="002B55ED"/>
    <w:rsid w:val="002C2F76"/>
    <w:rsid w:val="002D2FC1"/>
    <w:rsid w:val="002F14CB"/>
    <w:rsid w:val="002F7D66"/>
    <w:rsid w:val="002F7D95"/>
    <w:rsid w:val="00306F72"/>
    <w:rsid w:val="003136C0"/>
    <w:rsid w:val="00315EF8"/>
    <w:rsid w:val="00325CC3"/>
    <w:rsid w:val="00360394"/>
    <w:rsid w:val="00366BDC"/>
    <w:rsid w:val="0037170F"/>
    <w:rsid w:val="0038411E"/>
    <w:rsid w:val="0039099C"/>
    <w:rsid w:val="003A4A0D"/>
    <w:rsid w:val="003C530F"/>
    <w:rsid w:val="003D3E92"/>
    <w:rsid w:val="004069C6"/>
    <w:rsid w:val="004165AA"/>
    <w:rsid w:val="004273B9"/>
    <w:rsid w:val="0043770E"/>
    <w:rsid w:val="00465198"/>
    <w:rsid w:val="00467AD9"/>
    <w:rsid w:val="004849F1"/>
    <w:rsid w:val="00491912"/>
    <w:rsid w:val="004A47D7"/>
    <w:rsid w:val="004A7D98"/>
    <w:rsid w:val="004D1D42"/>
    <w:rsid w:val="004D2CCC"/>
    <w:rsid w:val="005026B6"/>
    <w:rsid w:val="00505BAB"/>
    <w:rsid w:val="00510D39"/>
    <w:rsid w:val="00513F11"/>
    <w:rsid w:val="005342BC"/>
    <w:rsid w:val="00535E9C"/>
    <w:rsid w:val="00545B30"/>
    <w:rsid w:val="005543A1"/>
    <w:rsid w:val="00564E6C"/>
    <w:rsid w:val="005713E1"/>
    <w:rsid w:val="00574D48"/>
    <w:rsid w:val="005B4E2D"/>
    <w:rsid w:val="005C2D92"/>
    <w:rsid w:val="005C5DAB"/>
    <w:rsid w:val="005F05ED"/>
    <w:rsid w:val="005F1FBE"/>
    <w:rsid w:val="00604DB0"/>
    <w:rsid w:val="00613F34"/>
    <w:rsid w:val="00622E32"/>
    <w:rsid w:val="006375DF"/>
    <w:rsid w:val="0066504D"/>
    <w:rsid w:val="00673D90"/>
    <w:rsid w:val="00691F08"/>
    <w:rsid w:val="00692E5E"/>
    <w:rsid w:val="00696B40"/>
    <w:rsid w:val="006B3B48"/>
    <w:rsid w:val="006B7D6C"/>
    <w:rsid w:val="006C0230"/>
    <w:rsid w:val="006D7552"/>
    <w:rsid w:val="006E74D7"/>
    <w:rsid w:val="00700A12"/>
    <w:rsid w:val="00710D67"/>
    <w:rsid w:val="00715B21"/>
    <w:rsid w:val="00724144"/>
    <w:rsid w:val="00740FEA"/>
    <w:rsid w:val="00765227"/>
    <w:rsid w:val="00793723"/>
    <w:rsid w:val="00794B7A"/>
    <w:rsid w:val="007C2F33"/>
    <w:rsid w:val="007C66A8"/>
    <w:rsid w:val="007C6EE1"/>
    <w:rsid w:val="007C787C"/>
    <w:rsid w:val="007D1C0C"/>
    <w:rsid w:val="007E5C5A"/>
    <w:rsid w:val="007F52F3"/>
    <w:rsid w:val="008137F2"/>
    <w:rsid w:val="0082590D"/>
    <w:rsid w:val="008315AA"/>
    <w:rsid w:val="008376F4"/>
    <w:rsid w:val="00841503"/>
    <w:rsid w:val="00851E66"/>
    <w:rsid w:val="0085205F"/>
    <w:rsid w:val="0085225B"/>
    <w:rsid w:val="0085664B"/>
    <w:rsid w:val="008606AC"/>
    <w:rsid w:val="00872354"/>
    <w:rsid w:val="00873BB2"/>
    <w:rsid w:val="00884F27"/>
    <w:rsid w:val="00891D9B"/>
    <w:rsid w:val="008B358F"/>
    <w:rsid w:val="008B63D2"/>
    <w:rsid w:val="008C41DF"/>
    <w:rsid w:val="008D320C"/>
    <w:rsid w:val="008E7E78"/>
    <w:rsid w:val="008F67E2"/>
    <w:rsid w:val="009065A6"/>
    <w:rsid w:val="00917761"/>
    <w:rsid w:val="00921F1A"/>
    <w:rsid w:val="00924672"/>
    <w:rsid w:val="00950209"/>
    <w:rsid w:val="009572FE"/>
    <w:rsid w:val="00992249"/>
    <w:rsid w:val="009B7AD8"/>
    <w:rsid w:val="009F51FE"/>
    <w:rsid w:val="00A12D3B"/>
    <w:rsid w:val="00A20750"/>
    <w:rsid w:val="00A603D1"/>
    <w:rsid w:val="00A607BC"/>
    <w:rsid w:val="00A62393"/>
    <w:rsid w:val="00A761FB"/>
    <w:rsid w:val="00AC29BB"/>
    <w:rsid w:val="00AD1C16"/>
    <w:rsid w:val="00AD255D"/>
    <w:rsid w:val="00AD3310"/>
    <w:rsid w:val="00AD6488"/>
    <w:rsid w:val="00AF78BE"/>
    <w:rsid w:val="00B230AC"/>
    <w:rsid w:val="00B32F14"/>
    <w:rsid w:val="00B53823"/>
    <w:rsid w:val="00B9147C"/>
    <w:rsid w:val="00B94F2E"/>
    <w:rsid w:val="00BB026D"/>
    <w:rsid w:val="00BC7704"/>
    <w:rsid w:val="00BD7AA8"/>
    <w:rsid w:val="00BF28DA"/>
    <w:rsid w:val="00C11CFC"/>
    <w:rsid w:val="00C25AC2"/>
    <w:rsid w:val="00C5218C"/>
    <w:rsid w:val="00C555A4"/>
    <w:rsid w:val="00C56D4C"/>
    <w:rsid w:val="00C61832"/>
    <w:rsid w:val="00C72716"/>
    <w:rsid w:val="00C74E43"/>
    <w:rsid w:val="00C765C7"/>
    <w:rsid w:val="00C9157D"/>
    <w:rsid w:val="00CA4384"/>
    <w:rsid w:val="00CB1322"/>
    <w:rsid w:val="00CC5874"/>
    <w:rsid w:val="00CD1A91"/>
    <w:rsid w:val="00CD1F14"/>
    <w:rsid w:val="00CF23DE"/>
    <w:rsid w:val="00CF3BFB"/>
    <w:rsid w:val="00D01982"/>
    <w:rsid w:val="00D105E6"/>
    <w:rsid w:val="00D1408A"/>
    <w:rsid w:val="00D34B0B"/>
    <w:rsid w:val="00D4180C"/>
    <w:rsid w:val="00D768D7"/>
    <w:rsid w:val="00DC631E"/>
    <w:rsid w:val="00DE630F"/>
    <w:rsid w:val="00DF264D"/>
    <w:rsid w:val="00DF5F1B"/>
    <w:rsid w:val="00E0445B"/>
    <w:rsid w:val="00E22534"/>
    <w:rsid w:val="00E343E0"/>
    <w:rsid w:val="00E37304"/>
    <w:rsid w:val="00E47256"/>
    <w:rsid w:val="00E5236E"/>
    <w:rsid w:val="00E558D5"/>
    <w:rsid w:val="00E850E0"/>
    <w:rsid w:val="00E91078"/>
    <w:rsid w:val="00E9611F"/>
    <w:rsid w:val="00E97D0D"/>
    <w:rsid w:val="00EB2D98"/>
    <w:rsid w:val="00EC4F69"/>
    <w:rsid w:val="00ED5A80"/>
    <w:rsid w:val="00F16C35"/>
    <w:rsid w:val="00F32114"/>
    <w:rsid w:val="00F51CB4"/>
    <w:rsid w:val="00F7125A"/>
    <w:rsid w:val="00F808E8"/>
    <w:rsid w:val="00F84464"/>
    <w:rsid w:val="00FA2390"/>
    <w:rsid w:val="00FF1B8A"/>
    <w:rsid w:val="00FF525D"/>
    <w:rsid w:val="00FF5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DAF7"/>
  <w15:docId w15:val="{57377BBD-8419-4687-8303-98D142D6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05E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pPr>
  </w:style>
  <w:style w:type="paragraph" w:styleId="BodyTextIndent">
    <w:name w:val="Body Text Indent"/>
    <w:basedOn w:val="Normal"/>
    <w:link w:val="BodyTextIndentChar"/>
    <w:pPr>
      <w:spacing w:after="0" w:line="240" w:lineRule="auto"/>
      <w:ind w:left="540"/>
      <w:jc w:val="both"/>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DocumentMap">
    <w:name w:val="Document Map"/>
    <w:basedOn w:val="Normal"/>
    <w:link w:val="DocumentMapChar"/>
    <w:uiPriority w:val="99"/>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Pr>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unhideWhenUsed/>
    <w:rPr>
      <w:color w:val="800080" w:themeColor="followedHyperlink"/>
      <w:u w:val="single"/>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qFormat/>
    <w:pPr>
      <w:spacing w:after="0" w:line="240" w:lineRule="auto"/>
    </w:pPr>
    <w:rPr>
      <w:lang w:val="id-ID"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Pr>
      <w:rFonts w:ascii="TimesNewRomanPSMT" w:hAnsi="TimesNewRomanPSMT" w:hint="default"/>
      <w:color w:val="000000"/>
      <w:sz w:val="20"/>
      <w:szCs w:val="20"/>
    </w:rPr>
  </w:style>
  <w:style w:type="character" w:customStyle="1" w:styleId="fontstyle21">
    <w:name w:val="fontstyle21"/>
    <w:basedOn w:val="DefaultParagraphFont"/>
    <w:rPr>
      <w:rFonts w:ascii="TimesNewRomanPS-BoldMT" w:hAnsi="TimesNewRomanPS-BoldMT" w:hint="default"/>
      <w:b/>
      <w:bCs/>
      <w:color w:val="000000"/>
      <w:sz w:val="20"/>
      <w:szCs w:val="20"/>
    </w:rPr>
  </w:style>
  <w:style w:type="paragraph" w:customStyle="1" w:styleId="Default">
    <w:name w:val="Default"/>
    <w:pPr>
      <w:autoSpaceDE w:val="0"/>
      <w:autoSpaceDN w:val="0"/>
      <w:adjustRightInd w:val="0"/>
      <w:spacing w:after="0" w:line="240" w:lineRule="auto"/>
    </w:pPr>
    <w:rPr>
      <w:rFonts w:ascii="Cambria" w:eastAsiaTheme="minorHAnsi" w:hAnsi="Cambria" w:cs="Cambria"/>
      <w:color w:val="000000"/>
      <w:sz w:val="24"/>
      <w:szCs w:val="24"/>
      <w:lang w:val="id-ID" w:eastAsia="en-US"/>
    </w:rPr>
  </w:style>
  <w:style w:type="character" w:customStyle="1" w:styleId="title-text">
    <w:name w:val="title-text"/>
    <w:basedOn w:val="DefaultParagraphFont"/>
  </w:style>
  <w:style w:type="character" w:customStyle="1" w:styleId="fontstyle31">
    <w:name w:val="fontstyle31"/>
    <w:basedOn w:val="DefaultParagraphFont"/>
    <w:rPr>
      <w:rFonts w:ascii="URWPalladioL-Bold" w:hAnsi="URWPalladioL-Bold" w:hint="default"/>
      <w:b/>
      <w:bCs/>
      <w:color w:val="000000"/>
      <w:sz w:val="18"/>
      <w:szCs w:val="18"/>
    </w:rPr>
  </w:style>
  <w:style w:type="character" w:customStyle="1" w:styleId="fontstyle41">
    <w:name w:val="fontstyle41"/>
    <w:basedOn w:val="DefaultParagraphFont"/>
    <w:rPr>
      <w:rFonts w:ascii="URWPalladioL-Bold" w:hAnsi="URWPalladioL-Bold" w:hint="default"/>
      <w:b/>
      <w:bCs/>
      <w:color w:val="000000"/>
      <w:sz w:val="18"/>
      <w:szCs w:val="18"/>
    </w:rPr>
  </w:style>
  <w:style w:type="character" w:customStyle="1" w:styleId="fontstyle51">
    <w:name w:val="fontstyle51"/>
    <w:basedOn w:val="DefaultParagraphFont"/>
    <w:rPr>
      <w:rFonts w:ascii="VnURWPalladioL" w:hAnsi="VnURWPalladioL" w:hint="default"/>
      <w:color w:val="000000"/>
      <w:sz w:val="18"/>
      <w:szCs w:val="18"/>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customStyle="1" w:styleId="Bibliography1">
    <w:name w:val="Bibliography1"/>
    <w:basedOn w:val="Normal"/>
    <w:next w:val="Normal"/>
    <w:uiPriority w:val="37"/>
    <w:unhideWhenUsed/>
    <w:pPr>
      <w:tabs>
        <w:tab w:val="left" w:pos="384"/>
      </w:tabs>
      <w:spacing w:after="240" w:line="240" w:lineRule="auto"/>
      <w:ind w:left="384" w:hanging="384"/>
    </w:pPr>
  </w:style>
  <w:style w:type="paragraph" w:customStyle="1" w:styleId="ListParagraph1">
    <w:name w:val="List Paragraph1"/>
    <w:basedOn w:val="Normal"/>
    <w:link w:val="ListParagraphChar"/>
    <w:uiPriority w:val="1"/>
    <w:qFormat/>
    <w:pPr>
      <w:ind w:left="720"/>
      <w:contextualSpacing/>
    </w:pPr>
    <w:rPr>
      <w:lang w:val="id-ID" w:eastAsia="ko-KR"/>
    </w:rPr>
  </w:style>
  <w:style w:type="character" w:customStyle="1" w:styleId="ListParagraphChar">
    <w:name w:val="List Paragraph Char"/>
    <w:link w:val="ListParagraph1"/>
    <w:uiPriority w:val="34"/>
    <w:qFormat/>
    <w:locked/>
    <w:rPr>
      <w:lang w:val="id-ID" w:eastAsia="ko-KR"/>
    </w:rPr>
  </w:style>
  <w:style w:type="character" w:customStyle="1" w:styleId="fontstyle11">
    <w:name w:val="fontstyle11"/>
    <w:basedOn w:val="DefaultParagraphFont"/>
    <w:rPr>
      <w:rFonts w:ascii="TimesNewRomanPSMT" w:hAnsi="TimesNewRomanPSMT" w:hint="default"/>
      <w:color w:val="80808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noteTextChar">
    <w:name w:val="Footnote Text Char"/>
    <w:basedOn w:val="DefaultParagraphFont"/>
    <w:link w:val="FootnoteText"/>
    <w:uiPriority w:val="99"/>
    <w:semiHidden/>
    <w:rPr>
      <w:sz w:val="20"/>
      <w:szCs w:val="20"/>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BodyTextChar">
    <w:name w:val="Body Text Char"/>
    <w:basedOn w:val="DefaultParagraphFont"/>
    <w:link w:val="BodyText"/>
    <w:uiPriority w:val="99"/>
    <w:semiHidden/>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TableGrid1">
    <w:name w:val="Table Grid1"/>
    <w:basedOn w:val="TableNormal"/>
    <w:uiPriority w:val="59"/>
    <w:pPr>
      <w:spacing w:after="0" w:line="240" w:lineRule="auto"/>
    </w:pPr>
    <w:rPr>
      <w:rFonts w:ascii="Calibri" w:eastAsia="Times New Roman" w:hAnsi="Calibri" w:cs="Calibri"/>
      <w:color w:val="00000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Normal1">
    <w:name w:val="Table Normal1"/>
    <w:uiPriority w:val="2"/>
    <w:unhideWhenUsed/>
    <w:qFormat/>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05127"/>
    <w:rPr>
      <w:color w:val="605E5C"/>
      <w:shd w:val="clear" w:color="auto" w:fill="E1DFDD"/>
    </w:rPr>
  </w:style>
  <w:style w:type="table" w:customStyle="1" w:styleId="TableGrid11">
    <w:name w:val="Table Grid11"/>
    <w:basedOn w:val="TableNormal"/>
    <w:next w:val="TableGrid"/>
    <w:uiPriority w:val="39"/>
    <w:rsid w:val="000B24D5"/>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50D1"/>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F05ED"/>
    <w:rPr>
      <w:rFonts w:asciiTheme="majorHAnsi" w:eastAsiaTheme="majorEastAsia" w:hAnsiTheme="majorHAnsi" w:cstheme="majorBidi"/>
      <w:color w:val="365F91" w:themeColor="accent1" w:themeShade="BF"/>
      <w:sz w:val="26"/>
      <w:szCs w:val="26"/>
      <w:lang w:val="en-US" w:eastAsia="en-US"/>
    </w:rPr>
  </w:style>
  <w:style w:type="table" w:customStyle="1" w:styleId="TableGrid3">
    <w:name w:val="Table Grid3"/>
    <w:basedOn w:val="TableNormal"/>
    <w:next w:val="TableGrid"/>
    <w:uiPriority w:val="39"/>
    <w:rsid w:val="005F05ED"/>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itle">
    <w:name w:val="IOP-CS-Title"/>
    <w:basedOn w:val="Normal"/>
    <w:link w:val="IOP-CS-TitleChar"/>
    <w:qFormat/>
    <w:rsid w:val="009065A6"/>
    <w:pPr>
      <w:spacing w:after="480" w:line="259" w:lineRule="auto"/>
    </w:pPr>
    <w:rPr>
      <w:rFonts w:asciiTheme="minorBidi" w:eastAsiaTheme="minorHAnsi" w:hAnsiTheme="minorBidi"/>
      <w:b/>
      <w:kern w:val="2"/>
      <w:sz w:val="36"/>
      <w:szCs w:val="36"/>
      <w:lang w:val="en-GB"/>
    </w:rPr>
  </w:style>
  <w:style w:type="character" w:customStyle="1" w:styleId="IOP-CS-TitleChar">
    <w:name w:val="IOP-CS-Title Char"/>
    <w:basedOn w:val="DefaultParagraphFont"/>
    <w:link w:val="IOP-CS-Title"/>
    <w:rsid w:val="009065A6"/>
    <w:rPr>
      <w:rFonts w:asciiTheme="minorBidi" w:eastAsiaTheme="minorHAnsi" w:hAnsiTheme="minorBidi" w:cstheme="minorBidi"/>
      <w:b/>
      <w:kern w:val="2"/>
      <w:sz w:val="36"/>
      <w:szCs w:val="36"/>
      <w:lang w:val="en-GB" w:eastAsia="en-US"/>
    </w:rPr>
  </w:style>
  <w:style w:type="paragraph" w:customStyle="1" w:styleId="IOP-CS-Affiliation">
    <w:name w:val="IOP-CS-Affiliation"/>
    <w:basedOn w:val="Normal"/>
    <w:link w:val="IOP-CS-AffiliationChar"/>
    <w:qFormat/>
    <w:rsid w:val="009065A6"/>
    <w:pPr>
      <w:spacing w:after="0" w:line="259" w:lineRule="auto"/>
      <w:ind w:left="1418"/>
    </w:pPr>
    <w:rPr>
      <w:rFonts w:ascii="Cambria" w:eastAsiaTheme="minorHAnsi" w:hAnsi="Cambria"/>
      <w:kern w:val="2"/>
      <w:sz w:val="20"/>
      <w:szCs w:val="20"/>
      <w:lang w:val="en-GB"/>
    </w:rPr>
  </w:style>
  <w:style w:type="character" w:customStyle="1" w:styleId="IOP-CS-AffiliationChar">
    <w:name w:val="IOP-CS-Affiliation Char"/>
    <w:basedOn w:val="DefaultParagraphFont"/>
    <w:link w:val="IOP-CS-Affiliation"/>
    <w:rsid w:val="009065A6"/>
    <w:rPr>
      <w:rFonts w:ascii="Cambria" w:eastAsiaTheme="minorHAnsi" w:hAnsi="Cambria" w:cstheme="minorBidi"/>
      <w:kern w:val="2"/>
      <w:lang w:val="en-GB" w:eastAsia="en-US"/>
    </w:rPr>
  </w:style>
  <w:style w:type="paragraph" w:customStyle="1" w:styleId="IOP-CS-BodyText">
    <w:name w:val="IOP-CS-BodyText"/>
    <w:link w:val="IOP-CS-BodyTextChar"/>
    <w:qFormat/>
    <w:rsid w:val="00CD1A91"/>
    <w:pPr>
      <w:spacing w:after="0"/>
      <w:ind w:firstLine="425"/>
      <w:jc w:val="both"/>
    </w:pPr>
    <w:rPr>
      <w:rFonts w:ascii="Cambria" w:eastAsiaTheme="minorHAnsi" w:hAnsi="Cambria" w:cstheme="minorBidi"/>
      <w:kern w:val="2"/>
      <w:sz w:val="22"/>
      <w:szCs w:val="22"/>
      <w:lang w:val="en-GB" w:eastAsia="en-US"/>
    </w:rPr>
  </w:style>
  <w:style w:type="character" w:customStyle="1" w:styleId="IOP-CS-BodyTextChar">
    <w:name w:val="IOP-CS-BodyText Char"/>
    <w:basedOn w:val="IOP-CS-AffiliationChar"/>
    <w:link w:val="IOP-CS-BodyText"/>
    <w:rsid w:val="00CD1A91"/>
    <w:rPr>
      <w:rFonts w:ascii="Cambria" w:eastAsiaTheme="minorHAnsi" w:hAnsi="Cambria" w:cstheme="minorBidi"/>
      <w:kern w:val="2"/>
      <w:sz w:val="22"/>
      <w:szCs w:val="22"/>
      <w:lang w:val="en-GB" w:eastAsia="en-US"/>
    </w:rPr>
  </w:style>
  <w:style w:type="paragraph" w:customStyle="1" w:styleId="IOP-CS-BodyNoIndent">
    <w:name w:val="IOP-CS-BodyNoIndent"/>
    <w:basedOn w:val="IOP-CS-BodyText"/>
    <w:next w:val="IOP-CS-BodyText"/>
    <w:link w:val="IOP-CS-BodyNoIndentChar"/>
    <w:qFormat/>
    <w:rsid w:val="00CD1A91"/>
    <w:pPr>
      <w:ind w:firstLine="0"/>
    </w:pPr>
  </w:style>
  <w:style w:type="character" w:customStyle="1" w:styleId="IOP-CS-BodyNoIndentChar">
    <w:name w:val="IOP-CS-BodyNoIndent Char"/>
    <w:basedOn w:val="IOP-CS-BodyTextChar"/>
    <w:link w:val="IOP-CS-BodyNoIndent"/>
    <w:rsid w:val="00CD1A91"/>
    <w:rPr>
      <w:rFonts w:ascii="Cambria" w:eastAsiaTheme="minorHAnsi" w:hAnsi="Cambria" w:cstheme="minorBidi"/>
      <w:kern w:val="2"/>
      <w:sz w:val="22"/>
      <w:szCs w:val="22"/>
      <w:lang w:val="en-GB" w:eastAsia="en-US"/>
    </w:rPr>
  </w:style>
  <w:style w:type="paragraph" w:customStyle="1" w:styleId="IOP-CS-SubsectionHeading">
    <w:name w:val="IOP-CS-SubsectionHeading"/>
    <w:next w:val="IOP-CS-BodyNoIndent"/>
    <w:link w:val="IOP-CS-SubsectionHeadingChar"/>
    <w:qFormat/>
    <w:rsid w:val="00884F27"/>
    <w:pPr>
      <w:spacing w:before="160" w:after="0"/>
    </w:pPr>
    <w:rPr>
      <w:rFonts w:ascii="Cambria" w:eastAsiaTheme="minorHAnsi" w:hAnsi="Cambria" w:cstheme="minorBidi"/>
      <w:i/>
      <w:iCs/>
      <w:kern w:val="2"/>
      <w:sz w:val="22"/>
      <w:szCs w:val="22"/>
      <w:lang w:val="en-GB" w:eastAsia="en-US"/>
    </w:rPr>
  </w:style>
  <w:style w:type="character" w:customStyle="1" w:styleId="IOP-CS-SubsectionHeadingChar">
    <w:name w:val="IOP-CS-SubsectionHeading Char"/>
    <w:basedOn w:val="IOP-CS-BodyTextChar"/>
    <w:link w:val="IOP-CS-SubsectionHeading"/>
    <w:rsid w:val="00884F27"/>
    <w:rPr>
      <w:rFonts w:ascii="Cambria" w:eastAsiaTheme="minorHAnsi" w:hAnsi="Cambria" w:cstheme="minorBidi"/>
      <w:i/>
      <w:iCs/>
      <w:kern w:val="2"/>
      <w:sz w:val="22"/>
      <w:szCs w:val="22"/>
      <w:lang w:val="en-GB" w:eastAsia="en-US"/>
    </w:rPr>
  </w:style>
  <w:style w:type="paragraph" w:customStyle="1" w:styleId="IOP-CS-SectionHead">
    <w:name w:val="IOP-CS-SectionHead"/>
    <w:next w:val="IOP-CS-BodyNoIndent"/>
    <w:link w:val="IOP-CS-SectionHeadChar"/>
    <w:qFormat/>
    <w:rsid w:val="00211BBB"/>
    <w:pPr>
      <w:spacing w:before="360" w:after="120"/>
    </w:pPr>
    <w:rPr>
      <w:rFonts w:ascii="Cambria" w:eastAsiaTheme="minorHAnsi" w:hAnsi="Cambria" w:cstheme="minorBidi"/>
      <w:b/>
      <w:bCs/>
      <w:kern w:val="2"/>
      <w:sz w:val="22"/>
      <w:szCs w:val="22"/>
      <w:lang w:val="en-GB" w:eastAsia="en-US"/>
    </w:rPr>
  </w:style>
  <w:style w:type="character" w:customStyle="1" w:styleId="IOP-CS-SectionHeadChar">
    <w:name w:val="IOP-CS-SectionHead Char"/>
    <w:basedOn w:val="IOP-CS-AffiliationChar"/>
    <w:link w:val="IOP-CS-SectionHead"/>
    <w:rsid w:val="00211BBB"/>
    <w:rPr>
      <w:rFonts w:ascii="Cambria" w:eastAsiaTheme="minorHAnsi" w:hAnsi="Cambria" w:cstheme="minorBidi"/>
      <w:b/>
      <w:bCs/>
      <w:kern w:val="2"/>
      <w:sz w:val="22"/>
      <w:szCs w:val="22"/>
      <w:lang w:val="en-GB" w:eastAsia="en-US"/>
    </w:rPr>
  </w:style>
  <w:style w:type="paragraph" w:customStyle="1" w:styleId="IOP-CS-CaptionText">
    <w:name w:val="IOP-CS-CaptionText"/>
    <w:link w:val="IOP-CS-CaptionTextChar"/>
    <w:qFormat/>
    <w:rsid w:val="00211BBB"/>
    <w:rPr>
      <w:rFonts w:ascii="Cambria" w:eastAsiaTheme="minorHAnsi" w:hAnsi="Cambria" w:cstheme="minorBidi"/>
      <w:kern w:val="2"/>
      <w:szCs w:val="22"/>
      <w:lang w:val="en-GB" w:eastAsia="en-US"/>
    </w:rPr>
  </w:style>
  <w:style w:type="character" w:customStyle="1" w:styleId="IOP-CS-CaptionTextChar">
    <w:name w:val="IOP-CS-CaptionText Char"/>
    <w:basedOn w:val="DefaultParagraphFont"/>
    <w:link w:val="IOP-CS-CaptionText"/>
    <w:rsid w:val="00211BBB"/>
    <w:rPr>
      <w:rFonts w:ascii="Cambria" w:eastAsiaTheme="minorHAnsi" w:hAnsi="Cambria" w:cstheme="minorBidi"/>
      <w:kern w:val="2"/>
      <w:szCs w:val="22"/>
      <w:lang w:val="en-GB" w:eastAsia="en-US"/>
    </w:rPr>
  </w:style>
  <w:style w:type="paragraph" w:customStyle="1" w:styleId="IOP-CS-ReferenceText">
    <w:name w:val="IOP-CS-ReferenceText"/>
    <w:link w:val="IOP-CS-ReferenceTextChar"/>
    <w:qFormat/>
    <w:rsid w:val="00211BBB"/>
    <w:pPr>
      <w:spacing w:after="0"/>
    </w:pPr>
    <w:rPr>
      <w:rFonts w:ascii="Cambria" w:eastAsiaTheme="minorHAnsi" w:hAnsi="Cambria" w:cstheme="minorBidi"/>
      <w:kern w:val="2"/>
      <w:sz w:val="18"/>
      <w:szCs w:val="22"/>
      <w:lang w:val="en-GB" w:eastAsia="en-US"/>
    </w:rPr>
  </w:style>
  <w:style w:type="character" w:customStyle="1" w:styleId="IOP-CS-ReferenceTextChar">
    <w:name w:val="IOP-CS-ReferenceText Char"/>
    <w:basedOn w:val="DefaultParagraphFont"/>
    <w:link w:val="IOP-CS-ReferenceText"/>
    <w:rsid w:val="00211BBB"/>
    <w:rPr>
      <w:rFonts w:ascii="Cambria" w:eastAsiaTheme="minorHAnsi" w:hAnsi="Cambria" w:cstheme="minorBidi"/>
      <w:kern w:val="2"/>
      <w:sz w:val="18"/>
      <w:szCs w:val="22"/>
      <w:lang w:val="en-GB" w:eastAsia="en-US"/>
    </w:rPr>
  </w:style>
  <w:style w:type="character" w:styleId="Strong">
    <w:name w:val="Strong"/>
    <w:basedOn w:val="DefaultParagraphFont"/>
    <w:uiPriority w:val="22"/>
    <w:qFormat/>
    <w:rsid w:val="00211BBB"/>
    <w:rPr>
      <w:b/>
      <w:bCs/>
    </w:rPr>
  </w:style>
  <w:style w:type="paragraph" w:styleId="Caption">
    <w:name w:val="caption"/>
    <w:basedOn w:val="Normal"/>
    <w:next w:val="Normal"/>
    <w:uiPriority w:val="35"/>
    <w:unhideWhenUsed/>
    <w:qFormat/>
    <w:rsid w:val="00FF525D"/>
    <w:pPr>
      <w:spacing w:line="240" w:lineRule="auto"/>
    </w:pPr>
    <w:rPr>
      <w:i/>
      <w:iCs/>
      <w:color w:val="1F497D" w:themeColor="text2"/>
      <w:sz w:val="18"/>
      <w:szCs w:val="18"/>
    </w:rPr>
  </w:style>
  <w:style w:type="paragraph" w:styleId="ListParagraph">
    <w:name w:val="List Paragraph"/>
    <w:basedOn w:val="Normal"/>
    <w:uiPriority w:val="99"/>
    <w:unhideWhenUsed/>
    <w:rsid w:val="008606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D836353-87B0-433B-9B64-8543581165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11</Pages>
  <Words>4886</Words>
  <Characters>27852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31</cp:revision>
  <dcterms:created xsi:type="dcterms:W3CDTF">2023-09-20T13:19:00Z</dcterms:created>
  <dcterms:modified xsi:type="dcterms:W3CDTF">2026-04-10T03:20:00Z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id="zPQDo9Zl"/&gt;&lt;style id="http://www.zotero.org/styles/american-medical-association" hasBibliography="1" bibliographyStyleHasBeenSet="1"/&gt;&lt;prefs&gt;&lt;pref name="fieldType" value="Field"/&gt;&lt;/prefs&gt;&lt;/data&gt;</vt:lpwstr>
  </property>
  <property fmtid="{D5CDD505-2E9C-101B-9397-08002B2CF9AE}" pid="3" name="GrammarlyDocumentId">
    <vt:lpwstr>37a9cbb7ff2d4af5cc9113676e5fb47742e834ad6cf80b6f7b85ce9ce0d4e160</vt:lpwstr>
  </property>
  <property fmtid="{D5CDD505-2E9C-101B-9397-08002B2CF9AE}" pid="4" name="ICV">
    <vt:lpwstr>E80F0BF14D99EB7DFDF8E366968DA6E8_32</vt:lpwstr>
  </property>
  <property fmtid="{D5CDD505-2E9C-101B-9397-08002B2CF9AE}" pid="5" name="KSOProductBuildVer">
    <vt:lpwstr>3081-11.33.82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y fmtid="{D5CDD505-2E9C-101B-9397-08002B2CF9AE}" pid="26" name="Mendeley Citation Style_1">
    <vt:lpwstr>http://www.zotero.org/styles/vancouver-superscript</vt:lpwstr>
  </property>
  <property fmtid="{D5CDD505-2E9C-101B-9397-08002B2CF9AE}" pid="27" name="Mendeley Document_1">
    <vt:lpwstr>True</vt:lpwstr>
  </property>
  <property fmtid="{D5CDD505-2E9C-101B-9397-08002B2CF9AE}" pid="28" name="Mendeley Unique User Id_1">
    <vt:lpwstr>ef362582-6042-3190-8e6f-83a40c12b2fa</vt:lpwstr>
  </property>
</Properties>
</file>