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D92A9" w14:textId="77777777" w:rsidR="00F72593" w:rsidRDefault="00000000" w:rsidP="00D41F32">
      <w:pPr>
        <w:jc w:val="both"/>
      </w:pPr>
      <w:r>
        <w:rPr>
          <w:b/>
        </w:rPr>
        <w:t>Research Paper</w:t>
      </w:r>
    </w:p>
    <w:p w14:paraId="09467A95" w14:textId="138AA550" w:rsidR="00F72593" w:rsidRDefault="00000000" w:rsidP="001E3303">
      <w:pPr>
        <w:jc w:val="center"/>
      </w:pPr>
      <w:r>
        <w:rPr>
          <w:b/>
          <w:sz w:val="28"/>
        </w:rPr>
        <w:t>Reproductive Health Vulnerabilities and Women’s Agency After the 2006 Bantul Earthquake: A Retrospective Phenomenological Study</w:t>
      </w:r>
    </w:p>
    <w:p w14:paraId="6FD957A7" w14:textId="77777777" w:rsidR="00F72593" w:rsidRDefault="00000000" w:rsidP="00D41F32">
      <w:pPr>
        <w:pStyle w:val="Heading1"/>
        <w:spacing w:before="160" w:after="60"/>
        <w:jc w:val="both"/>
      </w:pPr>
      <w:r>
        <w:rPr>
          <w:rFonts w:ascii="Times New Roman" w:hAnsi="Times New Roman"/>
        </w:rPr>
        <w:t>Capsule</w:t>
      </w:r>
    </w:p>
    <w:p w14:paraId="4D21956A" w14:textId="5B4F05F2" w:rsidR="00F72593" w:rsidRDefault="00000000" w:rsidP="00D41F32">
      <w:pPr>
        <w:pStyle w:val="BodyText"/>
        <w:spacing w:after="60" w:line="240" w:lineRule="auto"/>
        <w:jc w:val="both"/>
      </w:pPr>
      <w:r>
        <w:t>Women survivors described reproductive health disruptions, caregiving burdens, and administrative barriers after the Bantul earthquake, while also mobilizing family, community, economic, spatial, and spiritual resources to sustain recovery and resilience.</w:t>
      </w:r>
    </w:p>
    <w:p w14:paraId="1C6DEE5C" w14:textId="77777777" w:rsidR="00F72593" w:rsidRDefault="00000000" w:rsidP="00D41F32">
      <w:pPr>
        <w:pStyle w:val="Heading1"/>
        <w:spacing w:before="160" w:after="60"/>
        <w:jc w:val="both"/>
      </w:pPr>
      <w:r>
        <w:rPr>
          <w:rFonts w:ascii="Times New Roman" w:hAnsi="Times New Roman"/>
        </w:rPr>
        <w:t>Abstract</w:t>
      </w:r>
    </w:p>
    <w:p w14:paraId="405E0182" w14:textId="77777777" w:rsidR="00F72593" w:rsidRDefault="00000000" w:rsidP="00D41F32">
      <w:pPr>
        <w:pStyle w:val="BodyText"/>
        <w:spacing w:after="40" w:line="240" w:lineRule="auto"/>
        <w:jc w:val="both"/>
      </w:pPr>
      <w:r>
        <w:rPr>
          <w:b/>
        </w:rPr>
        <w:t xml:space="preserve">Objective: </w:t>
      </w:r>
      <w:r>
        <w:t>To explore how gendered social roles and structural conditions shaped reproductive health vulnerabilities among women who survived the 2006 Bantul earthquake, and how women exercised agency to manage health, caregiving, household, and community needs during emergency and recovery periods.</w:t>
      </w:r>
    </w:p>
    <w:p w14:paraId="716CBA01" w14:textId="77777777" w:rsidR="00F72593" w:rsidRDefault="00000000" w:rsidP="00D41F32">
      <w:pPr>
        <w:pStyle w:val="BodyText"/>
        <w:spacing w:after="40" w:line="240" w:lineRule="auto"/>
        <w:jc w:val="both"/>
      </w:pPr>
      <w:r>
        <w:rPr>
          <w:b/>
        </w:rPr>
        <w:t xml:space="preserve">Materials and Methods: </w:t>
      </w:r>
      <w:r>
        <w:t>A qualitative retrospective-phenomenological study was conducted with 10 adult women who survived the earthquake and lived in affected areas of Bantul, Yogyakarta, Indonesia. Purposive sampling was used. Semi-structured in-depth interviews were conducted online for 45–60 minutes with local field assistance for participants who required technical support. Verbatim transcripts were analyzed using reflexive thematic analysis with a hybrid inductive-deductive approach, supported by NVivo for coding organization and visual mapping. Participant feedback on transcripts and preliminary interpretations was used to strengthen credibility.</w:t>
      </w:r>
    </w:p>
    <w:p w14:paraId="7328BA23" w14:textId="77777777" w:rsidR="00F72593" w:rsidRDefault="00000000" w:rsidP="00D41F32">
      <w:pPr>
        <w:pStyle w:val="BodyText"/>
        <w:spacing w:after="40" w:line="240" w:lineRule="auto"/>
        <w:jc w:val="both"/>
      </w:pPr>
      <w:r>
        <w:rPr>
          <w:b/>
        </w:rPr>
        <w:t xml:space="preserve">Results: </w:t>
      </w:r>
      <w:r>
        <w:t>Three overarching themes were identified: layered reproductive health vulnerabilities; gendered roles and structural barriers; and women’s agency and community-based self-reliance. Participants described disrupted access to maternal and reproductive health services, menstrual hygiene difficulties, reduced privacy, caregiving while injured or postpartum, misinformation, and administrative or logistical barriers to assistance. At the same time, women mobilized family and community networks, restarted household food and market activities, maintained contraceptive decision-making where possible, reorganized temporary living spaces, advocated for aid, and used social and spiritual networks to support recovery.</w:t>
      </w:r>
    </w:p>
    <w:p w14:paraId="7C79C1A1" w14:textId="77777777" w:rsidR="00F72593" w:rsidRDefault="00000000" w:rsidP="00D41F32">
      <w:pPr>
        <w:pStyle w:val="BodyText"/>
        <w:spacing w:after="40" w:line="240" w:lineRule="auto"/>
        <w:jc w:val="both"/>
      </w:pPr>
      <w:r>
        <w:rPr>
          <w:b/>
        </w:rPr>
        <w:t xml:space="preserve">Conclusions: </w:t>
      </w:r>
      <w:r>
        <w:t>Women’s post-disaster experiences reflected both vulnerability and active agency. Gender-responsive disaster health planning should protect reproductive health needs from the earliest emergency phase while formally involving women in shelter design, local logistics, risk communication, and community recovery planning.</w:t>
      </w:r>
    </w:p>
    <w:p w14:paraId="66063380" w14:textId="77777777" w:rsidR="00F72593" w:rsidRDefault="00000000" w:rsidP="00D41F32">
      <w:pPr>
        <w:pStyle w:val="BodyText"/>
        <w:spacing w:line="240" w:lineRule="auto"/>
        <w:jc w:val="both"/>
      </w:pPr>
      <w:r>
        <w:t>Keywords: Earthquakes; Women’s Health; Reproductive Health; Health Promotion; Qualitative Research; Disasters</w:t>
      </w:r>
    </w:p>
    <w:p w14:paraId="16F292A4" w14:textId="77777777" w:rsidR="00F72593" w:rsidRDefault="00000000" w:rsidP="00D41F32">
      <w:pPr>
        <w:pStyle w:val="Heading1"/>
        <w:spacing w:before="160" w:after="60"/>
        <w:jc w:val="both"/>
      </w:pPr>
      <w:r>
        <w:rPr>
          <w:rFonts w:ascii="Times New Roman" w:hAnsi="Times New Roman"/>
        </w:rPr>
        <w:t>Introduction</w:t>
      </w:r>
    </w:p>
    <w:p w14:paraId="72F04896" w14:textId="77777777" w:rsidR="00F72593" w:rsidRDefault="00000000" w:rsidP="00D41F32">
      <w:pPr>
        <w:pStyle w:val="BodyText"/>
        <w:spacing w:after="60" w:line="240" w:lineRule="auto"/>
        <w:ind w:firstLine="360"/>
        <w:jc w:val="both"/>
      </w:pPr>
      <w:r>
        <w:t xml:space="preserve">Disasters do not affect populations uniformly. Although an earthquake is a biophysical event, its health and social consequences are shaped by pre-existing inequalities, social roles, economic resources, and access to services. Women may face disproportionate health consequences because reproductive needs and unpaid caregiving responsibilities continue during disruption, while opportunities to seek care, privacy, sanitation, and protection may become constrained (1–6). Menstrual hygiene, pregnancy, postpartum care, breastfeeding, contraception, and personal </w:t>
      </w:r>
      <w:r>
        <w:lastRenderedPageBreak/>
        <w:t>safety can therefore become difficult to maintain when health infrastructure and household resources are disrupted (6–10).</w:t>
      </w:r>
    </w:p>
    <w:p w14:paraId="071D8660" w14:textId="77777777" w:rsidR="00F72593" w:rsidRDefault="00000000" w:rsidP="00D41F32">
      <w:pPr>
        <w:pStyle w:val="BodyText"/>
        <w:spacing w:after="60" w:line="240" w:lineRule="auto"/>
        <w:ind w:firstLine="360"/>
        <w:jc w:val="both"/>
      </w:pPr>
      <w:r>
        <w:t>The 26 May 2006 Yogyakarta earthquake caused extensive mortality, injury, and infrastructure damage, with Bantul Regency among the most severely affected areas (11,12). The event disrupted health services, housing, transport, water and sanitation, and local livelihoods. Subsequent work on gender-sensitive disaster risk reduction in Indonesia has emphasized that preparedness and response systems should recognize the different social positions and responsibilities of women and men and should involve women directly in planning and decision-making (13–15).</w:t>
      </w:r>
    </w:p>
    <w:p w14:paraId="12B8C94D" w14:textId="77777777" w:rsidR="00F72593" w:rsidRDefault="00000000" w:rsidP="00D41F32">
      <w:pPr>
        <w:pStyle w:val="BodyText"/>
        <w:spacing w:after="60" w:line="240" w:lineRule="auto"/>
        <w:ind w:firstLine="360"/>
        <w:jc w:val="both"/>
      </w:pPr>
      <w:r>
        <w:t>International humanitarian guidance similarly identifies sexual and reproductive health as an essential component of emergency response. The Minimum Initial Service Package for sexual and reproductive health prioritizes life-saving reproductive health actions at the onset of a crisis, while Indonesian guidance on the minimum reproductive health service package in emergencies emphasizes continuity of maternal, newborn, family-planning, and protection services (16,17). The Sphere standards and the Sendai Framework-related guidance also stress safe water, sanitation, shelter, health services, community participation, and protection of dignity during emergencies (18,19).</w:t>
      </w:r>
    </w:p>
    <w:p w14:paraId="560F39D5" w14:textId="77777777" w:rsidR="00F72593" w:rsidRDefault="00000000" w:rsidP="00D41F32">
      <w:pPr>
        <w:pStyle w:val="BodyText"/>
        <w:spacing w:after="60" w:line="240" w:lineRule="auto"/>
        <w:ind w:firstLine="360"/>
        <w:jc w:val="both"/>
      </w:pPr>
      <w:r>
        <w:t>However, women’s experiences in disasters cannot be understood only through a vulnerability lens. Research on gender and disasters increasingly shows that women also act as planners, caregivers, economic actors, organizers, and local risk managers. Their responses may include mobilizing social capital, reorganizing domestic space, sustaining food systems, negotiating services, and creating informal networks of psychosocial support (4,5,11). Recognizing this agency is important, but it should not be used to transfer responsibility for essential services from institutions to affected communities.</w:t>
      </w:r>
    </w:p>
    <w:p w14:paraId="212A7653" w14:textId="77777777" w:rsidR="00F72593" w:rsidRDefault="00000000" w:rsidP="00D41F32">
      <w:pPr>
        <w:pStyle w:val="BodyText"/>
        <w:spacing w:after="60" w:line="240" w:lineRule="auto"/>
        <w:ind w:firstLine="360"/>
        <w:jc w:val="both"/>
      </w:pPr>
      <w:r>
        <w:t>Nearly two decades after the 2006 earthquake, survivors’ retrospective accounts offer an opportunity to examine how reproductive health needs, gendered responsibilities, institutional barriers, and self-directed recovery strategies were remembered and interpreted over time. This study therefore explored how gendered social roles and structural conditions shaped layered reproductive health vulnerabilities among women survivors of the Bantul earthquake and how women exercised agency to manage health, caregiving, household, and community needs during emergency and recovery periods.</w:t>
      </w:r>
    </w:p>
    <w:p w14:paraId="750A0EBD" w14:textId="77777777" w:rsidR="00F72593" w:rsidRDefault="00000000" w:rsidP="00D41F32">
      <w:pPr>
        <w:pStyle w:val="Heading1"/>
        <w:spacing w:before="160" w:after="60"/>
        <w:jc w:val="both"/>
      </w:pPr>
      <w:r>
        <w:rPr>
          <w:rFonts w:ascii="Times New Roman" w:hAnsi="Times New Roman"/>
        </w:rPr>
        <w:t>Materials and Methods</w:t>
      </w:r>
    </w:p>
    <w:p w14:paraId="1DE45888" w14:textId="77777777" w:rsidR="00F72593" w:rsidRDefault="00000000" w:rsidP="00D41F32">
      <w:pPr>
        <w:pStyle w:val="Heading2"/>
        <w:spacing w:before="100" w:after="60"/>
        <w:jc w:val="both"/>
      </w:pPr>
      <w:r>
        <w:rPr>
          <w:rFonts w:ascii="Times New Roman" w:hAnsi="Times New Roman"/>
        </w:rPr>
        <w:t>Study Design and Setting</w:t>
      </w:r>
    </w:p>
    <w:p w14:paraId="5C251439" w14:textId="77777777" w:rsidR="00F72593" w:rsidRDefault="00000000" w:rsidP="00D41F32">
      <w:pPr>
        <w:pStyle w:val="BodyText"/>
        <w:spacing w:after="60" w:line="240" w:lineRule="auto"/>
        <w:ind w:firstLine="360"/>
        <w:jc w:val="both"/>
      </w:pPr>
      <w:r>
        <w:t>This study used a qualitative retrospective-phenomenological design to explore how women survivors interpreted and reconstructed their experiences of reproductive health, caregiving, and recovery after the 2006 Bantul earthquake. The study was conducted with residents of earthquake-affected areas in Bantul Regency, Special Region of Yogyakarta, Indonesia. The design was selected to foreground the meaning participants assigned to events that occurred during the emergency and recovery periods while acknowledging that these accounts were reconstructed many years after the disaster.</w:t>
      </w:r>
    </w:p>
    <w:p w14:paraId="1585BF1A" w14:textId="77777777" w:rsidR="00F72593" w:rsidRDefault="00000000" w:rsidP="00D41F32">
      <w:pPr>
        <w:pStyle w:val="Heading2"/>
        <w:spacing w:before="100" w:after="60"/>
        <w:jc w:val="both"/>
      </w:pPr>
      <w:r>
        <w:rPr>
          <w:rFonts w:ascii="Times New Roman" w:hAnsi="Times New Roman"/>
        </w:rPr>
        <w:t>Participants and Sampling</w:t>
      </w:r>
    </w:p>
    <w:p w14:paraId="47010D9B" w14:textId="77777777" w:rsidR="00F72593" w:rsidRDefault="00000000" w:rsidP="00D41F32">
      <w:pPr>
        <w:pStyle w:val="BodyText"/>
        <w:spacing w:after="60" w:line="240" w:lineRule="auto"/>
        <w:ind w:firstLine="360"/>
        <w:jc w:val="both"/>
      </w:pPr>
      <w:r>
        <w:t xml:space="preserve">Participants were recruited purposively. Eligibility criteria were adult women who had experienced the 2006 Bantul earthquake and were living in affected areas of Bantul at the time of </w:t>
      </w:r>
      <w:r>
        <w:lastRenderedPageBreak/>
        <w:t>recruitment. Ten women participated. Their ages at the time of the disaster ranged from 29 to 44 years, and their reproductive situations included pregnancy, breastfeeding, menstruation, perimenopause, contraceptive use, and caregiving for children of different ages. Participant characteristics are summarized in Table 1.</w:t>
      </w:r>
    </w:p>
    <w:p w14:paraId="161D4733" w14:textId="77777777" w:rsidR="00D41F32" w:rsidRDefault="00D41F32" w:rsidP="00D41F32">
      <w:pPr>
        <w:keepNext/>
        <w:jc w:val="both"/>
        <w:rPr>
          <w:b/>
        </w:rPr>
      </w:pPr>
    </w:p>
    <w:p w14:paraId="0E73BFE3" w14:textId="3E7E80BA" w:rsidR="00F72593" w:rsidRDefault="00000000" w:rsidP="00D41F32">
      <w:pPr>
        <w:keepNext/>
        <w:jc w:val="both"/>
      </w:pPr>
      <w:r>
        <w:rPr>
          <w:b/>
        </w:rPr>
        <w:t>Table 1. Participant Characteristics During the 2006 Earthquake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560"/>
        <w:gridCol w:w="1560"/>
        <w:gridCol w:w="1560"/>
        <w:gridCol w:w="1560"/>
        <w:gridCol w:w="1560"/>
        <w:gridCol w:w="1560"/>
      </w:tblGrid>
      <w:tr w:rsidR="00F72593" w14:paraId="08E82C23" w14:textId="77777777">
        <w:trPr>
          <w:tblHeader/>
          <w:jc w:val="center"/>
        </w:trPr>
        <w:tc>
          <w:tcPr>
            <w:tcW w:w="1560" w:type="dxa"/>
            <w:shd w:val="clear" w:color="auto" w:fill="E7E6E6"/>
            <w:tcMar>
              <w:top w:w="80" w:type="dxa"/>
              <w:left w:w="80" w:type="dxa"/>
              <w:bottom w:w="80" w:type="dxa"/>
              <w:right w:w="80" w:type="dxa"/>
            </w:tcMar>
            <w:vAlign w:val="center"/>
          </w:tcPr>
          <w:p w14:paraId="0995335F" w14:textId="77777777" w:rsidR="00F72593" w:rsidRDefault="00000000" w:rsidP="00D41F32">
            <w:pPr>
              <w:pStyle w:val="TableText"/>
              <w:jc w:val="both"/>
            </w:pPr>
            <w:r>
              <w:rPr>
                <w:b/>
              </w:rPr>
              <w:t>Participant</w:t>
            </w:r>
          </w:p>
        </w:tc>
        <w:tc>
          <w:tcPr>
            <w:tcW w:w="1560" w:type="dxa"/>
            <w:shd w:val="clear" w:color="auto" w:fill="E7E6E6"/>
            <w:tcMar>
              <w:top w:w="80" w:type="dxa"/>
              <w:left w:w="80" w:type="dxa"/>
              <w:bottom w:w="80" w:type="dxa"/>
              <w:right w:w="80" w:type="dxa"/>
            </w:tcMar>
            <w:vAlign w:val="center"/>
          </w:tcPr>
          <w:p w14:paraId="3BE07710" w14:textId="77777777" w:rsidR="00F72593" w:rsidRDefault="00000000" w:rsidP="00D41F32">
            <w:pPr>
              <w:pStyle w:val="TableText"/>
              <w:jc w:val="both"/>
            </w:pPr>
            <w:r>
              <w:rPr>
                <w:b/>
              </w:rPr>
              <w:t>Age (years)</w:t>
            </w:r>
          </w:p>
        </w:tc>
        <w:tc>
          <w:tcPr>
            <w:tcW w:w="1560" w:type="dxa"/>
            <w:shd w:val="clear" w:color="auto" w:fill="E7E6E6"/>
            <w:tcMar>
              <w:top w:w="80" w:type="dxa"/>
              <w:left w:w="80" w:type="dxa"/>
              <w:bottom w:w="80" w:type="dxa"/>
              <w:right w:w="80" w:type="dxa"/>
            </w:tcMar>
            <w:vAlign w:val="center"/>
          </w:tcPr>
          <w:p w14:paraId="2D447974" w14:textId="77777777" w:rsidR="00F72593" w:rsidRDefault="00000000" w:rsidP="00D41F32">
            <w:pPr>
              <w:pStyle w:val="TableText"/>
              <w:jc w:val="both"/>
            </w:pPr>
            <w:r>
              <w:rPr>
                <w:b/>
              </w:rPr>
              <w:t>Occupation / socioeconomic role</w:t>
            </w:r>
          </w:p>
        </w:tc>
        <w:tc>
          <w:tcPr>
            <w:tcW w:w="1560" w:type="dxa"/>
            <w:shd w:val="clear" w:color="auto" w:fill="E7E6E6"/>
            <w:tcMar>
              <w:top w:w="80" w:type="dxa"/>
              <w:left w:w="80" w:type="dxa"/>
              <w:bottom w:w="80" w:type="dxa"/>
              <w:right w:w="80" w:type="dxa"/>
            </w:tcMar>
            <w:vAlign w:val="center"/>
          </w:tcPr>
          <w:p w14:paraId="36F42C69" w14:textId="77777777" w:rsidR="00F72593" w:rsidRDefault="00000000" w:rsidP="00D41F32">
            <w:pPr>
              <w:pStyle w:val="TableText"/>
              <w:jc w:val="both"/>
            </w:pPr>
            <w:r>
              <w:rPr>
                <w:b/>
              </w:rPr>
              <w:t>Living children</w:t>
            </w:r>
          </w:p>
        </w:tc>
        <w:tc>
          <w:tcPr>
            <w:tcW w:w="1560" w:type="dxa"/>
            <w:shd w:val="clear" w:color="auto" w:fill="E7E6E6"/>
            <w:tcMar>
              <w:top w:w="80" w:type="dxa"/>
              <w:left w:w="80" w:type="dxa"/>
              <w:bottom w:w="80" w:type="dxa"/>
              <w:right w:w="80" w:type="dxa"/>
            </w:tcMar>
            <w:vAlign w:val="center"/>
          </w:tcPr>
          <w:p w14:paraId="505886BE" w14:textId="77777777" w:rsidR="00F72593" w:rsidRDefault="00000000" w:rsidP="00D41F32">
            <w:pPr>
              <w:pStyle w:val="TableText"/>
              <w:jc w:val="both"/>
            </w:pPr>
            <w:r>
              <w:rPr>
                <w:b/>
              </w:rPr>
              <w:t>Reproductive phase / dominant caregiving role</w:t>
            </w:r>
          </w:p>
        </w:tc>
        <w:tc>
          <w:tcPr>
            <w:tcW w:w="1560" w:type="dxa"/>
            <w:shd w:val="clear" w:color="auto" w:fill="E7E6E6"/>
            <w:tcMar>
              <w:top w:w="80" w:type="dxa"/>
              <w:left w:w="80" w:type="dxa"/>
              <w:bottom w:w="80" w:type="dxa"/>
              <w:right w:w="80" w:type="dxa"/>
            </w:tcMar>
            <w:vAlign w:val="center"/>
          </w:tcPr>
          <w:p w14:paraId="6F36159D" w14:textId="77777777" w:rsidR="00F72593" w:rsidRDefault="00000000" w:rsidP="00D41F32">
            <w:pPr>
              <w:pStyle w:val="TableText"/>
              <w:jc w:val="both"/>
            </w:pPr>
            <w:r>
              <w:rPr>
                <w:b/>
              </w:rPr>
              <w:t>Contraceptive status</w:t>
            </w:r>
          </w:p>
        </w:tc>
      </w:tr>
      <w:tr w:rsidR="00F72593" w14:paraId="5A9C49E3" w14:textId="77777777">
        <w:trPr>
          <w:cantSplit/>
          <w:jc w:val="center"/>
        </w:trPr>
        <w:tc>
          <w:tcPr>
            <w:tcW w:w="1560" w:type="dxa"/>
            <w:tcMar>
              <w:top w:w="80" w:type="dxa"/>
              <w:left w:w="80" w:type="dxa"/>
              <w:bottom w:w="80" w:type="dxa"/>
              <w:right w:w="80" w:type="dxa"/>
            </w:tcMar>
            <w:vAlign w:val="center"/>
          </w:tcPr>
          <w:p w14:paraId="4DF1F72E" w14:textId="77777777" w:rsidR="00F72593" w:rsidRDefault="00000000" w:rsidP="00D41F32">
            <w:pPr>
              <w:pStyle w:val="TableText"/>
              <w:jc w:val="both"/>
            </w:pPr>
            <w:r>
              <w:t>I1</w:t>
            </w:r>
          </w:p>
        </w:tc>
        <w:tc>
          <w:tcPr>
            <w:tcW w:w="1560" w:type="dxa"/>
            <w:tcMar>
              <w:top w:w="80" w:type="dxa"/>
              <w:left w:w="80" w:type="dxa"/>
              <w:bottom w:w="80" w:type="dxa"/>
              <w:right w:w="80" w:type="dxa"/>
            </w:tcMar>
            <w:vAlign w:val="center"/>
          </w:tcPr>
          <w:p w14:paraId="56A48FF4" w14:textId="77777777" w:rsidR="00F72593" w:rsidRDefault="00000000" w:rsidP="00D41F32">
            <w:pPr>
              <w:pStyle w:val="TableText"/>
              <w:jc w:val="both"/>
            </w:pPr>
            <w:r>
              <w:t>44</w:t>
            </w:r>
          </w:p>
        </w:tc>
        <w:tc>
          <w:tcPr>
            <w:tcW w:w="1560" w:type="dxa"/>
            <w:tcMar>
              <w:top w:w="80" w:type="dxa"/>
              <w:left w:w="80" w:type="dxa"/>
              <w:bottom w:w="80" w:type="dxa"/>
              <w:right w:w="80" w:type="dxa"/>
            </w:tcMar>
            <w:vAlign w:val="center"/>
          </w:tcPr>
          <w:p w14:paraId="0233613B" w14:textId="77777777" w:rsidR="00F72593" w:rsidRDefault="00000000" w:rsidP="00D41F32">
            <w:pPr>
              <w:pStyle w:val="TableText"/>
              <w:jc w:val="both"/>
            </w:pPr>
            <w:r>
              <w:t>Teacher / educator</w:t>
            </w:r>
          </w:p>
        </w:tc>
        <w:tc>
          <w:tcPr>
            <w:tcW w:w="1560" w:type="dxa"/>
            <w:tcMar>
              <w:top w:w="80" w:type="dxa"/>
              <w:left w:w="80" w:type="dxa"/>
              <w:bottom w:w="80" w:type="dxa"/>
              <w:right w:w="80" w:type="dxa"/>
            </w:tcMar>
            <w:vAlign w:val="center"/>
          </w:tcPr>
          <w:p w14:paraId="0825C2E5" w14:textId="77777777" w:rsidR="00F72593" w:rsidRDefault="00000000" w:rsidP="00D41F32">
            <w:pPr>
              <w:pStyle w:val="TableText"/>
              <w:jc w:val="both"/>
            </w:pPr>
            <w:r>
              <w:t>2</w:t>
            </w:r>
          </w:p>
        </w:tc>
        <w:tc>
          <w:tcPr>
            <w:tcW w:w="1560" w:type="dxa"/>
            <w:tcMar>
              <w:top w:w="80" w:type="dxa"/>
              <w:left w:w="80" w:type="dxa"/>
              <w:bottom w:w="80" w:type="dxa"/>
              <w:right w:w="80" w:type="dxa"/>
            </w:tcMar>
            <w:vAlign w:val="center"/>
          </w:tcPr>
          <w:p w14:paraId="2BB26FFC" w14:textId="77777777" w:rsidR="00F72593" w:rsidRDefault="00000000" w:rsidP="00D41F32">
            <w:pPr>
              <w:pStyle w:val="TableText"/>
              <w:jc w:val="both"/>
            </w:pPr>
            <w:r>
              <w:t>Perimenopause; care of adolescents</w:t>
            </w:r>
          </w:p>
        </w:tc>
        <w:tc>
          <w:tcPr>
            <w:tcW w:w="1560" w:type="dxa"/>
            <w:tcMar>
              <w:top w:w="80" w:type="dxa"/>
              <w:left w:w="80" w:type="dxa"/>
              <w:bottom w:w="80" w:type="dxa"/>
              <w:right w:w="80" w:type="dxa"/>
            </w:tcMar>
            <w:vAlign w:val="center"/>
          </w:tcPr>
          <w:p w14:paraId="777EE822" w14:textId="77777777" w:rsidR="00F72593" w:rsidRDefault="00000000" w:rsidP="00D41F32">
            <w:pPr>
              <w:pStyle w:val="TableText"/>
              <w:jc w:val="both"/>
            </w:pPr>
            <w:r>
              <w:t>Not applicable</w:t>
            </w:r>
          </w:p>
        </w:tc>
      </w:tr>
      <w:tr w:rsidR="00F72593" w14:paraId="59758640" w14:textId="77777777">
        <w:trPr>
          <w:cantSplit/>
          <w:jc w:val="center"/>
        </w:trPr>
        <w:tc>
          <w:tcPr>
            <w:tcW w:w="1560" w:type="dxa"/>
            <w:tcMar>
              <w:top w:w="80" w:type="dxa"/>
              <w:left w:w="80" w:type="dxa"/>
              <w:bottom w:w="80" w:type="dxa"/>
              <w:right w:w="80" w:type="dxa"/>
            </w:tcMar>
            <w:vAlign w:val="center"/>
          </w:tcPr>
          <w:p w14:paraId="38CB707E" w14:textId="77777777" w:rsidR="00F72593" w:rsidRDefault="00000000" w:rsidP="00D41F32">
            <w:pPr>
              <w:pStyle w:val="TableText"/>
              <w:jc w:val="both"/>
            </w:pPr>
            <w:r>
              <w:t>I2</w:t>
            </w:r>
          </w:p>
        </w:tc>
        <w:tc>
          <w:tcPr>
            <w:tcW w:w="1560" w:type="dxa"/>
            <w:tcMar>
              <w:top w:w="80" w:type="dxa"/>
              <w:left w:w="80" w:type="dxa"/>
              <w:bottom w:w="80" w:type="dxa"/>
              <w:right w:w="80" w:type="dxa"/>
            </w:tcMar>
            <w:vAlign w:val="center"/>
          </w:tcPr>
          <w:p w14:paraId="6FA7623E" w14:textId="77777777" w:rsidR="00F72593" w:rsidRDefault="00000000" w:rsidP="00D41F32">
            <w:pPr>
              <w:pStyle w:val="TableText"/>
              <w:jc w:val="both"/>
            </w:pPr>
            <w:r>
              <w:t>40</w:t>
            </w:r>
          </w:p>
        </w:tc>
        <w:tc>
          <w:tcPr>
            <w:tcW w:w="1560" w:type="dxa"/>
            <w:tcMar>
              <w:top w:w="80" w:type="dxa"/>
              <w:left w:w="80" w:type="dxa"/>
              <w:bottom w:w="80" w:type="dxa"/>
              <w:right w:w="80" w:type="dxa"/>
            </w:tcMar>
            <w:vAlign w:val="center"/>
          </w:tcPr>
          <w:p w14:paraId="0370E7E0" w14:textId="77777777" w:rsidR="00F72593" w:rsidRDefault="00000000" w:rsidP="00D41F32">
            <w:pPr>
              <w:pStyle w:val="TableText"/>
              <w:jc w:val="both"/>
            </w:pPr>
            <w:r>
              <w:t>Housewife</w:t>
            </w:r>
          </w:p>
        </w:tc>
        <w:tc>
          <w:tcPr>
            <w:tcW w:w="1560" w:type="dxa"/>
            <w:tcMar>
              <w:top w:w="80" w:type="dxa"/>
              <w:left w:w="80" w:type="dxa"/>
              <w:bottom w:w="80" w:type="dxa"/>
              <w:right w:w="80" w:type="dxa"/>
            </w:tcMar>
            <w:vAlign w:val="center"/>
          </w:tcPr>
          <w:p w14:paraId="1D7C3FE3" w14:textId="77777777" w:rsidR="00F72593" w:rsidRDefault="00000000" w:rsidP="00D41F32">
            <w:pPr>
              <w:pStyle w:val="TableText"/>
              <w:jc w:val="both"/>
            </w:pPr>
            <w:r>
              <w:t>1</w:t>
            </w:r>
          </w:p>
        </w:tc>
        <w:tc>
          <w:tcPr>
            <w:tcW w:w="1560" w:type="dxa"/>
            <w:tcMar>
              <w:top w:w="80" w:type="dxa"/>
              <w:left w:w="80" w:type="dxa"/>
              <w:bottom w:w="80" w:type="dxa"/>
              <w:right w:w="80" w:type="dxa"/>
            </w:tcMar>
            <w:vAlign w:val="center"/>
          </w:tcPr>
          <w:p w14:paraId="42ABB431" w14:textId="77777777" w:rsidR="00F72593" w:rsidRDefault="00000000" w:rsidP="00D41F32">
            <w:pPr>
              <w:pStyle w:val="TableText"/>
              <w:jc w:val="both"/>
            </w:pPr>
            <w:r>
              <w:t>Care of toddler</w:t>
            </w:r>
          </w:p>
        </w:tc>
        <w:tc>
          <w:tcPr>
            <w:tcW w:w="1560" w:type="dxa"/>
            <w:tcMar>
              <w:top w:w="80" w:type="dxa"/>
              <w:left w:w="80" w:type="dxa"/>
              <w:bottom w:w="80" w:type="dxa"/>
              <w:right w:w="80" w:type="dxa"/>
            </w:tcMar>
            <w:vAlign w:val="center"/>
          </w:tcPr>
          <w:p w14:paraId="502C95A4" w14:textId="77777777" w:rsidR="00F72593" w:rsidRDefault="00000000" w:rsidP="00D41F32">
            <w:pPr>
              <w:pStyle w:val="TableText"/>
              <w:jc w:val="both"/>
            </w:pPr>
            <w:r>
              <w:t>Not used</w:t>
            </w:r>
          </w:p>
        </w:tc>
      </w:tr>
      <w:tr w:rsidR="00F72593" w14:paraId="36E81459" w14:textId="77777777">
        <w:trPr>
          <w:cantSplit/>
          <w:jc w:val="center"/>
        </w:trPr>
        <w:tc>
          <w:tcPr>
            <w:tcW w:w="1560" w:type="dxa"/>
            <w:tcMar>
              <w:top w:w="80" w:type="dxa"/>
              <w:left w:w="80" w:type="dxa"/>
              <w:bottom w:w="80" w:type="dxa"/>
              <w:right w:w="80" w:type="dxa"/>
            </w:tcMar>
            <w:vAlign w:val="center"/>
          </w:tcPr>
          <w:p w14:paraId="0CAC1EA5" w14:textId="77777777" w:rsidR="00F72593" w:rsidRDefault="00000000" w:rsidP="00D41F32">
            <w:pPr>
              <w:pStyle w:val="TableText"/>
              <w:jc w:val="both"/>
            </w:pPr>
            <w:r>
              <w:t>I3</w:t>
            </w:r>
          </w:p>
        </w:tc>
        <w:tc>
          <w:tcPr>
            <w:tcW w:w="1560" w:type="dxa"/>
            <w:tcMar>
              <w:top w:w="80" w:type="dxa"/>
              <w:left w:w="80" w:type="dxa"/>
              <w:bottom w:w="80" w:type="dxa"/>
              <w:right w:w="80" w:type="dxa"/>
            </w:tcMar>
            <w:vAlign w:val="center"/>
          </w:tcPr>
          <w:p w14:paraId="422047CE" w14:textId="77777777" w:rsidR="00F72593" w:rsidRDefault="00000000" w:rsidP="00D41F32">
            <w:pPr>
              <w:pStyle w:val="TableText"/>
              <w:jc w:val="both"/>
            </w:pPr>
            <w:r>
              <w:t>41</w:t>
            </w:r>
          </w:p>
        </w:tc>
        <w:tc>
          <w:tcPr>
            <w:tcW w:w="1560" w:type="dxa"/>
            <w:tcMar>
              <w:top w:w="80" w:type="dxa"/>
              <w:left w:w="80" w:type="dxa"/>
              <w:bottom w:w="80" w:type="dxa"/>
              <w:right w:w="80" w:type="dxa"/>
            </w:tcMar>
            <w:vAlign w:val="center"/>
          </w:tcPr>
          <w:p w14:paraId="6B6F7596" w14:textId="77777777" w:rsidR="00F72593" w:rsidRDefault="00000000" w:rsidP="00D41F32">
            <w:pPr>
              <w:pStyle w:val="TableText"/>
              <w:jc w:val="both"/>
            </w:pPr>
            <w:r>
              <w:t>Market vendor</w:t>
            </w:r>
          </w:p>
        </w:tc>
        <w:tc>
          <w:tcPr>
            <w:tcW w:w="1560" w:type="dxa"/>
            <w:tcMar>
              <w:top w:w="80" w:type="dxa"/>
              <w:left w:w="80" w:type="dxa"/>
              <w:bottom w:w="80" w:type="dxa"/>
              <w:right w:w="80" w:type="dxa"/>
            </w:tcMar>
            <w:vAlign w:val="center"/>
          </w:tcPr>
          <w:p w14:paraId="2DFEEDD6" w14:textId="77777777" w:rsidR="00F72593" w:rsidRDefault="00000000" w:rsidP="00D41F32">
            <w:pPr>
              <w:pStyle w:val="TableText"/>
              <w:jc w:val="both"/>
            </w:pPr>
            <w:r>
              <w:t>2</w:t>
            </w:r>
          </w:p>
        </w:tc>
        <w:tc>
          <w:tcPr>
            <w:tcW w:w="1560" w:type="dxa"/>
            <w:tcMar>
              <w:top w:w="80" w:type="dxa"/>
              <w:left w:w="80" w:type="dxa"/>
              <w:bottom w:w="80" w:type="dxa"/>
              <w:right w:w="80" w:type="dxa"/>
            </w:tcMar>
            <w:vAlign w:val="center"/>
          </w:tcPr>
          <w:p w14:paraId="27F6E56A" w14:textId="77777777" w:rsidR="00F72593" w:rsidRDefault="00000000" w:rsidP="00D41F32">
            <w:pPr>
              <w:pStyle w:val="TableText"/>
              <w:jc w:val="both"/>
            </w:pPr>
            <w:r>
              <w:t>Care of school-age children and adolescents</w:t>
            </w:r>
          </w:p>
        </w:tc>
        <w:tc>
          <w:tcPr>
            <w:tcW w:w="1560" w:type="dxa"/>
            <w:tcMar>
              <w:top w:w="80" w:type="dxa"/>
              <w:left w:w="80" w:type="dxa"/>
              <w:bottom w:w="80" w:type="dxa"/>
              <w:right w:w="80" w:type="dxa"/>
            </w:tcMar>
            <w:vAlign w:val="center"/>
          </w:tcPr>
          <w:p w14:paraId="45CBCF9A" w14:textId="77777777" w:rsidR="00F72593" w:rsidRDefault="00000000" w:rsidP="00D41F32">
            <w:pPr>
              <w:pStyle w:val="TableText"/>
              <w:jc w:val="both"/>
            </w:pPr>
            <w:r>
              <w:t>IUD</w:t>
            </w:r>
          </w:p>
        </w:tc>
      </w:tr>
      <w:tr w:rsidR="00F72593" w14:paraId="5FAAEA97" w14:textId="77777777">
        <w:trPr>
          <w:cantSplit/>
          <w:jc w:val="center"/>
        </w:trPr>
        <w:tc>
          <w:tcPr>
            <w:tcW w:w="1560" w:type="dxa"/>
            <w:tcMar>
              <w:top w:w="80" w:type="dxa"/>
              <w:left w:w="80" w:type="dxa"/>
              <w:bottom w:w="80" w:type="dxa"/>
              <w:right w:w="80" w:type="dxa"/>
            </w:tcMar>
            <w:vAlign w:val="center"/>
          </w:tcPr>
          <w:p w14:paraId="0061662A" w14:textId="77777777" w:rsidR="00F72593" w:rsidRDefault="00000000" w:rsidP="00D41F32">
            <w:pPr>
              <w:pStyle w:val="TableText"/>
              <w:jc w:val="both"/>
            </w:pPr>
            <w:r>
              <w:t>I4</w:t>
            </w:r>
          </w:p>
        </w:tc>
        <w:tc>
          <w:tcPr>
            <w:tcW w:w="1560" w:type="dxa"/>
            <w:tcMar>
              <w:top w:w="80" w:type="dxa"/>
              <w:left w:w="80" w:type="dxa"/>
              <w:bottom w:w="80" w:type="dxa"/>
              <w:right w:w="80" w:type="dxa"/>
            </w:tcMar>
            <w:vAlign w:val="center"/>
          </w:tcPr>
          <w:p w14:paraId="339905D7" w14:textId="77777777" w:rsidR="00F72593" w:rsidRDefault="00000000" w:rsidP="00D41F32">
            <w:pPr>
              <w:pStyle w:val="TableText"/>
              <w:jc w:val="both"/>
            </w:pPr>
            <w:r>
              <w:t>29</w:t>
            </w:r>
          </w:p>
        </w:tc>
        <w:tc>
          <w:tcPr>
            <w:tcW w:w="1560" w:type="dxa"/>
            <w:tcMar>
              <w:top w:w="80" w:type="dxa"/>
              <w:left w:w="80" w:type="dxa"/>
              <w:bottom w:w="80" w:type="dxa"/>
              <w:right w:w="80" w:type="dxa"/>
            </w:tcMar>
            <w:vAlign w:val="center"/>
          </w:tcPr>
          <w:p w14:paraId="1081E5DF" w14:textId="77777777" w:rsidR="00F72593" w:rsidRDefault="00000000" w:rsidP="00D41F32">
            <w:pPr>
              <w:pStyle w:val="TableText"/>
              <w:jc w:val="both"/>
            </w:pPr>
            <w:r>
              <w:t>Farmer / farm worker</w:t>
            </w:r>
          </w:p>
        </w:tc>
        <w:tc>
          <w:tcPr>
            <w:tcW w:w="1560" w:type="dxa"/>
            <w:tcMar>
              <w:top w:w="80" w:type="dxa"/>
              <w:left w:w="80" w:type="dxa"/>
              <w:bottom w:w="80" w:type="dxa"/>
              <w:right w:w="80" w:type="dxa"/>
            </w:tcMar>
            <w:vAlign w:val="center"/>
          </w:tcPr>
          <w:p w14:paraId="625C58ED" w14:textId="77777777" w:rsidR="00F72593" w:rsidRDefault="00000000" w:rsidP="00D41F32">
            <w:pPr>
              <w:pStyle w:val="TableText"/>
              <w:jc w:val="both"/>
            </w:pPr>
            <w:r>
              <w:t>1</w:t>
            </w:r>
          </w:p>
        </w:tc>
        <w:tc>
          <w:tcPr>
            <w:tcW w:w="1560" w:type="dxa"/>
            <w:tcMar>
              <w:top w:w="80" w:type="dxa"/>
              <w:left w:w="80" w:type="dxa"/>
              <w:bottom w:w="80" w:type="dxa"/>
              <w:right w:w="80" w:type="dxa"/>
            </w:tcMar>
            <w:vAlign w:val="center"/>
          </w:tcPr>
          <w:p w14:paraId="0BCC6FCA" w14:textId="77777777" w:rsidR="00F72593" w:rsidRDefault="00000000" w:rsidP="00D41F32">
            <w:pPr>
              <w:pStyle w:val="TableText"/>
              <w:jc w:val="both"/>
            </w:pPr>
            <w:r>
              <w:t>Third-trimester pregnancy; high-risk pregnancy</w:t>
            </w:r>
          </w:p>
        </w:tc>
        <w:tc>
          <w:tcPr>
            <w:tcW w:w="1560" w:type="dxa"/>
            <w:tcMar>
              <w:top w:w="80" w:type="dxa"/>
              <w:left w:w="80" w:type="dxa"/>
              <w:bottom w:w="80" w:type="dxa"/>
              <w:right w:w="80" w:type="dxa"/>
            </w:tcMar>
            <w:vAlign w:val="center"/>
          </w:tcPr>
          <w:p w14:paraId="3CE95D3E" w14:textId="77777777" w:rsidR="00F72593" w:rsidRDefault="00000000" w:rsidP="00D41F32">
            <w:pPr>
              <w:pStyle w:val="TableText"/>
              <w:jc w:val="both"/>
            </w:pPr>
            <w:r>
              <w:t>Not applicable</w:t>
            </w:r>
          </w:p>
        </w:tc>
      </w:tr>
      <w:tr w:rsidR="00F72593" w14:paraId="2C715AE2" w14:textId="77777777">
        <w:trPr>
          <w:cantSplit/>
          <w:jc w:val="center"/>
        </w:trPr>
        <w:tc>
          <w:tcPr>
            <w:tcW w:w="1560" w:type="dxa"/>
            <w:tcMar>
              <w:top w:w="80" w:type="dxa"/>
              <w:left w:w="80" w:type="dxa"/>
              <w:bottom w:w="80" w:type="dxa"/>
              <w:right w:w="80" w:type="dxa"/>
            </w:tcMar>
            <w:vAlign w:val="center"/>
          </w:tcPr>
          <w:p w14:paraId="3AF67F3E" w14:textId="77777777" w:rsidR="00F72593" w:rsidRDefault="00000000" w:rsidP="00D41F32">
            <w:pPr>
              <w:pStyle w:val="TableText"/>
              <w:jc w:val="both"/>
            </w:pPr>
            <w:r>
              <w:t>I5</w:t>
            </w:r>
          </w:p>
        </w:tc>
        <w:tc>
          <w:tcPr>
            <w:tcW w:w="1560" w:type="dxa"/>
            <w:tcMar>
              <w:top w:w="80" w:type="dxa"/>
              <w:left w:w="80" w:type="dxa"/>
              <w:bottom w:w="80" w:type="dxa"/>
              <w:right w:w="80" w:type="dxa"/>
            </w:tcMar>
            <w:vAlign w:val="center"/>
          </w:tcPr>
          <w:p w14:paraId="1D7C45F1" w14:textId="77777777" w:rsidR="00F72593" w:rsidRDefault="00000000" w:rsidP="00D41F32">
            <w:pPr>
              <w:pStyle w:val="TableText"/>
              <w:jc w:val="both"/>
            </w:pPr>
            <w:r>
              <w:t>33</w:t>
            </w:r>
          </w:p>
        </w:tc>
        <w:tc>
          <w:tcPr>
            <w:tcW w:w="1560" w:type="dxa"/>
            <w:tcMar>
              <w:top w:w="80" w:type="dxa"/>
              <w:left w:w="80" w:type="dxa"/>
              <w:bottom w:w="80" w:type="dxa"/>
              <w:right w:w="80" w:type="dxa"/>
            </w:tcMar>
            <w:vAlign w:val="center"/>
          </w:tcPr>
          <w:p w14:paraId="4393EEEA" w14:textId="77777777" w:rsidR="00F72593" w:rsidRDefault="00000000" w:rsidP="00D41F32">
            <w:pPr>
              <w:pStyle w:val="TableText"/>
              <w:jc w:val="both"/>
            </w:pPr>
            <w:r>
              <w:t>Housewife</w:t>
            </w:r>
          </w:p>
        </w:tc>
        <w:tc>
          <w:tcPr>
            <w:tcW w:w="1560" w:type="dxa"/>
            <w:tcMar>
              <w:top w:w="80" w:type="dxa"/>
              <w:left w:w="80" w:type="dxa"/>
              <w:bottom w:w="80" w:type="dxa"/>
              <w:right w:w="80" w:type="dxa"/>
            </w:tcMar>
            <w:vAlign w:val="center"/>
          </w:tcPr>
          <w:p w14:paraId="1D4161F9" w14:textId="77777777" w:rsidR="00F72593" w:rsidRDefault="00000000" w:rsidP="00D41F32">
            <w:pPr>
              <w:pStyle w:val="TableText"/>
              <w:jc w:val="both"/>
            </w:pPr>
            <w:r>
              <w:t>3</w:t>
            </w:r>
          </w:p>
        </w:tc>
        <w:tc>
          <w:tcPr>
            <w:tcW w:w="1560" w:type="dxa"/>
            <w:tcMar>
              <w:top w:w="80" w:type="dxa"/>
              <w:left w:w="80" w:type="dxa"/>
              <w:bottom w:w="80" w:type="dxa"/>
              <w:right w:w="80" w:type="dxa"/>
            </w:tcMar>
            <w:vAlign w:val="center"/>
          </w:tcPr>
          <w:p w14:paraId="70585490" w14:textId="77777777" w:rsidR="00F72593" w:rsidRDefault="00000000" w:rsidP="00D41F32">
            <w:pPr>
              <w:pStyle w:val="TableText"/>
              <w:jc w:val="both"/>
            </w:pPr>
            <w:r>
              <w:t>Menstruation; breastfeeding; care of toddlers and school-age children</w:t>
            </w:r>
          </w:p>
        </w:tc>
        <w:tc>
          <w:tcPr>
            <w:tcW w:w="1560" w:type="dxa"/>
            <w:tcMar>
              <w:top w:w="80" w:type="dxa"/>
              <w:left w:w="80" w:type="dxa"/>
              <w:bottom w:w="80" w:type="dxa"/>
              <w:right w:w="80" w:type="dxa"/>
            </w:tcMar>
            <w:vAlign w:val="center"/>
          </w:tcPr>
          <w:p w14:paraId="07B1009E" w14:textId="77777777" w:rsidR="00F72593" w:rsidRDefault="00000000" w:rsidP="00D41F32">
            <w:pPr>
              <w:pStyle w:val="TableText"/>
              <w:jc w:val="both"/>
            </w:pPr>
            <w:r>
              <w:t>Not used</w:t>
            </w:r>
          </w:p>
        </w:tc>
      </w:tr>
      <w:tr w:rsidR="00F72593" w14:paraId="573C4165" w14:textId="77777777">
        <w:trPr>
          <w:cantSplit/>
          <w:jc w:val="center"/>
        </w:trPr>
        <w:tc>
          <w:tcPr>
            <w:tcW w:w="1560" w:type="dxa"/>
            <w:tcMar>
              <w:top w:w="80" w:type="dxa"/>
              <w:left w:w="80" w:type="dxa"/>
              <w:bottom w:w="80" w:type="dxa"/>
              <w:right w:w="80" w:type="dxa"/>
            </w:tcMar>
            <w:vAlign w:val="center"/>
          </w:tcPr>
          <w:p w14:paraId="13B84D65" w14:textId="77777777" w:rsidR="00F72593" w:rsidRDefault="00000000" w:rsidP="00D41F32">
            <w:pPr>
              <w:pStyle w:val="TableText"/>
              <w:jc w:val="both"/>
            </w:pPr>
            <w:r>
              <w:t>I6</w:t>
            </w:r>
          </w:p>
        </w:tc>
        <w:tc>
          <w:tcPr>
            <w:tcW w:w="1560" w:type="dxa"/>
            <w:tcMar>
              <w:top w:w="80" w:type="dxa"/>
              <w:left w:w="80" w:type="dxa"/>
              <w:bottom w:w="80" w:type="dxa"/>
              <w:right w:w="80" w:type="dxa"/>
            </w:tcMar>
            <w:vAlign w:val="center"/>
          </w:tcPr>
          <w:p w14:paraId="207DE57F" w14:textId="77777777" w:rsidR="00F72593" w:rsidRDefault="00000000" w:rsidP="00D41F32">
            <w:pPr>
              <w:pStyle w:val="TableText"/>
              <w:jc w:val="both"/>
            </w:pPr>
            <w:r>
              <w:t>43</w:t>
            </w:r>
          </w:p>
        </w:tc>
        <w:tc>
          <w:tcPr>
            <w:tcW w:w="1560" w:type="dxa"/>
            <w:tcMar>
              <w:top w:w="80" w:type="dxa"/>
              <w:left w:w="80" w:type="dxa"/>
              <w:bottom w:w="80" w:type="dxa"/>
              <w:right w:w="80" w:type="dxa"/>
            </w:tcMar>
            <w:vAlign w:val="center"/>
          </w:tcPr>
          <w:p w14:paraId="18DA0FC2" w14:textId="77777777" w:rsidR="00F72593" w:rsidRDefault="00000000" w:rsidP="00D41F32">
            <w:pPr>
              <w:pStyle w:val="TableText"/>
              <w:jc w:val="both"/>
            </w:pPr>
            <w:r>
              <w:t>Housewife</w:t>
            </w:r>
          </w:p>
        </w:tc>
        <w:tc>
          <w:tcPr>
            <w:tcW w:w="1560" w:type="dxa"/>
            <w:tcMar>
              <w:top w:w="80" w:type="dxa"/>
              <w:left w:w="80" w:type="dxa"/>
              <w:bottom w:w="80" w:type="dxa"/>
              <w:right w:w="80" w:type="dxa"/>
            </w:tcMar>
            <w:vAlign w:val="center"/>
          </w:tcPr>
          <w:p w14:paraId="009B380F" w14:textId="77777777" w:rsidR="00F72593" w:rsidRDefault="00000000" w:rsidP="00D41F32">
            <w:pPr>
              <w:pStyle w:val="TableText"/>
              <w:jc w:val="both"/>
            </w:pPr>
            <w:r>
              <w:t>2</w:t>
            </w:r>
          </w:p>
        </w:tc>
        <w:tc>
          <w:tcPr>
            <w:tcW w:w="1560" w:type="dxa"/>
            <w:tcMar>
              <w:top w:w="80" w:type="dxa"/>
              <w:left w:w="80" w:type="dxa"/>
              <w:bottom w:w="80" w:type="dxa"/>
              <w:right w:w="80" w:type="dxa"/>
            </w:tcMar>
            <w:vAlign w:val="center"/>
          </w:tcPr>
          <w:p w14:paraId="5DC23BDD" w14:textId="77777777" w:rsidR="00F72593" w:rsidRDefault="00000000" w:rsidP="00D41F32">
            <w:pPr>
              <w:pStyle w:val="TableText"/>
              <w:jc w:val="both"/>
            </w:pPr>
            <w:r>
              <w:t>Care of school-age children</w:t>
            </w:r>
          </w:p>
        </w:tc>
        <w:tc>
          <w:tcPr>
            <w:tcW w:w="1560" w:type="dxa"/>
            <w:tcMar>
              <w:top w:w="80" w:type="dxa"/>
              <w:left w:w="80" w:type="dxa"/>
              <w:bottom w:w="80" w:type="dxa"/>
              <w:right w:w="80" w:type="dxa"/>
            </w:tcMar>
            <w:vAlign w:val="center"/>
          </w:tcPr>
          <w:p w14:paraId="7F7F71C3" w14:textId="77777777" w:rsidR="00F72593" w:rsidRDefault="00000000" w:rsidP="00D41F32">
            <w:pPr>
              <w:pStyle w:val="TableText"/>
              <w:jc w:val="both"/>
            </w:pPr>
            <w:r>
              <w:t>3-month injectable contraceptive</w:t>
            </w:r>
          </w:p>
        </w:tc>
      </w:tr>
      <w:tr w:rsidR="00F72593" w14:paraId="34BAA887" w14:textId="77777777">
        <w:trPr>
          <w:cantSplit/>
          <w:jc w:val="center"/>
        </w:trPr>
        <w:tc>
          <w:tcPr>
            <w:tcW w:w="1560" w:type="dxa"/>
            <w:tcMar>
              <w:top w:w="80" w:type="dxa"/>
              <w:left w:w="80" w:type="dxa"/>
              <w:bottom w:w="80" w:type="dxa"/>
              <w:right w:w="80" w:type="dxa"/>
            </w:tcMar>
            <w:vAlign w:val="center"/>
          </w:tcPr>
          <w:p w14:paraId="3DA5ADC3" w14:textId="77777777" w:rsidR="00F72593" w:rsidRDefault="00000000" w:rsidP="00D41F32">
            <w:pPr>
              <w:pStyle w:val="TableText"/>
              <w:jc w:val="both"/>
            </w:pPr>
            <w:r>
              <w:t>I7</w:t>
            </w:r>
          </w:p>
        </w:tc>
        <w:tc>
          <w:tcPr>
            <w:tcW w:w="1560" w:type="dxa"/>
            <w:tcMar>
              <w:top w:w="80" w:type="dxa"/>
              <w:left w:w="80" w:type="dxa"/>
              <w:bottom w:w="80" w:type="dxa"/>
              <w:right w:w="80" w:type="dxa"/>
            </w:tcMar>
            <w:vAlign w:val="center"/>
          </w:tcPr>
          <w:p w14:paraId="1807E52A" w14:textId="77777777" w:rsidR="00F72593" w:rsidRDefault="00000000" w:rsidP="00D41F32">
            <w:pPr>
              <w:pStyle w:val="TableText"/>
              <w:jc w:val="both"/>
            </w:pPr>
            <w:r>
              <w:t>38</w:t>
            </w:r>
          </w:p>
        </w:tc>
        <w:tc>
          <w:tcPr>
            <w:tcW w:w="1560" w:type="dxa"/>
            <w:tcMar>
              <w:top w:w="80" w:type="dxa"/>
              <w:left w:w="80" w:type="dxa"/>
              <w:bottom w:w="80" w:type="dxa"/>
              <w:right w:w="80" w:type="dxa"/>
            </w:tcMar>
            <w:vAlign w:val="center"/>
          </w:tcPr>
          <w:p w14:paraId="01EF2F23" w14:textId="77777777" w:rsidR="00F72593" w:rsidRDefault="00000000" w:rsidP="00D41F32">
            <w:pPr>
              <w:pStyle w:val="TableText"/>
              <w:jc w:val="both"/>
            </w:pPr>
            <w:r>
              <w:t>Farmer</w:t>
            </w:r>
          </w:p>
        </w:tc>
        <w:tc>
          <w:tcPr>
            <w:tcW w:w="1560" w:type="dxa"/>
            <w:tcMar>
              <w:top w:w="80" w:type="dxa"/>
              <w:left w:w="80" w:type="dxa"/>
              <w:bottom w:w="80" w:type="dxa"/>
              <w:right w:w="80" w:type="dxa"/>
            </w:tcMar>
            <w:vAlign w:val="center"/>
          </w:tcPr>
          <w:p w14:paraId="4FF01201" w14:textId="77777777" w:rsidR="00F72593" w:rsidRDefault="00000000" w:rsidP="00D41F32">
            <w:pPr>
              <w:pStyle w:val="TableText"/>
              <w:jc w:val="both"/>
            </w:pPr>
            <w:r>
              <w:t>3</w:t>
            </w:r>
          </w:p>
        </w:tc>
        <w:tc>
          <w:tcPr>
            <w:tcW w:w="1560" w:type="dxa"/>
            <w:tcMar>
              <w:top w:w="80" w:type="dxa"/>
              <w:left w:w="80" w:type="dxa"/>
              <w:bottom w:w="80" w:type="dxa"/>
              <w:right w:w="80" w:type="dxa"/>
            </w:tcMar>
            <w:vAlign w:val="center"/>
          </w:tcPr>
          <w:p w14:paraId="47EF845C" w14:textId="77777777" w:rsidR="00F72593" w:rsidRDefault="00000000" w:rsidP="00D41F32">
            <w:pPr>
              <w:pStyle w:val="TableText"/>
              <w:jc w:val="both"/>
            </w:pPr>
            <w:r>
              <w:t>Breastfeeding; care of infant, toddler, and school-age children</w:t>
            </w:r>
          </w:p>
        </w:tc>
        <w:tc>
          <w:tcPr>
            <w:tcW w:w="1560" w:type="dxa"/>
            <w:tcMar>
              <w:top w:w="80" w:type="dxa"/>
              <w:left w:w="80" w:type="dxa"/>
              <w:bottom w:w="80" w:type="dxa"/>
              <w:right w:w="80" w:type="dxa"/>
            </w:tcMar>
            <w:vAlign w:val="center"/>
          </w:tcPr>
          <w:p w14:paraId="4AB59FA7" w14:textId="77777777" w:rsidR="00F72593" w:rsidRDefault="00000000" w:rsidP="00D41F32">
            <w:pPr>
              <w:pStyle w:val="TableText"/>
              <w:jc w:val="both"/>
            </w:pPr>
            <w:r>
              <w:t>3-month injectable contraceptive</w:t>
            </w:r>
          </w:p>
        </w:tc>
      </w:tr>
      <w:tr w:rsidR="00F72593" w14:paraId="011B4720" w14:textId="77777777">
        <w:trPr>
          <w:cantSplit/>
          <w:jc w:val="center"/>
        </w:trPr>
        <w:tc>
          <w:tcPr>
            <w:tcW w:w="1560" w:type="dxa"/>
            <w:tcMar>
              <w:top w:w="80" w:type="dxa"/>
              <w:left w:w="80" w:type="dxa"/>
              <w:bottom w:w="80" w:type="dxa"/>
              <w:right w:w="80" w:type="dxa"/>
            </w:tcMar>
            <w:vAlign w:val="center"/>
          </w:tcPr>
          <w:p w14:paraId="77E01B3B" w14:textId="77777777" w:rsidR="00F72593" w:rsidRDefault="00000000" w:rsidP="00D41F32">
            <w:pPr>
              <w:pStyle w:val="TableText"/>
              <w:jc w:val="both"/>
            </w:pPr>
            <w:r>
              <w:t>I8</w:t>
            </w:r>
          </w:p>
        </w:tc>
        <w:tc>
          <w:tcPr>
            <w:tcW w:w="1560" w:type="dxa"/>
            <w:tcMar>
              <w:top w:w="80" w:type="dxa"/>
              <w:left w:w="80" w:type="dxa"/>
              <w:bottom w:w="80" w:type="dxa"/>
              <w:right w:w="80" w:type="dxa"/>
            </w:tcMar>
            <w:vAlign w:val="center"/>
          </w:tcPr>
          <w:p w14:paraId="6B819E9E" w14:textId="77777777" w:rsidR="00F72593" w:rsidRDefault="00000000" w:rsidP="00D41F32">
            <w:pPr>
              <w:pStyle w:val="TableText"/>
              <w:jc w:val="both"/>
            </w:pPr>
            <w:r>
              <w:t>38</w:t>
            </w:r>
          </w:p>
        </w:tc>
        <w:tc>
          <w:tcPr>
            <w:tcW w:w="1560" w:type="dxa"/>
            <w:tcMar>
              <w:top w:w="80" w:type="dxa"/>
              <w:left w:w="80" w:type="dxa"/>
              <w:bottom w:w="80" w:type="dxa"/>
              <w:right w:w="80" w:type="dxa"/>
            </w:tcMar>
            <w:vAlign w:val="center"/>
          </w:tcPr>
          <w:p w14:paraId="66AEFAB9" w14:textId="77777777" w:rsidR="00F72593" w:rsidRDefault="00000000" w:rsidP="00D41F32">
            <w:pPr>
              <w:pStyle w:val="TableText"/>
              <w:jc w:val="both"/>
            </w:pPr>
            <w:r>
              <w:t>Housewife</w:t>
            </w:r>
          </w:p>
        </w:tc>
        <w:tc>
          <w:tcPr>
            <w:tcW w:w="1560" w:type="dxa"/>
            <w:tcMar>
              <w:top w:w="80" w:type="dxa"/>
              <w:left w:w="80" w:type="dxa"/>
              <w:bottom w:w="80" w:type="dxa"/>
              <w:right w:w="80" w:type="dxa"/>
            </w:tcMar>
            <w:vAlign w:val="center"/>
          </w:tcPr>
          <w:p w14:paraId="61D577A0" w14:textId="77777777" w:rsidR="00F72593" w:rsidRDefault="00000000" w:rsidP="00D41F32">
            <w:pPr>
              <w:pStyle w:val="TableText"/>
              <w:jc w:val="both"/>
            </w:pPr>
            <w:r>
              <w:t>2</w:t>
            </w:r>
          </w:p>
        </w:tc>
        <w:tc>
          <w:tcPr>
            <w:tcW w:w="1560" w:type="dxa"/>
            <w:tcMar>
              <w:top w:w="80" w:type="dxa"/>
              <w:left w:w="80" w:type="dxa"/>
              <w:bottom w:w="80" w:type="dxa"/>
              <w:right w:w="80" w:type="dxa"/>
            </w:tcMar>
            <w:vAlign w:val="center"/>
          </w:tcPr>
          <w:p w14:paraId="555B2EF5" w14:textId="77777777" w:rsidR="00F72593" w:rsidRDefault="00000000" w:rsidP="00D41F32">
            <w:pPr>
              <w:pStyle w:val="TableText"/>
              <w:jc w:val="both"/>
            </w:pPr>
            <w:r>
              <w:t>Breastfeeding; care of toddlers and school-age children</w:t>
            </w:r>
          </w:p>
        </w:tc>
        <w:tc>
          <w:tcPr>
            <w:tcW w:w="1560" w:type="dxa"/>
            <w:tcMar>
              <w:top w:w="80" w:type="dxa"/>
              <w:left w:w="80" w:type="dxa"/>
              <w:bottom w:w="80" w:type="dxa"/>
              <w:right w:w="80" w:type="dxa"/>
            </w:tcMar>
            <w:vAlign w:val="center"/>
          </w:tcPr>
          <w:p w14:paraId="2625542F" w14:textId="77777777" w:rsidR="00F72593" w:rsidRDefault="00000000" w:rsidP="00D41F32">
            <w:pPr>
              <w:pStyle w:val="TableText"/>
              <w:jc w:val="both"/>
            </w:pPr>
            <w:r>
              <w:t>Not used</w:t>
            </w:r>
          </w:p>
        </w:tc>
      </w:tr>
      <w:tr w:rsidR="00F72593" w14:paraId="5B40487A" w14:textId="77777777">
        <w:trPr>
          <w:cantSplit/>
          <w:jc w:val="center"/>
        </w:trPr>
        <w:tc>
          <w:tcPr>
            <w:tcW w:w="1560" w:type="dxa"/>
            <w:tcMar>
              <w:top w:w="80" w:type="dxa"/>
              <w:left w:w="80" w:type="dxa"/>
              <w:bottom w:w="80" w:type="dxa"/>
              <w:right w:w="80" w:type="dxa"/>
            </w:tcMar>
            <w:vAlign w:val="center"/>
          </w:tcPr>
          <w:p w14:paraId="0E844502" w14:textId="77777777" w:rsidR="00F72593" w:rsidRDefault="00000000" w:rsidP="00D41F32">
            <w:pPr>
              <w:pStyle w:val="TableText"/>
              <w:jc w:val="both"/>
            </w:pPr>
            <w:r>
              <w:lastRenderedPageBreak/>
              <w:t>I9</w:t>
            </w:r>
          </w:p>
        </w:tc>
        <w:tc>
          <w:tcPr>
            <w:tcW w:w="1560" w:type="dxa"/>
            <w:tcMar>
              <w:top w:w="80" w:type="dxa"/>
              <w:left w:w="80" w:type="dxa"/>
              <w:bottom w:w="80" w:type="dxa"/>
              <w:right w:w="80" w:type="dxa"/>
            </w:tcMar>
            <w:vAlign w:val="center"/>
          </w:tcPr>
          <w:p w14:paraId="035821EB" w14:textId="77777777" w:rsidR="00F72593" w:rsidRDefault="00000000" w:rsidP="00D41F32">
            <w:pPr>
              <w:pStyle w:val="TableText"/>
              <w:jc w:val="both"/>
            </w:pPr>
            <w:r>
              <w:t>33</w:t>
            </w:r>
          </w:p>
        </w:tc>
        <w:tc>
          <w:tcPr>
            <w:tcW w:w="1560" w:type="dxa"/>
            <w:tcMar>
              <w:top w:w="80" w:type="dxa"/>
              <w:left w:w="80" w:type="dxa"/>
              <w:bottom w:w="80" w:type="dxa"/>
              <w:right w:w="80" w:type="dxa"/>
            </w:tcMar>
            <w:vAlign w:val="center"/>
          </w:tcPr>
          <w:p w14:paraId="6719D839" w14:textId="77777777" w:rsidR="00F72593" w:rsidRDefault="00000000" w:rsidP="00D41F32">
            <w:pPr>
              <w:pStyle w:val="TableText"/>
              <w:jc w:val="both"/>
            </w:pPr>
            <w:r>
              <w:t>Merchant</w:t>
            </w:r>
          </w:p>
        </w:tc>
        <w:tc>
          <w:tcPr>
            <w:tcW w:w="1560" w:type="dxa"/>
            <w:tcMar>
              <w:top w:w="80" w:type="dxa"/>
              <w:left w:w="80" w:type="dxa"/>
              <w:bottom w:w="80" w:type="dxa"/>
              <w:right w:w="80" w:type="dxa"/>
            </w:tcMar>
            <w:vAlign w:val="center"/>
          </w:tcPr>
          <w:p w14:paraId="6588EC77" w14:textId="77777777" w:rsidR="00F72593" w:rsidRDefault="00000000" w:rsidP="00D41F32">
            <w:pPr>
              <w:pStyle w:val="TableText"/>
              <w:jc w:val="both"/>
            </w:pPr>
            <w:r>
              <w:t>2</w:t>
            </w:r>
          </w:p>
        </w:tc>
        <w:tc>
          <w:tcPr>
            <w:tcW w:w="1560" w:type="dxa"/>
            <w:tcMar>
              <w:top w:w="80" w:type="dxa"/>
              <w:left w:w="80" w:type="dxa"/>
              <w:bottom w:w="80" w:type="dxa"/>
              <w:right w:w="80" w:type="dxa"/>
            </w:tcMar>
            <w:vAlign w:val="center"/>
          </w:tcPr>
          <w:p w14:paraId="50E48D03" w14:textId="77777777" w:rsidR="00F72593" w:rsidRDefault="00000000" w:rsidP="00D41F32">
            <w:pPr>
              <w:pStyle w:val="TableText"/>
              <w:jc w:val="both"/>
            </w:pPr>
            <w:r>
              <w:t>Care of toddlers and school-age children</w:t>
            </w:r>
          </w:p>
        </w:tc>
        <w:tc>
          <w:tcPr>
            <w:tcW w:w="1560" w:type="dxa"/>
            <w:tcMar>
              <w:top w:w="80" w:type="dxa"/>
              <w:left w:w="80" w:type="dxa"/>
              <w:bottom w:w="80" w:type="dxa"/>
              <w:right w:w="80" w:type="dxa"/>
            </w:tcMar>
            <w:vAlign w:val="center"/>
          </w:tcPr>
          <w:p w14:paraId="6B0288A0" w14:textId="77777777" w:rsidR="00F72593" w:rsidRDefault="00000000" w:rsidP="00D41F32">
            <w:pPr>
              <w:pStyle w:val="TableText"/>
              <w:jc w:val="both"/>
            </w:pPr>
            <w:r>
              <w:t>Oral contraceptive</w:t>
            </w:r>
          </w:p>
        </w:tc>
      </w:tr>
      <w:tr w:rsidR="00F72593" w14:paraId="209C8002" w14:textId="77777777">
        <w:trPr>
          <w:cantSplit/>
          <w:jc w:val="center"/>
        </w:trPr>
        <w:tc>
          <w:tcPr>
            <w:tcW w:w="1560" w:type="dxa"/>
            <w:tcMar>
              <w:top w:w="80" w:type="dxa"/>
              <w:left w:w="80" w:type="dxa"/>
              <w:bottom w:w="80" w:type="dxa"/>
              <w:right w:w="80" w:type="dxa"/>
            </w:tcMar>
            <w:vAlign w:val="center"/>
          </w:tcPr>
          <w:p w14:paraId="4C294EF4" w14:textId="77777777" w:rsidR="00F72593" w:rsidRDefault="00000000" w:rsidP="00D41F32">
            <w:pPr>
              <w:pStyle w:val="TableText"/>
              <w:jc w:val="both"/>
            </w:pPr>
            <w:r>
              <w:t>I10</w:t>
            </w:r>
          </w:p>
        </w:tc>
        <w:tc>
          <w:tcPr>
            <w:tcW w:w="1560" w:type="dxa"/>
            <w:tcMar>
              <w:top w:w="80" w:type="dxa"/>
              <w:left w:w="80" w:type="dxa"/>
              <w:bottom w:w="80" w:type="dxa"/>
              <w:right w:w="80" w:type="dxa"/>
            </w:tcMar>
            <w:vAlign w:val="center"/>
          </w:tcPr>
          <w:p w14:paraId="67C6D04A" w14:textId="77777777" w:rsidR="00F72593" w:rsidRDefault="00000000" w:rsidP="00D41F32">
            <w:pPr>
              <w:pStyle w:val="TableText"/>
              <w:jc w:val="both"/>
            </w:pPr>
            <w:r>
              <w:t>43</w:t>
            </w:r>
          </w:p>
        </w:tc>
        <w:tc>
          <w:tcPr>
            <w:tcW w:w="1560" w:type="dxa"/>
            <w:tcMar>
              <w:top w:w="80" w:type="dxa"/>
              <w:left w:w="80" w:type="dxa"/>
              <w:bottom w:w="80" w:type="dxa"/>
              <w:right w:w="80" w:type="dxa"/>
            </w:tcMar>
            <w:vAlign w:val="center"/>
          </w:tcPr>
          <w:p w14:paraId="51318511" w14:textId="77777777" w:rsidR="00F72593" w:rsidRDefault="00000000" w:rsidP="00D41F32">
            <w:pPr>
              <w:pStyle w:val="TableText"/>
              <w:jc w:val="both"/>
            </w:pPr>
            <w:r>
              <w:t>Teacher / educator</w:t>
            </w:r>
          </w:p>
        </w:tc>
        <w:tc>
          <w:tcPr>
            <w:tcW w:w="1560" w:type="dxa"/>
            <w:tcMar>
              <w:top w:w="80" w:type="dxa"/>
              <w:left w:w="80" w:type="dxa"/>
              <w:bottom w:w="80" w:type="dxa"/>
              <w:right w:w="80" w:type="dxa"/>
            </w:tcMar>
            <w:vAlign w:val="center"/>
          </w:tcPr>
          <w:p w14:paraId="73CAC360" w14:textId="77777777" w:rsidR="00F72593" w:rsidRDefault="00000000" w:rsidP="00D41F32">
            <w:pPr>
              <w:pStyle w:val="TableText"/>
              <w:jc w:val="both"/>
            </w:pPr>
            <w:r>
              <w:t>2</w:t>
            </w:r>
          </w:p>
        </w:tc>
        <w:tc>
          <w:tcPr>
            <w:tcW w:w="1560" w:type="dxa"/>
            <w:tcMar>
              <w:top w:w="80" w:type="dxa"/>
              <w:left w:w="80" w:type="dxa"/>
              <w:bottom w:w="80" w:type="dxa"/>
              <w:right w:w="80" w:type="dxa"/>
            </w:tcMar>
            <w:vAlign w:val="center"/>
          </w:tcPr>
          <w:p w14:paraId="44B630C9" w14:textId="77777777" w:rsidR="00F72593" w:rsidRDefault="00000000" w:rsidP="00D41F32">
            <w:pPr>
              <w:pStyle w:val="TableText"/>
              <w:jc w:val="both"/>
            </w:pPr>
            <w:r>
              <w:t>Care of school-age children and adolescents</w:t>
            </w:r>
          </w:p>
        </w:tc>
        <w:tc>
          <w:tcPr>
            <w:tcW w:w="1560" w:type="dxa"/>
            <w:tcMar>
              <w:top w:w="80" w:type="dxa"/>
              <w:left w:w="80" w:type="dxa"/>
              <w:bottom w:w="80" w:type="dxa"/>
              <w:right w:w="80" w:type="dxa"/>
            </w:tcMar>
            <w:vAlign w:val="center"/>
          </w:tcPr>
          <w:p w14:paraId="1C7A730D" w14:textId="77777777" w:rsidR="00F72593" w:rsidRDefault="00000000" w:rsidP="00D41F32">
            <w:pPr>
              <w:pStyle w:val="TableText"/>
              <w:jc w:val="both"/>
            </w:pPr>
            <w:r>
              <w:t>Not used; husband had vasectomy</w:t>
            </w:r>
          </w:p>
        </w:tc>
      </w:tr>
    </w:tbl>
    <w:p w14:paraId="2EE78EBD" w14:textId="77777777" w:rsidR="00F72593" w:rsidRDefault="00000000" w:rsidP="00D41F32">
      <w:pPr>
        <w:pStyle w:val="TableText"/>
        <w:jc w:val="both"/>
      </w:pPr>
      <w:r>
        <w:rPr>
          <w:i/>
        </w:rPr>
        <w:t>Source: Primary data.</w:t>
      </w:r>
    </w:p>
    <w:p w14:paraId="045BC37A" w14:textId="77777777" w:rsidR="00F72593" w:rsidRDefault="00000000" w:rsidP="00D41F32">
      <w:pPr>
        <w:pStyle w:val="Heading2"/>
        <w:spacing w:before="100" w:after="60"/>
        <w:jc w:val="both"/>
      </w:pPr>
      <w:r>
        <w:rPr>
          <w:rFonts w:ascii="Times New Roman" w:hAnsi="Times New Roman"/>
        </w:rPr>
        <w:t>Data Collection</w:t>
      </w:r>
    </w:p>
    <w:p w14:paraId="4F66D87D" w14:textId="77777777" w:rsidR="00F72593" w:rsidRDefault="00000000" w:rsidP="00D41F32">
      <w:pPr>
        <w:pStyle w:val="BodyText"/>
        <w:spacing w:after="60" w:line="240" w:lineRule="auto"/>
        <w:ind w:firstLine="360"/>
        <w:jc w:val="both"/>
      </w:pPr>
      <w:r>
        <w:t>Semi-structured in-depth interviews were conducted online using Zoom Meetings and lasted approximately 45–60 minutes. The interview guide was developed from disaster-sociology, gender-vulnerability, and community-health literature and was reviewed by colleagues with expertise in gender studies and community health for relevance, trauma sensitivity, and ethical appropriateness. Questions explored three domains: reproductive health vulnerabilities; gender roles and structural barriers; and women’s agency and self-directed recovery strategies.</w:t>
      </w:r>
    </w:p>
    <w:p w14:paraId="378C23F4" w14:textId="77777777" w:rsidR="00F72593" w:rsidRDefault="00000000" w:rsidP="00D41F32">
      <w:pPr>
        <w:pStyle w:val="BodyText"/>
        <w:spacing w:after="60" w:line="240" w:lineRule="auto"/>
        <w:ind w:firstLine="360"/>
        <w:jc w:val="both"/>
      </w:pPr>
      <w:r>
        <w:t>Some participants in rural areas required assistance with digital access. Local undergraduate students served as field assistants to set up devices, support connection stability, and reduce technology-related difficulties. After a secure connection was established, assistants left the immediate interview space to preserve visual and auditory privacy. Interviews were led by women health professionals and academics familiar with the local Javanese context. This positionality facilitated rapport but also created the possibility that shared cultural assumptions could influence interpretation; reflexive discussion was therefore incorporated during analysis.</w:t>
      </w:r>
    </w:p>
    <w:p w14:paraId="164C1ABD" w14:textId="77777777" w:rsidR="00F72593" w:rsidRDefault="00000000" w:rsidP="00D41F32">
      <w:pPr>
        <w:pStyle w:val="Heading2"/>
        <w:spacing w:before="100" w:after="60"/>
        <w:jc w:val="both"/>
      </w:pPr>
      <w:r>
        <w:rPr>
          <w:rFonts w:ascii="Times New Roman" w:hAnsi="Times New Roman"/>
        </w:rPr>
        <w:t>Data Analysis and Trustworthiness</w:t>
      </w:r>
    </w:p>
    <w:p w14:paraId="00AA8900" w14:textId="77777777" w:rsidR="00F72593" w:rsidRDefault="00000000" w:rsidP="00D41F32">
      <w:pPr>
        <w:pStyle w:val="BodyText"/>
        <w:spacing w:after="60" w:line="240" w:lineRule="auto"/>
        <w:ind w:firstLine="360"/>
        <w:jc w:val="both"/>
      </w:pPr>
      <w:r>
        <w:t>Interviews were audio-recorded with participant permission and transcribed verbatim. Data were analyzed using Braun and Clarke’s thematic analysis approach (20,21). Analysis combined inductive attention to participants’ own language with deductive attention to the study’s three domains. Researchers repeatedly read transcripts, generated initial codes, grouped related codes, reviewed candidate themes against the dataset, and refined theme definitions. NVivo software was used to organize coded material, retrieve excerpts, and support visual mapping; it was not treated as an independent measure of theme importance.</w:t>
      </w:r>
    </w:p>
    <w:p w14:paraId="29566B4A" w14:textId="77777777" w:rsidR="00F72593" w:rsidRDefault="00000000" w:rsidP="00D41F32">
      <w:pPr>
        <w:pStyle w:val="BodyText"/>
        <w:spacing w:after="60" w:line="240" w:lineRule="auto"/>
        <w:ind w:firstLine="360"/>
        <w:jc w:val="both"/>
      </w:pPr>
      <w:r>
        <w:t>To strengthen credibility, transcripts and summaries of preliminary interpretations were discussed again with participants. Field assistants supported follow-up contact and, when needed, read key material aloud during face-to-face visits. The research team used these responses to check whether accounts had been represented recognizably while retaining responsibility for the final analytic interpretation. Reporting was reviewed against the principles of the Consolidated Criteria for Reporting Qualitative Research (COREQ) (22).</w:t>
      </w:r>
    </w:p>
    <w:p w14:paraId="735EC8C0" w14:textId="77777777" w:rsidR="00F72593" w:rsidRDefault="00000000" w:rsidP="00D41F32">
      <w:pPr>
        <w:pStyle w:val="Heading2"/>
        <w:spacing w:before="100" w:after="60"/>
        <w:jc w:val="both"/>
      </w:pPr>
      <w:r>
        <w:rPr>
          <w:rFonts w:ascii="Times New Roman" w:hAnsi="Times New Roman"/>
        </w:rPr>
        <w:t>Ethical Considerations</w:t>
      </w:r>
    </w:p>
    <w:p w14:paraId="16487569" w14:textId="77777777" w:rsidR="00F72593" w:rsidRDefault="00000000" w:rsidP="00D41F32">
      <w:pPr>
        <w:pStyle w:val="BodyText"/>
        <w:spacing w:after="60" w:line="240" w:lineRule="auto"/>
        <w:ind w:firstLine="360"/>
        <w:jc w:val="both"/>
      </w:pPr>
      <w:r>
        <w:t xml:space="preserve">Ethical approval was obtained from the Research and Community Service Ethics Committee of Universitas ‘Aisyiyah Yogyakarta (No. 4965/KEP-UNISA/XII/2025). Consent was obtained </w:t>
      </w:r>
      <w:r>
        <w:lastRenderedPageBreak/>
        <w:t>verbally in two stages: first during an in-person explanation of the study and again immediately before the online interview. Participants were informed about the study purpose, procedures, confidentiality, voluntary participation, and their right to refuse or withdraw without consequence. Interviews were conducted in a manner intended to minimize distress when sensitive memories were discussed. Digital files were stored in encrypted storage accessible only to the core research team.</w:t>
      </w:r>
    </w:p>
    <w:p w14:paraId="74CCFE8E" w14:textId="77777777" w:rsidR="00F72593" w:rsidRDefault="00000000" w:rsidP="00D41F32">
      <w:pPr>
        <w:pStyle w:val="Heading1"/>
        <w:spacing w:before="160" w:after="60"/>
        <w:jc w:val="both"/>
      </w:pPr>
      <w:r>
        <w:rPr>
          <w:rFonts w:ascii="Times New Roman" w:hAnsi="Times New Roman"/>
        </w:rPr>
        <w:t>Results</w:t>
      </w:r>
    </w:p>
    <w:p w14:paraId="774E7D60" w14:textId="77777777" w:rsidR="00F72593" w:rsidRDefault="00000000" w:rsidP="00D41F32">
      <w:pPr>
        <w:pStyle w:val="Heading2"/>
        <w:spacing w:before="100" w:after="60"/>
        <w:jc w:val="both"/>
      </w:pPr>
      <w:r>
        <w:rPr>
          <w:rFonts w:ascii="Times New Roman" w:hAnsi="Times New Roman"/>
        </w:rPr>
        <w:t>Overview of Themes</w:t>
      </w:r>
    </w:p>
    <w:p w14:paraId="192CCC61" w14:textId="77777777" w:rsidR="00F72593" w:rsidRDefault="00000000" w:rsidP="00D41F32">
      <w:pPr>
        <w:pStyle w:val="BodyText"/>
        <w:spacing w:after="60" w:line="240" w:lineRule="auto"/>
        <w:ind w:firstLine="360"/>
        <w:jc w:val="both"/>
      </w:pPr>
      <w:r>
        <w:t>The analysis generated three overarching themes: (1) layered reproductive health vulnerabilities; (2) gendered roles and structural barriers; and (3) women’s agency and community-based self-reliance. These themes were interrelated rather than sequential. Participants often described the same event as both a source of vulnerability and a context in which they developed practical responses. Table 2 summarizes the principal findings across socioeconomic, social-role, and security/administrative dimensions.</w:t>
      </w:r>
    </w:p>
    <w:p w14:paraId="66A96C7E" w14:textId="77777777" w:rsidR="00F72593" w:rsidRDefault="00000000" w:rsidP="00D41F32">
      <w:pPr>
        <w:keepNext/>
        <w:jc w:val="both"/>
      </w:pPr>
      <w:r>
        <w:rPr>
          <w:b/>
        </w:rPr>
        <w:t>Table 2. Summary of Overarching Themes and Key Findings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120"/>
        <w:gridCol w:w="3120"/>
        <w:gridCol w:w="3120"/>
      </w:tblGrid>
      <w:tr w:rsidR="00F72593" w14:paraId="03857685" w14:textId="77777777">
        <w:trPr>
          <w:tblHeader/>
          <w:jc w:val="center"/>
        </w:trPr>
        <w:tc>
          <w:tcPr>
            <w:tcW w:w="3120" w:type="dxa"/>
            <w:shd w:val="clear" w:color="auto" w:fill="E7E6E6"/>
            <w:tcMar>
              <w:top w:w="80" w:type="dxa"/>
              <w:left w:w="80" w:type="dxa"/>
              <w:bottom w:w="80" w:type="dxa"/>
              <w:right w:w="80" w:type="dxa"/>
            </w:tcMar>
          </w:tcPr>
          <w:p w14:paraId="0CB41404" w14:textId="77777777" w:rsidR="00F72593" w:rsidRDefault="00000000" w:rsidP="00D41F32">
            <w:pPr>
              <w:pStyle w:val="TableText"/>
              <w:jc w:val="both"/>
            </w:pPr>
            <w:r>
              <w:rPr>
                <w:b/>
              </w:rPr>
              <w:t>Overarching theme</w:t>
            </w:r>
          </w:p>
        </w:tc>
        <w:tc>
          <w:tcPr>
            <w:tcW w:w="3120" w:type="dxa"/>
            <w:shd w:val="clear" w:color="auto" w:fill="E7E6E6"/>
            <w:tcMar>
              <w:top w:w="80" w:type="dxa"/>
              <w:left w:w="80" w:type="dxa"/>
              <w:bottom w:w="80" w:type="dxa"/>
              <w:right w:w="80" w:type="dxa"/>
            </w:tcMar>
          </w:tcPr>
          <w:p w14:paraId="737082B1" w14:textId="77777777" w:rsidR="00F72593" w:rsidRDefault="00000000" w:rsidP="00D41F32">
            <w:pPr>
              <w:pStyle w:val="TableText"/>
              <w:jc w:val="both"/>
            </w:pPr>
            <w:r>
              <w:rPr>
                <w:b/>
              </w:rPr>
              <w:t>Dimension</w:t>
            </w:r>
          </w:p>
        </w:tc>
        <w:tc>
          <w:tcPr>
            <w:tcW w:w="3120" w:type="dxa"/>
            <w:shd w:val="clear" w:color="auto" w:fill="E7E6E6"/>
            <w:tcMar>
              <w:top w:w="80" w:type="dxa"/>
              <w:left w:w="80" w:type="dxa"/>
              <w:bottom w:w="80" w:type="dxa"/>
              <w:right w:w="80" w:type="dxa"/>
            </w:tcMar>
          </w:tcPr>
          <w:p w14:paraId="3E52A4B5" w14:textId="77777777" w:rsidR="00F72593" w:rsidRDefault="00000000" w:rsidP="00D41F32">
            <w:pPr>
              <w:pStyle w:val="TableText"/>
              <w:jc w:val="both"/>
            </w:pPr>
            <w:r>
              <w:rPr>
                <w:b/>
              </w:rPr>
              <w:t>Key categories / findings</w:t>
            </w:r>
          </w:p>
        </w:tc>
      </w:tr>
      <w:tr w:rsidR="00F72593" w14:paraId="01D1F225" w14:textId="77777777">
        <w:trPr>
          <w:cantSplit/>
          <w:jc w:val="center"/>
        </w:trPr>
        <w:tc>
          <w:tcPr>
            <w:tcW w:w="3120" w:type="dxa"/>
            <w:tcMar>
              <w:top w:w="80" w:type="dxa"/>
              <w:left w:w="80" w:type="dxa"/>
              <w:bottom w:w="80" w:type="dxa"/>
              <w:right w:w="80" w:type="dxa"/>
            </w:tcMar>
          </w:tcPr>
          <w:p w14:paraId="322079B9" w14:textId="77777777" w:rsidR="00F72593" w:rsidRDefault="00000000" w:rsidP="00D41F32">
            <w:pPr>
              <w:pStyle w:val="TableText"/>
              <w:jc w:val="both"/>
            </w:pPr>
            <w:r>
              <w:t>Layered reproductive health vulnerabilities</w:t>
            </w:r>
          </w:p>
        </w:tc>
        <w:tc>
          <w:tcPr>
            <w:tcW w:w="3120" w:type="dxa"/>
            <w:tcMar>
              <w:top w:w="80" w:type="dxa"/>
              <w:left w:w="80" w:type="dxa"/>
              <w:bottom w:w="80" w:type="dxa"/>
              <w:right w:w="80" w:type="dxa"/>
            </w:tcMar>
          </w:tcPr>
          <w:p w14:paraId="22EA8AE5" w14:textId="77777777" w:rsidR="00F72593" w:rsidRDefault="00000000" w:rsidP="00D41F32">
            <w:pPr>
              <w:pStyle w:val="TableText"/>
              <w:jc w:val="both"/>
            </w:pPr>
            <w:r>
              <w:t>Socioeconomic</w:t>
            </w:r>
          </w:p>
        </w:tc>
        <w:tc>
          <w:tcPr>
            <w:tcW w:w="3120" w:type="dxa"/>
            <w:tcMar>
              <w:top w:w="80" w:type="dxa"/>
              <w:left w:w="80" w:type="dxa"/>
              <w:bottom w:w="80" w:type="dxa"/>
              <w:right w:w="80" w:type="dxa"/>
            </w:tcMar>
          </w:tcPr>
          <w:p w14:paraId="1ADF411F" w14:textId="77777777" w:rsidR="00F72593" w:rsidRDefault="00000000" w:rsidP="00D41F32">
            <w:pPr>
              <w:pStyle w:val="TableText"/>
              <w:jc w:val="both"/>
            </w:pPr>
            <w:r>
              <w:t>Menstrual hygiene and clean-water difficulties; loss of infant supplies; food and nutrition insecurity; self-neglect while prioritizing family needs.</w:t>
            </w:r>
          </w:p>
        </w:tc>
      </w:tr>
      <w:tr w:rsidR="00F72593" w14:paraId="2A070F96" w14:textId="77777777">
        <w:trPr>
          <w:cantSplit/>
          <w:jc w:val="center"/>
        </w:trPr>
        <w:tc>
          <w:tcPr>
            <w:tcW w:w="3120" w:type="dxa"/>
            <w:tcMar>
              <w:top w:w="80" w:type="dxa"/>
              <w:left w:w="80" w:type="dxa"/>
              <w:bottom w:w="80" w:type="dxa"/>
              <w:right w:w="80" w:type="dxa"/>
            </w:tcMar>
          </w:tcPr>
          <w:p w14:paraId="6E432B8A" w14:textId="77777777" w:rsidR="00F72593" w:rsidRDefault="00000000" w:rsidP="00D41F32">
            <w:pPr>
              <w:pStyle w:val="TableText"/>
              <w:jc w:val="both"/>
            </w:pPr>
            <w:r>
              <w:t>Layered reproductive health vulnerabilities</w:t>
            </w:r>
          </w:p>
        </w:tc>
        <w:tc>
          <w:tcPr>
            <w:tcW w:w="3120" w:type="dxa"/>
            <w:tcMar>
              <w:top w:w="80" w:type="dxa"/>
              <w:left w:w="80" w:type="dxa"/>
              <w:bottom w:w="80" w:type="dxa"/>
              <w:right w:w="80" w:type="dxa"/>
            </w:tcMar>
          </w:tcPr>
          <w:p w14:paraId="21EA2C85" w14:textId="77777777" w:rsidR="00F72593" w:rsidRDefault="00000000" w:rsidP="00D41F32">
            <w:pPr>
              <w:pStyle w:val="TableText"/>
              <w:jc w:val="both"/>
            </w:pPr>
            <w:r>
              <w:t>Social roles</w:t>
            </w:r>
          </w:p>
        </w:tc>
        <w:tc>
          <w:tcPr>
            <w:tcW w:w="3120" w:type="dxa"/>
            <w:tcMar>
              <w:top w:w="80" w:type="dxa"/>
              <w:left w:w="80" w:type="dxa"/>
              <w:bottom w:w="80" w:type="dxa"/>
              <w:right w:w="80" w:type="dxa"/>
            </w:tcMar>
          </w:tcPr>
          <w:p w14:paraId="2FBABD90" w14:textId="77777777" w:rsidR="00F72593" w:rsidRDefault="00000000" w:rsidP="00D41F32">
            <w:pPr>
              <w:pStyle w:val="TableText"/>
              <w:jc w:val="both"/>
            </w:pPr>
            <w:r>
              <w:t>Caregiving while injured or postpartum; breastfeeding-related constraints during evacuation; persistent trauma-related symptoms; reduced privacy for postpartum care and family life.</w:t>
            </w:r>
          </w:p>
        </w:tc>
      </w:tr>
      <w:tr w:rsidR="00F72593" w14:paraId="4D59EE45" w14:textId="77777777">
        <w:trPr>
          <w:cantSplit/>
          <w:jc w:val="center"/>
        </w:trPr>
        <w:tc>
          <w:tcPr>
            <w:tcW w:w="3120" w:type="dxa"/>
            <w:tcMar>
              <w:top w:w="80" w:type="dxa"/>
              <w:left w:w="80" w:type="dxa"/>
              <w:bottom w:w="80" w:type="dxa"/>
              <w:right w:w="80" w:type="dxa"/>
            </w:tcMar>
          </w:tcPr>
          <w:p w14:paraId="6BEDB1E6" w14:textId="77777777" w:rsidR="00F72593" w:rsidRDefault="00000000" w:rsidP="00D41F32">
            <w:pPr>
              <w:pStyle w:val="TableText"/>
              <w:jc w:val="both"/>
            </w:pPr>
            <w:r>
              <w:t>Layered reproductive health vulnerabilities</w:t>
            </w:r>
          </w:p>
        </w:tc>
        <w:tc>
          <w:tcPr>
            <w:tcW w:w="3120" w:type="dxa"/>
            <w:tcMar>
              <w:top w:w="80" w:type="dxa"/>
              <w:left w:w="80" w:type="dxa"/>
              <w:bottom w:w="80" w:type="dxa"/>
              <w:right w:w="80" w:type="dxa"/>
            </w:tcMar>
          </w:tcPr>
          <w:p w14:paraId="18CEBE8A" w14:textId="77777777" w:rsidR="00F72593" w:rsidRDefault="00000000" w:rsidP="00D41F32">
            <w:pPr>
              <w:pStyle w:val="TableText"/>
              <w:jc w:val="both"/>
            </w:pPr>
            <w:r>
              <w:t>Security / health services</w:t>
            </w:r>
          </w:p>
        </w:tc>
        <w:tc>
          <w:tcPr>
            <w:tcW w:w="3120" w:type="dxa"/>
            <w:tcMar>
              <w:top w:w="80" w:type="dxa"/>
              <w:left w:w="80" w:type="dxa"/>
              <w:bottom w:w="80" w:type="dxa"/>
              <w:right w:w="80" w:type="dxa"/>
            </w:tcMar>
          </w:tcPr>
          <w:p w14:paraId="4E7082E2" w14:textId="77777777" w:rsidR="00F72593" w:rsidRDefault="00000000" w:rsidP="00D41F32">
            <w:pPr>
              <w:pStyle w:val="TableText"/>
              <w:jc w:val="both"/>
            </w:pPr>
            <w:r>
              <w:t>Blocked evacuation routes; overloaded health facilities; delayed treatment; misinformation; disrupted or uncertain access to contraception and preventive services.</w:t>
            </w:r>
          </w:p>
        </w:tc>
      </w:tr>
      <w:tr w:rsidR="00F72593" w14:paraId="00F19260" w14:textId="77777777">
        <w:trPr>
          <w:cantSplit/>
          <w:jc w:val="center"/>
        </w:trPr>
        <w:tc>
          <w:tcPr>
            <w:tcW w:w="3120" w:type="dxa"/>
            <w:tcMar>
              <w:top w:w="80" w:type="dxa"/>
              <w:left w:w="80" w:type="dxa"/>
              <w:bottom w:w="80" w:type="dxa"/>
              <w:right w:w="80" w:type="dxa"/>
            </w:tcMar>
          </w:tcPr>
          <w:p w14:paraId="0E16A290" w14:textId="77777777" w:rsidR="00F72593" w:rsidRDefault="00000000" w:rsidP="00D41F32">
            <w:pPr>
              <w:pStyle w:val="TableText"/>
              <w:jc w:val="both"/>
            </w:pPr>
            <w:r>
              <w:t>Gendered roles and structural barriers</w:t>
            </w:r>
          </w:p>
        </w:tc>
        <w:tc>
          <w:tcPr>
            <w:tcW w:w="3120" w:type="dxa"/>
            <w:tcMar>
              <w:top w:w="80" w:type="dxa"/>
              <w:left w:w="80" w:type="dxa"/>
              <w:bottom w:w="80" w:type="dxa"/>
              <w:right w:w="80" w:type="dxa"/>
            </w:tcMar>
          </w:tcPr>
          <w:p w14:paraId="15672B75" w14:textId="77777777" w:rsidR="00F72593" w:rsidRDefault="00000000" w:rsidP="00D41F32">
            <w:pPr>
              <w:pStyle w:val="TableText"/>
              <w:jc w:val="both"/>
            </w:pPr>
            <w:r>
              <w:t>Socioeconomic</w:t>
            </w:r>
          </w:p>
        </w:tc>
        <w:tc>
          <w:tcPr>
            <w:tcW w:w="3120" w:type="dxa"/>
            <w:tcMar>
              <w:top w:w="80" w:type="dxa"/>
              <w:left w:w="80" w:type="dxa"/>
              <w:bottom w:w="80" w:type="dxa"/>
              <w:right w:w="80" w:type="dxa"/>
            </w:tcMar>
          </w:tcPr>
          <w:p w14:paraId="31FAE35F" w14:textId="77777777" w:rsidR="00F72593" w:rsidRDefault="00000000" w:rsidP="00D41F32">
            <w:pPr>
              <w:pStyle w:val="TableText"/>
              <w:jc w:val="both"/>
            </w:pPr>
            <w:r>
              <w:t>Domestic exposure during early-morning household work; exclusion or delay in housing assistance for some young households; reconstruction shortfalls and informal borrowing; disrupted market access.</w:t>
            </w:r>
          </w:p>
        </w:tc>
      </w:tr>
      <w:tr w:rsidR="00F72593" w14:paraId="1B78151D" w14:textId="77777777">
        <w:trPr>
          <w:cantSplit/>
          <w:jc w:val="center"/>
        </w:trPr>
        <w:tc>
          <w:tcPr>
            <w:tcW w:w="3120" w:type="dxa"/>
            <w:tcMar>
              <w:top w:w="80" w:type="dxa"/>
              <w:left w:w="80" w:type="dxa"/>
              <w:bottom w:w="80" w:type="dxa"/>
              <w:right w:w="80" w:type="dxa"/>
            </w:tcMar>
          </w:tcPr>
          <w:p w14:paraId="4E891EB4" w14:textId="77777777" w:rsidR="00F72593" w:rsidRDefault="00000000" w:rsidP="00D41F32">
            <w:pPr>
              <w:pStyle w:val="TableText"/>
              <w:jc w:val="both"/>
            </w:pPr>
            <w:r>
              <w:lastRenderedPageBreak/>
              <w:t>Gendered roles and structural barriers</w:t>
            </w:r>
          </w:p>
        </w:tc>
        <w:tc>
          <w:tcPr>
            <w:tcW w:w="3120" w:type="dxa"/>
            <w:tcMar>
              <w:top w:w="80" w:type="dxa"/>
              <w:left w:w="80" w:type="dxa"/>
              <w:bottom w:w="80" w:type="dxa"/>
              <w:right w:w="80" w:type="dxa"/>
            </w:tcMar>
          </w:tcPr>
          <w:p w14:paraId="7D6BB136" w14:textId="77777777" w:rsidR="00F72593" w:rsidRDefault="00000000" w:rsidP="00D41F32">
            <w:pPr>
              <w:pStyle w:val="TableText"/>
              <w:jc w:val="both"/>
            </w:pPr>
            <w:r>
              <w:t>Social roles</w:t>
            </w:r>
          </w:p>
        </w:tc>
        <w:tc>
          <w:tcPr>
            <w:tcW w:w="3120" w:type="dxa"/>
            <w:tcMar>
              <w:top w:w="80" w:type="dxa"/>
              <w:left w:w="80" w:type="dxa"/>
              <w:bottom w:w="80" w:type="dxa"/>
              <w:right w:w="80" w:type="dxa"/>
            </w:tcMar>
          </w:tcPr>
          <w:p w14:paraId="277A5769" w14:textId="77777777" w:rsidR="00F72593" w:rsidRDefault="00000000" w:rsidP="00D41F32">
            <w:pPr>
              <w:pStyle w:val="TableText"/>
              <w:jc w:val="both"/>
            </w:pPr>
            <w:r>
              <w:t>Expectation of maternal self-sacrifice; continued unpaid care work during injury or postpartum recovery; intergenerational caregiving responsibilities; dual public and domestic roles.</w:t>
            </w:r>
          </w:p>
        </w:tc>
      </w:tr>
      <w:tr w:rsidR="00F72593" w14:paraId="04F0BB2B" w14:textId="77777777">
        <w:trPr>
          <w:cantSplit/>
          <w:jc w:val="center"/>
        </w:trPr>
        <w:tc>
          <w:tcPr>
            <w:tcW w:w="3120" w:type="dxa"/>
            <w:tcMar>
              <w:top w:w="80" w:type="dxa"/>
              <w:left w:w="80" w:type="dxa"/>
              <w:bottom w:w="80" w:type="dxa"/>
              <w:right w:w="80" w:type="dxa"/>
            </w:tcMar>
          </w:tcPr>
          <w:p w14:paraId="68CEB553" w14:textId="77777777" w:rsidR="00F72593" w:rsidRDefault="00000000" w:rsidP="00D41F32">
            <w:pPr>
              <w:pStyle w:val="TableText"/>
              <w:jc w:val="both"/>
            </w:pPr>
            <w:r>
              <w:t>Gendered roles and structural barriers</w:t>
            </w:r>
          </w:p>
        </w:tc>
        <w:tc>
          <w:tcPr>
            <w:tcW w:w="3120" w:type="dxa"/>
            <w:tcMar>
              <w:top w:w="80" w:type="dxa"/>
              <w:left w:w="80" w:type="dxa"/>
              <w:bottom w:w="80" w:type="dxa"/>
              <w:right w:w="80" w:type="dxa"/>
            </w:tcMar>
          </w:tcPr>
          <w:p w14:paraId="5D0F2F68" w14:textId="77777777" w:rsidR="00F72593" w:rsidRDefault="00000000" w:rsidP="00D41F32">
            <w:pPr>
              <w:pStyle w:val="TableText"/>
              <w:jc w:val="both"/>
            </w:pPr>
            <w:r>
              <w:t>Security / administration</w:t>
            </w:r>
          </w:p>
        </w:tc>
        <w:tc>
          <w:tcPr>
            <w:tcW w:w="3120" w:type="dxa"/>
            <w:tcMar>
              <w:top w:w="80" w:type="dxa"/>
              <w:left w:w="80" w:type="dxa"/>
              <w:bottom w:w="80" w:type="dxa"/>
              <w:right w:w="80" w:type="dxa"/>
            </w:tcMar>
          </w:tcPr>
          <w:p w14:paraId="2A9A8518" w14:textId="77777777" w:rsidR="00F72593" w:rsidRDefault="00000000" w:rsidP="00D41F32">
            <w:pPr>
              <w:pStyle w:val="TableText"/>
              <w:jc w:val="both"/>
            </w:pPr>
            <w:r>
              <w:t>Reported irregularities in aid distribution; congestion and delays in formal services; limited privacy in communal shelters; dependence on local intermediaries when formal response was delayed.</w:t>
            </w:r>
          </w:p>
        </w:tc>
      </w:tr>
      <w:tr w:rsidR="00F72593" w14:paraId="4294461E" w14:textId="77777777">
        <w:trPr>
          <w:cantSplit/>
          <w:jc w:val="center"/>
        </w:trPr>
        <w:tc>
          <w:tcPr>
            <w:tcW w:w="3120" w:type="dxa"/>
            <w:tcMar>
              <w:top w:w="80" w:type="dxa"/>
              <w:left w:w="80" w:type="dxa"/>
              <w:bottom w:w="80" w:type="dxa"/>
              <w:right w:w="80" w:type="dxa"/>
            </w:tcMar>
          </w:tcPr>
          <w:p w14:paraId="2249251C" w14:textId="77777777" w:rsidR="00F72593" w:rsidRDefault="00000000" w:rsidP="00D41F32">
            <w:pPr>
              <w:pStyle w:val="TableText"/>
              <w:jc w:val="both"/>
            </w:pPr>
            <w:r>
              <w:t>Women’s agency and community-based self-reliance</w:t>
            </w:r>
          </w:p>
        </w:tc>
        <w:tc>
          <w:tcPr>
            <w:tcW w:w="3120" w:type="dxa"/>
            <w:tcMar>
              <w:top w:w="80" w:type="dxa"/>
              <w:left w:w="80" w:type="dxa"/>
              <w:bottom w:w="80" w:type="dxa"/>
              <w:right w:w="80" w:type="dxa"/>
            </w:tcMar>
          </w:tcPr>
          <w:p w14:paraId="6B215765" w14:textId="77777777" w:rsidR="00F72593" w:rsidRDefault="00000000" w:rsidP="00D41F32">
            <w:pPr>
              <w:pStyle w:val="TableText"/>
              <w:jc w:val="both"/>
            </w:pPr>
            <w:r>
              <w:t>Socioeconomic</w:t>
            </w:r>
          </w:p>
        </w:tc>
        <w:tc>
          <w:tcPr>
            <w:tcW w:w="3120" w:type="dxa"/>
            <w:tcMar>
              <w:top w:w="80" w:type="dxa"/>
              <w:left w:w="80" w:type="dxa"/>
              <w:bottom w:w="80" w:type="dxa"/>
              <w:right w:w="80" w:type="dxa"/>
            </w:tcMar>
          </w:tcPr>
          <w:p w14:paraId="7922AEAE" w14:textId="77777777" w:rsidR="00F72593" w:rsidRDefault="00000000" w:rsidP="00D41F32">
            <w:pPr>
              <w:pStyle w:val="TableText"/>
              <w:jc w:val="both"/>
            </w:pPr>
            <w:r>
              <w:t>Restarting trade and household food production; sharing farm produce; improvising cooking facilities; mobilizing household and family resources; maintaining reproductive decision-making where possible.</w:t>
            </w:r>
          </w:p>
        </w:tc>
      </w:tr>
      <w:tr w:rsidR="00F72593" w14:paraId="56D53047" w14:textId="77777777">
        <w:trPr>
          <w:cantSplit/>
          <w:jc w:val="center"/>
        </w:trPr>
        <w:tc>
          <w:tcPr>
            <w:tcW w:w="3120" w:type="dxa"/>
            <w:tcMar>
              <w:top w:w="80" w:type="dxa"/>
              <w:left w:w="80" w:type="dxa"/>
              <w:bottom w:w="80" w:type="dxa"/>
              <w:right w:w="80" w:type="dxa"/>
            </w:tcMar>
          </w:tcPr>
          <w:p w14:paraId="4D52BEF2" w14:textId="77777777" w:rsidR="00F72593" w:rsidRDefault="00000000" w:rsidP="00D41F32">
            <w:pPr>
              <w:pStyle w:val="TableText"/>
              <w:jc w:val="both"/>
            </w:pPr>
            <w:r>
              <w:t>Women’s agency and community-based self-reliance</w:t>
            </w:r>
          </w:p>
        </w:tc>
        <w:tc>
          <w:tcPr>
            <w:tcW w:w="3120" w:type="dxa"/>
            <w:tcMar>
              <w:top w:w="80" w:type="dxa"/>
              <w:left w:w="80" w:type="dxa"/>
              <w:bottom w:w="80" w:type="dxa"/>
              <w:right w:w="80" w:type="dxa"/>
            </w:tcMar>
          </w:tcPr>
          <w:p w14:paraId="7A741FC7" w14:textId="77777777" w:rsidR="00F72593" w:rsidRDefault="00000000" w:rsidP="00D41F32">
            <w:pPr>
              <w:pStyle w:val="TableText"/>
              <w:jc w:val="both"/>
            </w:pPr>
            <w:r>
              <w:t>Social roles</w:t>
            </w:r>
          </w:p>
        </w:tc>
        <w:tc>
          <w:tcPr>
            <w:tcW w:w="3120" w:type="dxa"/>
            <w:tcMar>
              <w:top w:w="80" w:type="dxa"/>
              <w:left w:w="80" w:type="dxa"/>
              <w:bottom w:w="80" w:type="dxa"/>
              <w:right w:w="80" w:type="dxa"/>
            </w:tcMar>
          </w:tcPr>
          <w:p w14:paraId="53F41BA3" w14:textId="77777777" w:rsidR="00F72593" w:rsidRDefault="00000000" w:rsidP="00D41F32">
            <w:pPr>
              <w:pStyle w:val="TableText"/>
              <w:jc w:val="both"/>
            </w:pPr>
            <w:r>
              <w:t>Use of extended-family networks; informal childcare arrangements; collective humor and social gatherings; adaptive relocation; modification of sleeping and household arrangements for safer evacuation.</w:t>
            </w:r>
          </w:p>
        </w:tc>
      </w:tr>
      <w:tr w:rsidR="00F72593" w14:paraId="68D16546" w14:textId="77777777">
        <w:trPr>
          <w:cantSplit/>
          <w:jc w:val="center"/>
        </w:trPr>
        <w:tc>
          <w:tcPr>
            <w:tcW w:w="3120" w:type="dxa"/>
            <w:tcMar>
              <w:top w:w="80" w:type="dxa"/>
              <w:left w:w="80" w:type="dxa"/>
              <w:bottom w:w="80" w:type="dxa"/>
              <w:right w:w="80" w:type="dxa"/>
            </w:tcMar>
          </w:tcPr>
          <w:p w14:paraId="4BA9FB7E" w14:textId="77777777" w:rsidR="00F72593" w:rsidRDefault="00000000" w:rsidP="00D41F32">
            <w:pPr>
              <w:pStyle w:val="TableText"/>
              <w:jc w:val="both"/>
            </w:pPr>
            <w:r>
              <w:t>Women’s agency and community-based self-reliance</w:t>
            </w:r>
          </w:p>
        </w:tc>
        <w:tc>
          <w:tcPr>
            <w:tcW w:w="3120" w:type="dxa"/>
            <w:tcMar>
              <w:top w:w="80" w:type="dxa"/>
              <w:left w:w="80" w:type="dxa"/>
              <w:bottom w:w="80" w:type="dxa"/>
              <w:right w:w="80" w:type="dxa"/>
            </w:tcMar>
          </w:tcPr>
          <w:p w14:paraId="5321F999" w14:textId="77777777" w:rsidR="00F72593" w:rsidRDefault="00000000" w:rsidP="00D41F32">
            <w:pPr>
              <w:pStyle w:val="TableText"/>
              <w:jc w:val="both"/>
            </w:pPr>
            <w:r>
              <w:t>Security / community leadership</w:t>
            </w:r>
          </w:p>
        </w:tc>
        <w:tc>
          <w:tcPr>
            <w:tcW w:w="3120" w:type="dxa"/>
            <w:tcMar>
              <w:top w:w="80" w:type="dxa"/>
              <w:left w:w="80" w:type="dxa"/>
              <w:bottom w:w="80" w:type="dxa"/>
              <w:right w:w="80" w:type="dxa"/>
            </w:tcMar>
          </w:tcPr>
          <w:p w14:paraId="597140D7" w14:textId="77777777" w:rsidR="00F72593" w:rsidRDefault="00000000" w:rsidP="00D41F32">
            <w:pPr>
              <w:pStyle w:val="TableText"/>
              <w:jc w:val="both"/>
            </w:pPr>
            <w:r>
              <w:t>Participation in local aid negotiations; organization of sanitation and logistics; women’s community and religious groups as psychosocial support; household redesign with multiple evacuation exits.</w:t>
            </w:r>
          </w:p>
        </w:tc>
      </w:tr>
    </w:tbl>
    <w:p w14:paraId="44272138" w14:textId="77777777" w:rsidR="00F72593" w:rsidRDefault="00000000" w:rsidP="00D41F32">
      <w:pPr>
        <w:pStyle w:val="TableText"/>
        <w:jc w:val="both"/>
      </w:pPr>
      <w:r>
        <w:rPr>
          <w:i/>
        </w:rPr>
        <w:t>Source: Primary data; categories condensed from the full thematic coding matrix.</w:t>
      </w:r>
    </w:p>
    <w:p w14:paraId="2C3245AD" w14:textId="77777777" w:rsidR="00F72593" w:rsidRDefault="00000000" w:rsidP="00D41F32">
      <w:pPr>
        <w:pStyle w:val="Heading2"/>
        <w:spacing w:before="100" w:after="60"/>
        <w:jc w:val="both"/>
      </w:pPr>
      <w:r>
        <w:rPr>
          <w:rFonts w:ascii="Times New Roman" w:hAnsi="Times New Roman"/>
        </w:rPr>
        <w:t>Theme 1: Layered Reproductive Health Vulnerabilities</w:t>
      </w:r>
    </w:p>
    <w:p w14:paraId="1FA7B9A5" w14:textId="77777777" w:rsidR="00F72593" w:rsidRDefault="00000000" w:rsidP="00D41F32">
      <w:pPr>
        <w:pStyle w:val="BodyText"/>
        <w:spacing w:after="60" w:line="240" w:lineRule="auto"/>
        <w:ind w:firstLine="360"/>
        <w:jc w:val="both"/>
      </w:pPr>
      <w:r>
        <w:t>Participants described reproductive health vulnerability as a combination of bodily needs, disrupted services, constrained living conditions, and caregiving demands. Menstruation in evacuation settings was particularly difficult when sanitary pads, clean water, dry clothing, and private washing facilities were unavailable. One participant recalled having no menstrual supplies during the early emergency period:</w:t>
      </w:r>
    </w:p>
    <w:p w14:paraId="0089A079" w14:textId="77777777" w:rsidR="00F72593" w:rsidRDefault="00000000" w:rsidP="00D41F32">
      <w:pPr>
        <w:pStyle w:val="Quote"/>
        <w:spacing w:after="80" w:line="240" w:lineRule="auto"/>
        <w:ind w:left="504" w:right="288"/>
        <w:jc w:val="both"/>
      </w:pPr>
      <w:r>
        <w:t>“At that time, I was still menstruating… I didn’t have any sanitary pads; I didn’t know what to do—there was no aid… until I was completely soaked…” (I5)</w:t>
      </w:r>
    </w:p>
    <w:p w14:paraId="3ADDF7E8" w14:textId="77777777" w:rsidR="00F72593" w:rsidRDefault="00000000" w:rsidP="00D41F32">
      <w:pPr>
        <w:pStyle w:val="BodyText"/>
        <w:spacing w:after="60" w:line="240" w:lineRule="auto"/>
        <w:ind w:firstLine="360"/>
        <w:jc w:val="both"/>
      </w:pPr>
      <w:r>
        <w:lastRenderedPageBreak/>
        <w:t>Pregnancy, postpartum recovery, and breastfeeding created additional demands. Participants described loss of infant clothing and supplies, exposure to dust and rain, limited privacy in communal tents, and difficulty protecting infants while they themselves were injured or recovering. A participant who gave birth around the disaster period described an overcrowded clinical environment and a distressing experience of labor during the emergency:</w:t>
      </w:r>
    </w:p>
    <w:p w14:paraId="707C50BA" w14:textId="77777777" w:rsidR="00F72593" w:rsidRDefault="00000000" w:rsidP="00D41F32">
      <w:pPr>
        <w:pStyle w:val="Quote"/>
        <w:spacing w:after="80" w:line="240" w:lineRule="auto"/>
        <w:ind w:left="504" w:right="288"/>
        <w:jc w:val="both"/>
      </w:pPr>
      <w:r>
        <w:t>“I was screaming at the nurse… trying to ask for help, the baby was about to come out, but no one was coming near me… finally, I screamed that the baby had already come out… right on the bed…” (I4)</w:t>
      </w:r>
    </w:p>
    <w:p w14:paraId="6C31E5E1" w14:textId="77777777" w:rsidR="00F72593" w:rsidRDefault="00000000" w:rsidP="00D41F32">
      <w:pPr>
        <w:pStyle w:val="BodyText"/>
        <w:spacing w:after="60" w:line="240" w:lineRule="auto"/>
        <w:ind w:firstLine="360"/>
        <w:jc w:val="both"/>
      </w:pPr>
      <w:r>
        <w:t>Participants also described delayed treatment because roads were blocked, vehicles were limited, or facilities were crowded. Some relied on home or traditional remedies when formal services were difficult to reach. Contraceptive access varied. A few participants retained access through community health services or by keeping oral contraceptives at home, whereas others described uncertainty about availability during the emergency period.</w:t>
      </w:r>
    </w:p>
    <w:p w14:paraId="514CE1BF" w14:textId="77777777" w:rsidR="00F72593" w:rsidRDefault="00000000" w:rsidP="00D41F32">
      <w:pPr>
        <w:pStyle w:val="BodyText"/>
        <w:spacing w:after="60" w:line="240" w:lineRule="auto"/>
        <w:ind w:firstLine="360"/>
        <w:jc w:val="both"/>
      </w:pPr>
      <w:r>
        <w:t>Psychological distress was intertwined with these physical and reproductive concerns. Participants reported persistent fear of buildings, emotional numbness, anxiety about children, and long-lasting memories of injury and loss. These narratives are reported as trauma-related experiences rather than clinical diagnoses because no standardized diagnostic assessment was conducted.</w:t>
      </w:r>
    </w:p>
    <w:p w14:paraId="0D7D43B7" w14:textId="77777777" w:rsidR="00F72593" w:rsidRDefault="00000000" w:rsidP="00D41F32">
      <w:pPr>
        <w:pStyle w:val="Heading2"/>
        <w:spacing w:before="100" w:after="60"/>
        <w:jc w:val="both"/>
      </w:pPr>
      <w:r>
        <w:rPr>
          <w:rFonts w:ascii="Times New Roman" w:hAnsi="Times New Roman"/>
        </w:rPr>
        <w:t>Theme 2: Gendered Roles and Structural Barriers</w:t>
      </w:r>
    </w:p>
    <w:p w14:paraId="199B8977" w14:textId="77777777" w:rsidR="00F72593" w:rsidRDefault="00000000" w:rsidP="00D41F32">
      <w:pPr>
        <w:pStyle w:val="BodyText"/>
        <w:spacing w:after="60" w:line="240" w:lineRule="auto"/>
        <w:ind w:firstLine="360"/>
        <w:jc w:val="both"/>
      </w:pPr>
      <w:r>
        <w:t>Women’s exposure to risk was shaped by the timing and location of domestic work. Several participants were preparing breakfast or caring for children inside the home when the earthquake struck, while some male relatives were already outdoors. One participant recalled being in the kitchen immediately before a structural collapse:</w:t>
      </w:r>
    </w:p>
    <w:p w14:paraId="7EF566BB" w14:textId="77777777" w:rsidR="00F72593" w:rsidRDefault="00000000" w:rsidP="00D41F32">
      <w:pPr>
        <w:pStyle w:val="Quote"/>
        <w:spacing w:after="80" w:line="240" w:lineRule="auto"/>
        <w:ind w:left="504" w:right="288"/>
        <w:jc w:val="both"/>
      </w:pPr>
      <w:r>
        <w:t>“It’s time to make breakfast… even a moment’s delay and that concrete pillar would have already collapsed.” (I10)</w:t>
      </w:r>
    </w:p>
    <w:p w14:paraId="2772FF3C" w14:textId="77777777" w:rsidR="00F72593" w:rsidRDefault="00000000" w:rsidP="00D41F32">
      <w:pPr>
        <w:pStyle w:val="BodyText"/>
        <w:spacing w:after="60" w:line="240" w:lineRule="auto"/>
        <w:ind w:firstLine="360"/>
        <w:jc w:val="both"/>
      </w:pPr>
      <w:r>
        <w:t>Maternal responsibility was frequently described as an immediate obligation to return for or physically protect children even when doing so increased personal risk. One participant described going back into a damaged house for her child despite being injured:</w:t>
      </w:r>
    </w:p>
    <w:p w14:paraId="01B65879" w14:textId="77777777" w:rsidR="00F72593" w:rsidRDefault="00000000" w:rsidP="00D41F32">
      <w:pPr>
        <w:pStyle w:val="Quote"/>
        <w:spacing w:after="80" w:line="240" w:lineRule="auto"/>
        <w:ind w:left="504" w:right="288"/>
        <w:jc w:val="both"/>
      </w:pPr>
      <w:r>
        <w:t>“The children are still inside… their father went out on his own, I went back in… the roof collapsed, and my head kept bleeding…” (I3)</w:t>
      </w:r>
    </w:p>
    <w:p w14:paraId="4B6CCBDC" w14:textId="77777777" w:rsidR="00F72593" w:rsidRDefault="00000000" w:rsidP="00D41F32">
      <w:pPr>
        <w:pStyle w:val="BodyText"/>
        <w:spacing w:after="60" w:line="240" w:lineRule="auto"/>
        <w:ind w:firstLine="360"/>
        <w:jc w:val="both"/>
      </w:pPr>
      <w:r>
        <w:t>Structural barriers continued during recovery. Participants described difficulties related to household registration, housing-assistance eligibility, limited reconstruction funds, delayed health support, and geographic inequality in aid distribution. These accounts represent participants’ perceptions and experiences; the study did not independently audit historical administrative records or establish misconduct by specific institutions. Accordingly, the findings are interpreted as reported administrative and access barriers rather than verified corruption.</w:t>
      </w:r>
    </w:p>
    <w:p w14:paraId="27D58FB7" w14:textId="77777777" w:rsidR="00F72593" w:rsidRDefault="00000000" w:rsidP="00D41F32">
      <w:pPr>
        <w:pStyle w:val="BodyText"/>
        <w:spacing w:after="60" w:line="240" w:lineRule="auto"/>
        <w:ind w:firstLine="360"/>
        <w:jc w:val="both"/>
      </w:pPr>
      <w:r>
        <w:t>Communal shelter also created privacy constraints for postpartum care, breastfeeding, rest, and married couples’ intimate life. Participants emphasized that crowded tents required constant adaptation. In addition, women often continued cooking, caring for children and older relatives, and providing emotional support while managing their own injuries or stress.</w:t>
      </w:r>
    </w:p>
    <w:p w14:paraId="46F73353" w14:textId="77777777" w:rsidR="00F72593" w:rsidRDefault="00000000" w:rsidP="00D41F32">
      <w:pPr>
        <w:pStyle w:val="Heading2"/>
        <w:spacing w:before="100" w:after="60"/>
        <w:jc w:val="both"/>
      </w:pPr>
      <w:r>
        <w:rPr>
          <w:rFonts w:ascii="Times New Roman" w:hAnsi="Times New Roman"/>
        </w:rPr>
        <w:t>Theme 3: Women’s Agency and Community-Based Self-Reliance</w:t>
      </w:r>
    </w:p>
    <w:p w14:paraId="1478DACF" w14:textId="77777777" w:rsidR="00F72593" w:rsidRDefault="00000000" w:rsidP="00D41F32">
      <w:pPr>
        <w:pStyle w:val="BodyText"/>
        <w:spacing w:after="60" w:line="240" w:lineRule="auto"/>
        <w:ind w:firstLine="360"/>
        <w:jc w:val="both"/>
      </w:pPr>
      <w:r>
        <w:t xml:space="preserve">Participants did not describe themselves only as recipients of assistance. They also developed practical strategies to maintain health and household functioning. Women restarted food </w:t>
      </w:r>
      <w:r>
        <w:lastRenderedPageBreak/>
        <w:t>preparation and market activity, shared produce, improvised stoves from available materials, and used extended-family networks to reduce pressure on crowded shelters. These actions supported nutrition, household liquidity, and continuity of caregiving during periods when formal systems were disrupted.</w:t>
      </w:r>
    </w:p>
    <w:p w14:paraId="7B6F0100" w14:textId="77777777" w:rsidR="00F72593" w:rsidRDefault="00000000" w:rsidP="00D41F32">
      <w:pPr>
        <w:pStyle w:val="Quote"/>
        <w:spacing w:after="80" w:line="240" w:lineRule="auto"/>
        <w:ind w:left="504" w:right="288"/>
        <w:jc w:val="both"/>
      </w:pPr>
      <w:r>
        <w:t>“The rice fields still have the crops that were there before. There’s water spinach, there’s chili… well, just take them for the community…” (I3)</w:t>
      </w:r>
    </w:p>
    <w:p w14:paraId="6C8659FA" w14:textId="77777777" w:rsidR="00F72593" w:rsidRDefault="00000000" w:rsidP="00D41F32">
      <w:pPr>
        <w:pStyle w:val="BodyText"/>
        <w:spacing w:after="60" w:line="240" w:lineRule="auto"/>
        <w:ind w:firstLine="360"/>
        <w:jc w:val="both"/>
      </w:pPr>
      <w:r>
        <w:t>Agency also appeared in decisions about bodily and reproductive autonomy. Some women maintained contraception through community health services or by storing oral contraceptives, while another family relied on the husband’s prior vasectomy. These strategies should not be interpreted as a substitute for reliable reproductive health services; rather, they illustrate how households attempted to preserve reproductive decision-making under uncertain conditions.</w:t>
      </w:r>
    </w:p>
    <w:p w14:paraId="7936CB1F" w14:textId="77777777" w:rsidR="00F72593" w:rsidRDefault="00000000" w:rsidP="00D41F32">
      <w:pPr>
        <w:pStyle w:val="BodyText"/>
        <w:spacing w:after="60" w:line="240" w:lineRule="auto"/>
        <w:ind w:firstLine="360"/>
        <w:jc w:val="both"/>
      </w:pPr>
      <w:r>
        <w:t>Participants described changes to domestic space that emerged from earthquake experience. Some slept near exits, avoided locked doors, or redesigned homes with more than one exit from a room. One participant described a house reconstructed with multiple doors:</w:t>
      </w:r>
    </w:p>
    <w:p w14:paraId="461B557A" w14:textId="77777777" w:rsidR="00F72593" w:rsidRDefault="00000000" w:rsidP="00D41F32">
      <w:pPr>
        <w:pStyle w:val="Quote"/>
        <w:spacing w:after="80" w:line="240" w:lineRule="auto"/>
        <w:ind w:left="504" w:right="288"/>
        <w:jc w:val="both"/>
      </w:pPr>
      <w:r>
        <w:t>“Her house has so many doors. Each room has two. One in the front, one in the back…” (I8)</w:t>
      </w:r>
    </w:p>
    <w:p w14:paraId="21AB14D8" w14:textId="77777777" w:rsidR="00F72593" w:rsidRDefault="00000000" w:rsidP="00D41F32">
      <w:pPr>
        <w:pStyle w:val="BodyText"/>
        <w:spacing w:after="60" w:line="240" w:lineRule="auto"/>
        <w:ind w:firstLine="360"/>
        <w:jc w:val="both"/>
      </w:pPr>
      <w:r>
        <w:t>Women also used social and religious networks as forms of collective coping. Community gatherings, PKK activities, Yasinan, Asmaul Husna recitation, humor, and mutual assistance were described as ways of reducing isolation and rebuilding social connection. Participants additionally described involvement in neighborhood discussions about aid allocation, sanitation, and local recovery, indicating that women’s agency extended beyond the household to community-level organization.</w:t>
      </w:r>
    </w:p>
    <w:p w14:paraId="3B4B6F0C" w14:textId="77777777" w:rsidR="00F72593" w:rsidRDefault="00000000" w:rsidP="00D41F32">
      <w:pPr>
        <w:pStyle w:val="Heading1"/>
        <w:spacing w:before="160" w:after="60"/>
        <w:jc w:val="both"/>
      </w:pPr>
      <w:r>
        <w:rPr>
          <w:rFonts w:ascii="Times New Roman" w:hAnsi="Times New Roman"/>
        </w:rPr>
        <w:t>Discussion</w:t>
      </w:r>
    </w:p>
    <w:p w14:paraId="57EFEB43" w14:textId="77777777" w:rsidR="00F72593" w:rsidRDefault="00000000" w:rsidP="00D41F32">
      <w:pPr>
        <w:pStyle w:val="BodyText"/>
        <w:spacing w:after="60" w:line="240" w:lineRule="auto"/>
        <w:ind w:firstLine="360"/>
        <w:jc w:val="both"/>
      </w:pPr>
      <w:r>
        <w:t>This study shows that women’s experiences after the 2006 Bantul earthquake cannot be adequately characterized as either vulnerability or resilience alone. Reproductive health needs, caregiving responsibilities, shelter conditions, service disruption, and administrative barriers created layered risks, while women simultaneously mobilized household, family, economic, spatial, social, and spiritual resources. The findings therefore support a relational understanding of disaster vulnerability in which agency emerges within, and is constrained by, social and institutional conditions (4,5,11,23).</w:t>
      </w:r>
    </w:p>
    <w:p w14:paraId="2A214341" w14:textId="77777777" w:rsidR="00F72593" w:rsidRDefault="00000000" w:rsidP="00D41F32">
      <w:pPr>
        <w:pStyle w:val="BodyText"/>
        <w:spacing w:after="60" w:line="240" w:lineRule="auto"/>
        <w:ind w:firstLine="360"/>
        <w:jc w:val="both"/>
      </w:pPr>
      <w:r>
        <w:t>The first major finding concerns the continuity of reproductive health needs during emergency conditions. Menstruation, pregnancy, postpartum recovery, breastfeeding, contraception, and privacy did not stop when housing and health systems were disrupted. Participants’ accounts of menstrual hygiene difficulties, crowded shelters, delayed treatment, and uncertain contraceptive access are consistent with humanitarian evidence showing that sexual and reproductive health services are frequently disrupted during crises and that women may face increased barriers to maternal care and family planning (7,8,16–18,28,29). These findings reinforce the importance of implementing reproductive health emergency packages from the earliest phase of response rather than treating them as secondary to food, shelter, and trauma care.</w:t>
      </w:r>
    </w:p>
    <w:p w14:paraId="591DED41" w14:textId="77777777" w:rsidR="00F72593" w:rsidRDefault="00000000" w:rsidP="00D41F32">
      <w:pPr>
        <w:pStyle w:val="BodyText"/>
        <w:spacing w:after="60" w:line="240" w:lineRule="auto"/>
        <w:ind w:firstLine="360"/>
        <w:jc w:val="both"/>
      </w:pPr>
      <w:r>
        <w:t xml:space="preserve">The second major finding concerns the gendered distribution of domestic exposure and unpaid care work. Participants were often inside homes because they were cooking, breastfeeding, or caring for children when the earthquake occurred. The accounts of returning for children, providing care while injured, and continuing community cooking or caregiving during </w:t>
      </w:r>
      <w:r>
        <w:lastRenderedPageBreak/>
        <w:t>postpartum recovery illustrate how gendered expectations can shape exposure and recovery burden. Similar work has shown that disasters amplify existing gendered divisions of labor and may increase women’s physical and psychosocial burdens (3–6,9,23–25). Traditional Javanese housing and kitchen arrangements may also shape spatial exposure, although the present qualitative study cannot quantify whether specific house types increased women’s injury risk (27).</w:t>
      </w:r>
    </w:p>
    <w:p w14:paraId="6C23ABE1" w14:textId="77777777" w:rsidR="00F72593" w:rsidRDefault="00000000" w:rsidP="00D41F32">
      <w:pPr>
        <w:pStyle w:val="BodyText"/>
        <w:spacing w:after="60" w:line="240" w:lineRule="auto"/>
        <w:ind w:firstLine="360"/>
        <w:jc w:val="both"/>
      </w:pPr>
      <w:r>
        <w:t>Administrative and logistical barriers were also prominent. Participants described delayed or uneven aid, eligibility problems related to family registration, overloaded services, blocked roads, and dependence on local intermediaries. The Java Reconstruction Fund and post-disaster assessments documented the complexity of housing reconstruction and recovery after the 2006 earthquake (12,26). Our findings add a survivor-centered perspective by showing how such procedures were experienced at household level. However, retrospective interviews cannot establish whether all reported irregularities reflected formal policy, implementation gaps, local discretion, or individual misunderstanding. This distinction is important when interpreting participants’ accounts of aid distribution.</w:t>
      </w:r>
    </w:p>
    <w:p w14:paraId="2F85CBB4" w14:textId="77777777" w:rsidR="00F72593" w:rsidRDefault="00000000" w:rsidP="00D41F32">
      <w:pPr>
        <w:pStyle w:val="BodyText"/>
        <w:spacing w:after="60" w:line="240" w:lineRule="auto"/>
        <w:ind w:firstLine="360"/>
        <w:jc w:val="both"/>
      </w:pPr>
      <w:r>
        <w:t>A third contribution is the emphasis on women’s agency. Participants described reopening trade, sharing agricultural products, organizing food preparation, mobilizing extended-family support, adapting shelter arrangements, participating in neighborhood decisions, and using religious and women’s community groups for psychosocial support. These forms of local action resemble findings that women frequently contribute to community resilience through informal care, social capital, and economic activity (5,11,30–33). Their role in local recovery should therefore be recognized in disaster-health planning, including formal representation in village disaster teams, health clusters, shelter planning, and risk-communication systems.</w:t>
      </w:r>
    </w:p>
    <w:p w14:paraId="3AE480B2" w14:textId="77777777" w:rsidR="00F72593" w:rsidRDefault="00000000" w:rsidP="00D41F32">
      <w:pPr>
        <w:pStyle w:val="BodyText"/>
        <w:spacing w:after="60" w:line="240" w:lineRule="auto"/>
        <w:ind w:firstLine="360"/>
        <w:jc w:val="both"/>
      </w:pPr>
      <w:r>
        <w:t>At the same time, women’s agency should not be romanticized. The ability to improvise food systems, self-manage contraception, borrow money, or redesign shelter may reflect resourcefulness, but it can also signal gaps in public support. Agency-based health promotion is most useful when institutions create conditions in which women can participate in decisions and access reliable services, not when communities are expected to compensate for missing infrastructure. This distinction is especially important for maternal and reproductive health, where delayed clinical care, unsafe sanitation, and interrupted contraception can have serious consequences (16–18,28,29).</w:t>
      </w:r>
    </w:p>
    <w:p w14:paraId="6B2A115E" w14:textId="77777777" w:rsidR="00F72593" w:rsidRDefault="00000000" w:rsidP="00D41F32">
      <w:pPr>
        <w:pStyle w:val="BodyText"/>
        <w:spacing w:after="60" w:line="240" w:lineRule="auto"/>
        <w:ind w:firstLine="360"/>
        <w:jc w:val="both"/>
      </w:pPr>
      <w:r>
        <w:t>The accounts of persistent fear, emotional numbness, sleep-related vigilance, and maternal anxiety also show the close connection between reproductive, caregiving, and mental health. Disaster exposure is associated with substantial psychological morbidity, and pregnancy-related stress can affect maternal well-being (1,2,34). Because this study did not use diagnostic instruments, these experiences should be understood as trauma-related symptoms rather than confirmed post-traumatic stress disorder. Community and spiritual practices described by participants may have supported coping and social connection, but they should complement rather than replace access to professional mental health care when needed. Post-traumatic growth and positive reappraisal have been documented after severe adversity, although such processes vary considerably between individuals (35).</w:t>
      </w:r>
    </w:p>
    <w:p w14:paraId="47E921C8" w14:textId="77777777" w:rsidR="00F72593" w:rsidRDefault="00000000" w:rsidP="00D41F32">
      <w:pPr>
        <w:pStyle w:val="Heading2"/>
        <w:spacing w:before="100" w:after="60"/>
        <w:jc w:val="both"/>
      </w:pPr>
      <w:r>
        <w:rPr>
          <w:rFonts w:ascii="Times New Roman" w:hAnsi="Times New Roman"/>
        </w:rPr>
        <w:t>Implications for Reproductive Health Promotion and Disaster Planning</w:t>
      </w:r>
    </w:p>
    <w:p w14:paraId="55C1DF61" w14:textId="77777777" w:rsidR="00F72593" w:rsidRDefault="00000000" w:rsidP="00D41F32">
      <w:pPr>
        <w:pStyle w:val="BodyText"/>
        <w:spacing w:after="60" w:line="240" w:lineRule="auto"/>
        <w:ind w:firstLine="360"/>
        <w:jc w:val="both"/>
      </w:pPr>
      <w:r>
        <w:t xml:space="preserve">The findings suggest four priorities for gender-responsive disaster health planning. First, menstrual hygiene supplies, private and sex-separated sanitation, safe postpartum spaces, maternal and newborn care, and continuity of contraception should be incorporated into the first </w:t>
      </w:r>
      <w:r>
        <w:lastRenderedPageBreak/>
        <w:t>phase of emergency logistics in accordance with reproductive health emergency standards (16–18). Second, shelter and housing planning should include women’s perspectives on privacy, infant care, mobility, and rapid evacuation. Third, local risk communication should use trusted community networks to reduce harmful misinformation and ensure that women caring for children or older relatives receive timely information. Fourth, women’s groups and local leaders should be included in aid registration, distribution, community-kitchen planning, and recovery decisions so that practical household knowledge informs formal response systems.</w:t>
      </w:r>
    </w:p>
    <w:p w14:paraId="09A37165" w14:textId="77777777" w:rsidR="00F72593" w:rsidRDefault="00000000" w:rsidP="00D41F32">
      <w:pPr>
        <w:pStyle w:val="Heading2"/>
        <w:spacing w:before="100" w:after="60"/>
        <w:jc w:val="both"/>
      </w:pPr>
      <w:r>
        <w:rPr>
          <w:rFonts w:ascii="Times New Roman" w:hAnsi="Times New Roman"/>
        </w:rPr>
        <w:t>Strengths and Limitations</w:t>
      </w:r>
    </w:p>
    <w:p w14:paraId="5E41EB68" w14:textId="77777777" w:rsidR="00F72593" w:rsidRDefault="00000000" w:rsidP="00D41F32">
      <w:pPr>
        <w:pStyle w:val="BodyText"/>
        <w:spacing w:after="60" w:line="240" w:lineRule="auto"/>
        <w:ind w:firstLine="360"/>
        <w:jc w:val="both"/>
      </w:pPr>
      <w:r>
        <w:t>A strength of this study is its survivor-centered focus on the intersection of reproductive health, gendered responsibilities, institutional access, and self-directed recovery. The long interval since the earthquake also allowed participants to reflect on which adaptations persisted into later life. The study used reflexive thematic analysis, participant feedback, and explicit researcher positionality to support transparency.</w:t>
      </w:r>
    </w:p>
    <w:p w14:paraId="21F0EC12" w14:textId="77777777" w:rsidR="00F72593" w:rsidRDefault="00000000" w:rsidP="00D41F32">
      <w:pPr>
        <w:pStyle w:val="BodyText"/>
        <w:spacing w:after="60" w:line="240" w:lineRule="auto"/>
        <w:ind w:firstLine="360"/>
        <w:jc w:val="both"/>
      </w:pPr>
      <w:r>
        <w:t>Several limitations require caution. First, interviews were conducted almost two decades after the earthquake, creating substantial potential for recall bias, memory reconstruction, and influence from later experiences. Member feedback may improve representational credibility but cannot eliminate this limitation. Second, the sample was small, purposive, and drawn from one district; findings are not intended to estimate prevalence or be statistically generalized. Third, the study included only women survivors and did not triangulate accounts with men, health workers, government officials, or contemporaneous administrative records. Fourth, online interviewing, even with field assistance, may have influenced disclosure or privacy. Fifth, reported symptoms such as fear, respiratory illness, reproductive tract infection risk, or delayed labor were not clinically verified, and causal relationships cannot be inferred from retrospective qualitative narratives. Finally, coding density or software visualization was not interpreted as a quantitative measure of the relative importance of themes.</w:t>
      </w:r>
    </w:p>
    <w:p w14:paraId="329D289C" w14:textId="77777777" w:rsidR="00F72593" w:rsidRDefault="00000000" w:rsidP="00D41F32">
      <w:pPr>
        <w:pStyle w:val="Heading1"/>
        <w:spacing w:before="160" w:after="60"/>
        <w:jc w:val="both"/>
      </w:pPr>
      <w:r>
        <w:rPr>
          <w:rFonts w:ascii="Times New Roman" w:hAnsi="Times New Roman"/>
        </w:rPr>
        <w:t>Conclusions</w:t>
      </w:r>
    </w:p>
    <w:p w14:paraId="522BB9BE" w14:textId="77777777" w:rsidR="00F72593" w:rsidRDefault="00000000" w:rsidP="00D41F32">
      <w:pPr>
        <w:pStyle w:val="BodyText"/>
        <w:spacing w:after="60" w:line="240" w:lineRule="auto"/>
        <w:ind w:firstLine="360"/>
        <w:jc w:val="both"/>
      </w:pPr>
      <w:r>
        <w:t>Women survivors of the 2006 Bantul earthquake described reproductive health vulnerability as an interaction between bodily needs, gendered caregiving responsibilities, disrupted services, shelter conditions, and administrative or logistical barriers. They also described substantial agency through household adaptation, community organization, economic recovery, reproductive decision-making, spatial preparedness, and social or spiritual support. Disaster health policy should therefore combine reliable reproductive health protection with meaningful participation of women in shelter, logistics, risk communication, and recovery planning. Recognizing women as active partners in disaster management should strengthen, rather than replace, institutional responsibility for equitable health services and protection.</w:t>
      </w:r>
    </w:p>
    <w:p w14:paraId="72819C64" w14:textId="77777777" w:rsidR="00F72593" w:rsidRDefault="00000000" w:rsidP="00D41F32">
      <w:pPr>
        <w:pStyle w:val="Heading1"/>
        <w:spacing w:before="160" w:after="60"/>
        <w:jc w:val="both"/>
      </w:pPr>
      <w:r>
        <w:rPr>
          <w:rFonts w:ascii="Times New Roman" w:hAnsi="Times New Roman"/>
        </w:rPr>
        <w:t>Acknowledgments</w:t>
      </w:r>
    </w:p>
    <w:p w14:paraId="71599785" w14:textId="77777777" w:rsidR="00F72593" w:rsidRDefault="00000000" w:rsidP="00D41F32">
      <w:pPr>
        <w:pStyle w:val="BodyText"/>
        <w:spacing w:after="60" w:line="240" w:lineRule="auto"/>
        <w:jc w:val="both"/>
      </w:pPr>
      <w:r>
        <w:t>The authors thank all women who shared their experiences of the 2006 Bantul earthquake and the local field assistants who supported secure digital access and follow-up communication.</w:t>
      </w:r>
    </w:p>
    <w:p w14:paraId="1516B870" w14:textId="77777777" w:rsidR="00F72593" w:rsidRDefault="00000000" w:rsidP="00D41F32">
      <w:pPr>
        <w:pStyle w:val="Heading1"/>
        <w:spacing w:before="160" w:after="60"/>
        <w:jc w:val="both"/>
      </w:pPr>
      <w:r>
        <w:rPr>
          <w:rFonts w:ascii="Times New Roman" w:hAnsi="Times New Roman"/>
        </w:rPr>
        <w:t>Conflict of Interest</w:t>
      </w:r>
    </w:p>
    <w:p w14:paraId="23AE628D" w14:textId="77777777" w:rsidR="00F72593" w:rsidRDefault="00000000" w:rsidP="00D41F32">
      <w:pPr>
        <w:pStyle w:val="BodyText"/>
        <w:spacing w:after="60" w:line="240" w:lineRule="auto"/>
        <w:jc w:val="both"/>
      </w:pPr>
      <w:r>
        <w:t>The authors declare no financial or non-financial conflicts of interest related to this manuscript.</w:t>
      </w:r>
    </w:p>
    <w:p w14:paraId="74078819" w14:textId="77777777" w:rsidR="00F72593" w:rsidRDefault="00000000" w:rsidP="00D41F32">
      <w:pPr>
        <w:pStyle w:val="Heading1"/>
        <w:spacing w:before="160" w:after="60"/>
        <w:jc w:val="both"/>
      </w:pPr>
      <w:r>
        <w:rPr>
          <w:rFonts w:ascii="Times New Roman" w:hAnsi="Times New Roman"/>
        </w:rPr>
        <w:t>Funding</w:t>
      </w:r>
    </w:p>
    <w:p w14:paraId="5FFD0EDB" w14:textId="77777777" w:rsidR="00F72593" w:rsidRDefault="00000000" w:rsidP="00D41F32">
      <w:pPr>
        <w:pStyle w:val="BodyText"/>
        <w:spacing w:after="60" w:line="240" w:lineRule="auto"/>
        <w:jc w:val="both"/>
      </w:pPr>
      <w:r>
        <w:t>[Blinded for peer review.]</w:t>
      </w:r>
    </w:p>
    <w:p w14:paraId="0A2FD76E" w14:textId="77777777" w:rsidR="00F72593" w:rsidRDefault="00000000" w:rsidP="00D41F32">
      <w:pPr>
        <w:pStyle w:val="Heading1"/>
        <w:spacing w:before="160" w:after="60"/>
        <w:jc w:val="both"/>
      </w:pPr>
      <w:r>
        <w:rPr>
          <w:rFonts w:ascii="Times New Roman" w:hAnsi="Times New Roman"/>
        </w:rPr>
        <w:lastRenderedPageBreak/>
        <w:t>Data Availability</w:t>
      </w:r>
    </w:p>
    <w:p w14:paraId="686851B4" w14:textId="77777777" w:rsidR="00F72593" w:rsidRDefault="00000000" w:rsidP="00D41F32">
      <w:pPr>
        <w:pStyle w:val="BodyText"/>
        <w:spacing w:after="60" w:line="240" w:lineRule="auto"/>
        <w:jc w:val="both"/>
      </w:pPr>
      <w:r>
        <w:t>Anonymized interview transcripts supporting the findings may be available from the corresponding author upon reasonable request, subject to participant confidentiality, ethical commitments, and institutional requirements.</w:t>
      </w:r>
    </w:p>
    <w:p w14:paraId="05134FD2" w14:textId="77777777" w:rsidR="00F72593" w:rsidRDefault="00000000" w:rsidP="00D41F32">
      <w:pPr>
        <w:pStyle w:val="Heading1"/>
        <w:spacing w:before="160" w:after="60"/>
        <w:jc w:val="both"/>
      </w:pPr>
      <w:r>
        <w:rPr>
          <w:rFonts w:ascii="Times New Roman" w:hAnsi="Times New Roman"/>
        </w:rPr>
        <w:t>References</w:t>
      </w:r>
    </w:p>
    <w:p w14:paraId="50E9CE34" w14:textId="5F418A24" w:rsidR="00F72593" w:rsidRDefault="00000000" w:rsidP="00D41F32">
      <w:pPr>
        <w:pStyle w:val="BodyText"/>
        <w:numPr>
          <w:ilvl w:val="0"/>
          <w:numId w:val="11"/>
        </w:numPr>
        <w:spacing w:after="40" w:line="240" w:lineRule="auto"/>
        <w:jc w:val="both"/>
      </w:pPr>
      <w:r>
        <w:t xml:space="preserve">Galea S, Nandi A, Vlahov D. The epidemiology of post-traumatic stress disorder after disasters. Epidemiol Rev. </w:t>
      </w:r>
      <w:proofErr w:type="gramStart"/>
      <w:r>
        <w:t>2005;27:78</w:t>
      </w:r>
      <w:proofErr w:type="gramEnd"/>
      <w:r>
        <w:t>–91. doi:10.1093/epirev/mxi003.</w:t>
      </w:r>
    </w:p>
    <w:p w14:paraId="34989375" w14:textId="2DAFB5E6" w:rsidR="00F72593" w:rsidRDefault="00000000" w:rsidP="00D41F32">
      <w:pPr>
        <w:pStyle w:val="BodyText"/>
        <w:numPr>
          <w:ilvl w:val="0"/>
          <w:numId w:val="11"/>
        </w:numPr>
        <w:spacing w:after="40" w:line="240" w:lineRule="auto"/>
        <w:jc w:val="both"/>
      </w:pPr>
      <w:r>
        <w:t xml:space="preserve">Goldmann E, Galea S. Mental health consequences of disasters. Annu Rev Public Health. </w:t>
      </w:r>
      <w:proofErr w:type="gramStart"/>
      <w:r>
        <w:t>2014;35:169</w:t>
      </w:r>
      <w:proofErr w:type="gramEnd"/>
      <w:r>
        <w:t>–183. doi:10.1146/annurev-publhealth-032013-182435.</w:t>
      </w:r>
    </w:p>
    <w:p w14:paraId="5C5DBEED" w14:textId="48E20EF2" w:rsidR="00F72593" w:rsidRDefault="00000000" w:rsidP="00D41F32">
      <w:pPr>
        <w:pStyle w:val="BodyText"/>
        <w:numPr>
          <w:ilvl w:val="0"/>
          <w:numId w:val="11"/>
        </w:numPr>
        <w:spacing w:after="40" w:line="240" w:lineRule="auto"/>
        <w:jc w:val="both"/>
      </w:pPr>
      <w:r>
        <w:t xml:space="preserve">Neumayer E, </w:t>
      </w:r>
      <w:proofErr w:type="spellStart"/>
      <w:r>
        <w:t>Plümper</w:t>
      </w:r>
      <w:proofErr w:type="spellEnd"/>
      <w:r>
        <w:t xml:space="preserve"> T. The gendered nature of natural disasters: the impact of catastrophic events on the gender gap in life expectancy, 1981–2002. Ann Assoc Am Geogr. 2007;97(3):551–566. doi:10.1111/j.1467-8306.2007.</w:t>
      </w:r>
      <w:proofErr w:type="gramStart"/>
      <w:r>
        <w:t>00563.x.</w:t>
      </w:r>
      <w:proofErr w:type="gramEnd"/>
    </w:p>
    <w:p w14:paraId="1372789F" w14:textId="23644450" w:rsidR="00F72593" w:rsidRDefault="00000000" w:rsidP="00D41F32">
      <w:pPr>
        <w:pStyle w:val="BodyText"/>
        <w:numPr>
          <w:ilvl w:val="0"/>
          <w:numId w:val="11"/>
        </w:numPr>
        <w:spacing w:after="40" w:line="240" w:lineRule="auto"/>
        <w:jc w:val="both"/>
      </w:pPr>
      <w:r>
        <w:t>Enarson E. Women, Gender, and Disaster: Global Perspectives. New Delhi: SAGE Publications India; 2012.</w:t>
      </w:r>
    </w:p>
    <w:p w14:paraId="298A1C2B" w14:textId="589D8834" w:rsidR="00F72593" w:rsidRDefault="00000000" w:rsidP="00D41F32">
      <w:pPr>
        <w:pStyle w:val="BodyText"/>
        <w:numPr>
          <w:ilvl w:val="0"/>
          <w:numId w:val="11"/>
        </w:numPr>
        <w:spacing w:after="40" w:line="240" w:lineRule="auto"/>
        <w:jc w:val="both"/>
      </w:pPr>
      <w:r>
        <w:t xml:space="preserve">Arora-Jonsson S. Virtue and vulnerability: discourses on women, gender and climate change. Glob Environ Change. 2011;21(2):744–751. </w:t>
      </w:r>
      <w:proofErr w:type="gramStart"/>
      <w:r>
        <w:t>doi:10.1016/j.gloenvcha</w:t>
      </w:r>
      <w:proofErr w:type="gramEnd"/>
      <w:r>
        <w:t>.2011.01.005.</w:t>
      </w:r>
    </w:p>
    <w:p w14:paraId="32675E23" w14:textId="2E7F163F" w:rsidR="00F72593" w:rsidRDefault="00000000" w:rsidP="00D41F32">
      <w:pPr>
        <w:pStyle w:val="BodyText"/>
        <w:numPr>
          <w:ilvl w:val="0"/>
          <w:numId w:val="11"/>
        </w:numPr>
        <w:spacing w:after="40" w:line="240" w:lineRule="auto"/>
        <w:jc w:val="both"/>
      </w:pPr>
      <w:r>
        <w:t>Bradshaw S. Gender, Development and Disasters. Cheltenham: Edward Elgar Publishing; 2013. doi:10.4337/9781782548232.</w:t>
      </w:r>
    </w:p>
    <w:p w14:paraId="42932740" w14:textId="5C85432E" w:rsidR="00F72593" w:rsidRDefault="00000000" w:rsidP="00D41F32">
      <w:pPr>
        <w:pStyle w:val="BodyText"/>
        <w:numPr>
          <w:ilvl w:val="0"/>
          <w:numId w:val="11"/>
        </w:numPr>
        <w:spacing w:after="40" w:line="240" w:lineRule="auto"/>
        <w:jc w:val="both"/>
      </w:pPr>
      <w:r>
        <w:t xml:space="preserve">Sommer M, </w:t>
      </w:r>
      <w:proofErr w:type="spellStart"/>
      <w:r>
        <w:t>Chandraratna</w:t>
      </w:r>
      <w:proofErr w:type="spellEnd"/>
      <w:r>
        <w:t xml:space="preserve"> S, Cavill S, Mahon T, Phillips-Howard P. Managing menstruation in the workplace: an overlooked issue in low- and middle-income countries. Int J Equity Health. </w:t>
      </w:r>
      <w:proofErr w:type="gramStart"/>
      <w:r>
        <w:t>2016;15:86</w:t>
      </w:r>
      <w:proofErr w:type="gramEnd"/>
      <w:r>
        <w:t>. doi:10.1186/s12939-016-0379-8.</w:t>
      </w:r>
    </w:p>
    <w:p w14:paraId="2255A77B" w14:textId="7F6F22CF" w:rsidR="00F72593" w:rsidRDefault="00000000" w:rsidP="00D41F32">
      <w:pPr>
        <w:pStyle w:val="BodyText"/>
        <w:numPr>
          <w:ilvl w:val="0"/>
          <w:numId w:val="11"/>
        </w:numPr>
        <w:spacing w:after="40" w:line="240" w:lineRule="auto"/>
        <w:jc w:val="both"/>
      </w:pPr>
      <w:r>
        <w:t>Chaudhary P, Vallese G, Thapa M, Alvarez VB, Pradhan LM, Bajracharya K, et al. Humanitarian response to reproductive and sexual health needs in a disaster: the 2015 Nepal earthquake case study. Reprod Health Matters. 2017;25(51):25–39. doi:10.1080/09688080.2017.1405664.</w:t>
      </w:r>
    </w:p>
    <w:p w14:paraId="4B06DC5F" w14:textId="65975D00" w:rsidR="00F72593" w:rsidRDefault="00000000" w:rsidP="00D41F32">
      <w:pPr>
        <w:pStyle w:val="BodyText"/>
        <w:numPr>
          <w:ilvl w:val="0"/>
          <w:numId w:val="11"/>
        </w:numPr>
        <w:spacing w:after="40" w:line="240" w:lineRule="auto"/>
        <w:jc w:val="both"/>
      </w:pPr>
      <w:r>
        <w:t>Thurston AM, Stöckl H, Ranganathan M. Natural hazards, disasters and violence against women and girls: a global mixed-methods systematic review. BMJ Glob Health. 2021;6(5</w:t>
      </w:r>
      <w:proofErr w:type="gramStart"/>
      <w:r>
        <w:t>):e</w:t>
      </w:r>
      <w:proofErr w:type="gramEnd"/>
      <w:r>
        <w:t>004377. doi:10.1136/bmjgh-2020-004377.</w:t>
      </w:r>
    </w:p>
    <w:p w14:paraId="6140F550" w14:textId="7AD7C84D" w:rsidR="00F72593" w:rsidRDefault="00000000" w:rsidP="00D41F32">
      <w:pPr>
        <w:pStyle w:val="BodyText"/>
        <w:numPr>
          <w:ilvl w:val="0"/>
          <w:numId w:val="11"/>
        </w:numPr>
        <w:spacing w:after="40" w:line="240" w:lineRule="auto"/>
        <w:jc w:val="both"/>
      </w:pPr>
      <w:r>
        <w:t>Muñoz-Nieves C, Greaves L, Huber E, Brabete AC, Wolfson L, Poole N. Sex and gender influences on the impacts of disasters: a rapid review of evidence. Int J Environ Res Public Health. 2025;22(9):1417. doi:10.3390/ijerph22091417.</w:t>
      </w:r>
    </w:p>
    <w:p w14:paraId="140FDEDF" w14:textId="432C231D" w:rsidR="00F72593" w:rsidRDefault="00000000" w:rsidP="00D41F32">
      <w:pPr>
        <w:pStyle w:val="BodyText"/>
        <w:numPr>
          <w:ilvl w:val="0"/>
          <w:numId w:val="11"/>
        </w:numPr>
        <w:spacing w:after="40" w:line="240" w:lineRule="auto"/>
        <w:jc w:val="both"/>
      </w:pPr>
      <w:r>
        <w:t>Gaillard JC, Sanz K, Balgos BC, Dalisay SNM, Gorman-Murray A, Smith F, et al. Beyond men and women: a critical perspective on gender and disaster. Disasters. 2017;41(3):429–447. doi:10.1111/disa.12209.</w:t>
      </w:r>
    </w:p>
    <w:p w14:paraId="3FE5DE90" w14:textId="0F4BF42B" w:rsidR="00F72593" w:rsidRDefault="00000000" w:rsidP="00D41F32">
      <w:pPr>
        <w:pStyle w:val="BodyText"/>
        <w:numPr>
          <w:ilvl w:val="0"/>
          <w:numId w:val="11"/>
        </w:numPr>
        <w:spacing w:after="40" w:line="240" w:lineRule="auto"/>
        <w:jc w:val="both"/>
      </w:pPr>
      <w:r>
        <w:t>World Health Organization Emergency and Humanitarian Action, Indonesia. Emergency Situation Report 1: Volcanic Eruption and Earthquake in Central Java and Yogyakarta Provinces. Jakarta: WHO; 2006.</w:t>
      </w:r>
    </w:p>
    <w:p w14:paraId="70981413" w14:textId="6FE2C6EC" w:rsidR="00F72593" w:rsidRDefault="00000000" w:rsidP="00D41F32">
      <w:pPr>
        <w:pStyle w:val="BodyText"/>
        <w:numPr>
          <w:ilvl w:val="0"/>
          <w:numId w:val="11"/>
        </w:numPr>
        <w:spacing w:after="40" w:line="240" w:lineRule="auto"/>
        <w:jc w:val="both"/>
      </w:pPr>
      <w:r>
        <w:t>BAPPENAS, Government of the Special Region of Yogyakarta, Government of Central Java, and International Partners. Preliminary Damage and Loss Assessment: Yogyakarta and Central Java Natural Disaster. Jakarta: National Development Planning Agency; 2006.</w:t>
      </w:r>
    </w:p>
    <w:p w14:paraId="15470DF9" w14:textId="69F63981" w:rsidR="00F72593" w:rsidRDefault="00000000" w:rsidP="00D41F32">
      <w:pPr>
        <w:pStyle w:val="BodyText"/>
        <w:numPr>
          <w:ilvl w:val="0"/>
          <w:numId w:val="11"/>
        </w:numPr>
        <w:spacing w:after="40" w:line="240" w:lineRule="auto"/>
        <w:jc w:val="both"/>
      </w:pPr>
      <w:proofErr w:type="spellStart"/>
      <w:r>
        <w:lastRenderedPageBreak/>
        <w:t>Anantasari</w:t>
      </w:r>
      <w:proofErr w:type="spellEnd"/>
      <w:r>
        <w:t xml:space="preserve"> E, Davies SG. Gender-sensitive disaster risk reduction in Indonesia. GNS Science International Consultancy Report 2019/11. Lower Hutt, New Zealand: GNS Science; 2019.</w:t>
      </w:r>
    </w:p>
    <w:p w14:paraId="61EFC0AD" w14:textId="2608E7C0" w:rsidR="00F72593" w:rsidRDefault="00000000" w:rsidP="00D41F32">
      <w:pPr>
        <w:pStyle w:val="BodyText"/>
        <w:numPr>
          <w:ilvl w:val="0"/>
          <w:numId w:val="11"/>
        </w:numPr>
        <w:spacing w:after="40" w:line="240" w:lineRule="auto"/>
        <w:jc w:val="both"/>
      </w:pPr>
      <w:r>
        <w:t>National Disaster Management Agency of Indonesia (BNPB). Regulation of the Head of the National Disaster Management Agency No. 13 of 2014 on Gender Mainstreaming in Disaster Management. Jakarta: BNPB; 2014.</w:t>
      </w:r>
    </w:p>
    <w:p w14:paraId="45BFA808" w14:textId="3EAF7B14" w:rsidR="00F72593" w:rsidRDefault="00000000" w:rsidP="00D41F32">
      <w:pPr>
        <w:pStyle w:val="BodyText"/>
        <w:numPr>
          <w:ilvl w:val="0"/>
          <w:numId w:val="11"/>
        </w:numPr>
        <w:spacing w:after="40" w:line="240" w:lineRule="auto"/>
        <w:jc w:val="both"/>
      </w:pPr>
      <w:r>
        <w:t>United Nations Population Fund. The Minimum Initial Service Package (MISP) for Sexual and Reproductive Health in Crisis Situations: A Distance Learning Module. New York: UNFPA; 2015.</w:t>
      </w:r>
    </w:p>
    <w:p w14:paraId="649E060F" w14:textId="6D118F4C" w:rsidR="00F72593" w:rsidRDefault="00000000" w:rsidP="00D41F32">
      <w:pPr>
        <w:pStyle w:val="BodyText"/>
        <w:numPr>
          <w:ilvl w:val="0"/>
          <w:numId w:val="11"/>
        </w:numPr>
        <w:spacing w:after="40" w:line="240" w:lineRule="auto"/>
        <w:jc w:val="both"/>
      </w:pPr>
      <w:r>
        <w:t>Ministry of Health of the Republic of Indonesia, United Nations Population Fund. Training Module on the Minimum Initial Service Package of Reproductive Health Services in Disaster Emergencies. Jakarta: Ministry of Health; 2017.</w:t>
      </w:r>
    </w:p>
    <w:p w14:paraId="1D5B4E69" w14:textId="55B33910" w:rsidR="00F72593" w:rsidRDefault="00000000" w:rsidP="00D41F32">
      <w:pPr>
        <w:pStyle w:val="BodyText"/>
        <w:numPr>
          <w:ilvl w:val="0"/>
          <w:numId w:val="11"/>
        </w:numPr>
        <w:spacing w:after="40" w:line="240" w:lineRule="auto"/>
        <w:jc w:val="both"/>
      </w:pPr>
      <w:r>
        <w:t>Sphere Association. The Sphere Handbook: Humanitarian Charter and Minimum Standards in Humanitarian Response. 4th ed. Geneva: Sphere Association; 2018.</w:t>
      </w:r>
    </w:p>
    <w:p w14:paraId="52DBC745" w14:textId="57A10EBA" w:rsidR="00F72593" w:rsidRDefault="00000000" w:rsidP="00D41F32">
      <w:pPr>
        <w:pStyle w:val="BodyText"/>
        <w:numPr>
          <w:ilvl w:val="0"/>
          <w:numId w:val="11"/>
        </w:numPr>
        <w:spacing w:after="40" w:line="240" w:lineRule="auto"/>
        <w:jc w:val="both"/>
      </w:pPr>
      <w:r>
        <w:t>United Nations Office for Disaster Risk Reduction. Global Assessment Report on Disaster Risk Reduction 2019. Geneva: UNDRR; 2019.</w:t>
      </w:r>
    </w:p>
    <w:p w14:paraId="54787396" w14:textId="58BECF55" w:rsidR="00F72593" w:rsidRDefault="00000000" w:rsidP="00D41F32">
      <w:pPr>
        <w:pStyle w:val="BodyText"/>
        <w:numPr>
          <w:ilvl w:val="0"/>
          <w:numId w:val="11"/>
        </w:numPr>
        <w:spacing w:after="40" w:line="240" w:lineRule="auto"/>
        <w:jc w:val="both"/>
      </w:pPr>
      <w:r>
        <w:t>Braun V, Clarke V. Using thematic analysis in psychology. Qual Res Psychol. 2006;3(2):77–101. doi:10.1191/1478088706qp063oa.</w:t>
      </w:r>
    </w:p>
    <w:p w14:paraId="2BF7334F" w14:textId="2B24E0F3" w:rsidR="00F72593" w:rsidRDefault="00000000" w:rsidP="00D41F32">
      <w:pPr>
        <w:pStyle w:val="BodyText"/>
        <w:numPr>
          <w:ilvl w:val="0"/>
          <w:numId w:val="11"/>
        </w:numPr>
        <w:spacing w:after="40" w:line="240" w:lineRule="auto"/>
        <w:jc w:val="both"/>
      </w:pPr>
      <w:r>
        <w:t>Braun V, Clarke V. Reflecting on reflexive thematic analysis. Qual Res Sport Exerc Health. 2019;11(4):589–597. doi:10.1080/2159676X.2019.1628806.</w:t>
      </w:r>
    </w:p>
    <w:p w14:paraId="4578342B" w14:textId="40D6816D" w:rsidR="00F72593" w:rsidRDefault="00000000" w:rsidP="00D41F32">
      <w:pPr>
        <w:pStyle w:val="BodyText"/>
        <w:numPr>
          <w:ilvl w:val="0"/>
          <w:numId w:val="11"/>
        </w:numPr>
        <w:spacing w:after="40" w:line="240" w:lineRule="auto"/>
        <w:jc w:val="both"/>
      </w:pPr>
      <w:r>
        <w:t>Tong A, Sainsbury P, Craig J. Consolidated criteria for reporting qualitative research (COREQ): a 32-item checklist for interviews and focus groups. Int J Qual Health Care. 2007;19(6):349–357. doi:10.1093/intqhc/mzm042.</w:t>
      </w:r>
    </w:p>
    <w:p w14:paraId="2F7620A0" w14:textId="00300074" w:rsidR="00F72593" w:rsidRDefault="00000000" w:rsidP="00D41F32">
      <w:pPr>
        <w:pStyle w:val="BodyText"/>
        <w:numPr>
          <w:ilvl w:val="0"/>
          <w:numId w:val="11"/>
        </w:numPr>
        <w:spacing w:after="40" w:line="240" w:lineRule="auto"/>
        <w:jc w:val="both"/>
      </w:pPr>
      <w:r>
        <w:t>Erman A, De Vries Robbé SA, Thies SF, Kabir K, Maruo M. Gender Dimensions of Disaster Risk and Resilience. Washington, DC: World Bank; 2021. doi:10.1596/35202.</w:t>
      </w:r>
    </w:p>
    <w:p w14:paraId="61CE6D25" w14:textId="4C8E0B0D" w:rsidR="00F72593" w:rsidRDefault="00000000" w:rsidP="00D41F32">
      <w:pPr>
        <w:pStyle w:val="BodyText"/>
        <w:numPr>
          <w:ilvl w:val="0"/>
          <w:numId w:val="11"/>
        </w:numPr>
        <w:spacing w:after="40" w:line="240" w:lineRule="auto"/>
        <w:jc w:val="both"/>
      </w:pPr>
      <w:r>
        <w:t>Fisher S. Violence against women and natural disasters: findings from post-tsunami Sri Lanka. Violence Against Women. 2010;16(8):902–918. doi:10.1177/1077801210377649.</w:t>
      </w:r>
    </w:p>
    <w:p w14:paraId="473E082C" w14:textId="004AD250" w:rsidR="00F72593" w:rsidRDefault="00000000" w:rsidP="00D41F32">
      <w:pPr>
        <w:pStyle w:val="BodyText"/>
        <w:numPr>
          <w:ilvl w:val="0"/>
          <w:numId w:val="11"/>
        </w:numPr>
        <w:spacing w:after="40" w:line="240" w:lineRule="auto"/>
        <w:jc w:val="both"/>
      </w:pPr>
      <w:r>
        <w:t>Parkinson D. Investigating the increase in domestic violence post disaster: an Australian case study. J Interpers Violence. 2019;34(11):2333–2362. doi:10.1177/0886260517696876.</w:t>
      </w:r>
    </w:p>
    <w:p w14:paraId="31CC50C2" w14:textId="5172E7BB" w:rsidR="00F72593" w:rsidRDefault="00000000" w:rsidP="00D41F32">
      <w:pPr>
        <w:pStyle w:val="BodyText"/>
        <w:numPr>
          <w:ilvl w:val="0"/>
          <w:numId w:val="11"/>
        </w:numPr>
        <w:spacing w:after="40" w:line="240" w:lineRule="auto"/>
        <w:jc w:val="both"/>
      </w:pPr>
      <w:r>
        <w:t>World Bank. The Java Reconstruction Fund 2006–2012: Partnering for Progress in Post-Disaster Recovery. Washington, DC: World Bank; 2012.</w:t>
      </w:r>
    </w:p>
    <w:p w14:paraId="0642F4FA" w14:textId="4030D244" w:rsidR="00F72593" w:rsidRDefault="00000000" w:rsidP="00D41F32">
      <w:pPr>
        <w:pStyle w:val="BodyText"/>
        <w:numPr>
          <w:ilvl w:val="0"/>
          <w:numId w:val="11"/>
        </w:numPr>
        <w:spacing w:after="40" w:line="240" w:lineRule="auto"/>
        <w:jc w:val="both"/>
      </w:pPr>
      <w:proofErr w:type="spellStart"/>
      <w:r>
        <w:t>Prihatmaji</w:t>
      </w:r>
      <w:proofErr w:type="spellEnd"/>
      <w:r>
        <w:t xml:space="preserve"> YP. Seismic behavior of traditional Javanese houses (Joglo). Dimens Tek Arsit. 2007;35(1):1–12.</w:t>
      </w:r>
    </w:p>
    <w:p w14:paraId="51BCCDC5" w14:textId="2BFF610F" w:rsidR="00F72593" w:rsidRDefault="00000000" w:rsidP="00D41F32">
      <w:pPr>
        <w:pStyle w:val="BodyText"/>
        <w:numPr>
          <w:ilvl w:val="0"/>
          <w:numId w:val="11"/>
        </w:numPr>
        <w:spacing w:after="40" w:line="240" w:lineRule="auto"/>
        <w:jc w:val="both"/>
      </w:pPr>
      <w:proofErr w:type="spellStart"/>
      <w:r>
        <w:t>Sochas</w:t>
      </w:r>
      <w:proofErr w:type="spellEnd"/>
      <w:r>
        <w:t xml:space="preserve"> L, Channon AA, Nam S. Counting indirect crisis-related deaths in the context of a low-resilience health system: the case of maternal deaths during the Ebola epidemic. Health Policy Plan. 2017;32(Suppl 3</w:t>
      </w:r>
      <w:proofErr w:type="gramStart"/>
      <w:r>
        <w:t>):iii</w:t>
      </w:r>
      <w:proofErr w:type="gramEnd"/>
      <w:r>
        <w:t>32–iii39. doi:10.1093/heapol/czx108.</w:t>
      </w:r>
    </w:p>
    <w:p w14:paraId="532EEC30" w14:textId="7F3B3491" w:rsidR="00F72593" w:rsidRDefault="00000000" w:rsidP="00D41F32">
      <w:pPr>
        <w:pStyle w:val="BodyText"/>
        <w:numPr>
          <w:ilvl w:val="0"/>
          <w:numId w:val="11"/>
        </w:numPr>
        <w:spacing w:after="40" w:line="240" w:lineRule="auto"/>
        <w:jc w:val="both"/>
      </w:pPr>
      <w:r>
        <w:t>Casey SE. Evaluations of reproductive health programs in humanitarian settings: a systematic review. Confl Health. 2015;9(Suppl 1</w:t>
      </w:r>
      <w:proofErr w:type="gramStart"/>
      <w:r>
        <w:t>):S</w:t>
      </w:r>
      <w:proofErr w:type="gramEnd"/>
      <w:r>
        <w:t>1. doi:10.1186/1752-1505-9-S1-S1.</w:t>
      </w:r>
    </w:p>
    <w:p w14:paraId="4A27BD50" w14:textId="1D5CA0C1" w:rsidR="00F72593" w:rsidRDefault="00000000" w:rsidP="00D41F32">
      <w:pPr>
        <w:pStyle w:val="BodyText"/>
        <w:numPr>
          <w:ilvl w:val="0"/>
          <w:numId w:val="11"/>
        </w:numPr>
        <w:spacing w:after="40" w:line="240" w:lineRule="auto"/>
        <w:jc w:val="both"/>
      </w:pPr>
      <w:r>
        <w:t>UN Women. The Effect of Gender Equality Programming on Humanitarian Outcomes. New York: United Nations Entity for Gender Equality and the Empowerment of Women; 2015.</w:t>
      </w:r>
    </w:p>
    <w:p w14:paraId="719671AA" w14:textId="058FCC2E" w:rsidR="00F72593" w:rsidRDefault="00000000" w:rsidP="00D41F32">
      <w:pPr>
        <w:pStyle w:val="BodyText"/>
        <w:numPr>
          <w:ilvl w:val="0"/>
          <w:numId w:val="11"/>
        </w:numPr>
        <w:spacing w:after="40" w:line="240" w:lineRule="auto"/>
        <w:jc w:val="both"/>
      </w:pPr>
      <w:r>
        <w:t xml:space="preserve">Rao N, Singh C, Solomon D, Camfield L, Sidiki R, Angula M, et al. Managing risk, changing aspirations and household dynamics: implications for wellbeing and adaptation </w:t>
      </w:r>
      <w:r>
        <w:lastRenderedPageBreak/>
        <w:t xml:space="preserve">in semi-arid Africa and India. World Dev. </w:t>
      </w:r>
      <w:proofErr w:type="gramStart"/>
      <w:r>
        <w:t>2020;125:104667</w:t>
      </w:r>
      <w:proofErr w:type="gramEnd"/>
      <w:r>
        <w:t xml:space="preserve">. </w:t>
      </w:r>
      <w:proofErr w:type="gramStart"/>
      <w:r>
        <w:t>doi:10.1016/j.worlddev</w:t>
      </w:r>
      <w:proofErr w:type="gramEnd"/>
      <w:r>
        <w:t>.2019.104667.</w:t>
      </w:r>
    </w:p>
    <w:p w14:paraId="33936B2A" w14:textId="7898BFCC" w:rsidR="00F72593" w:rsidRDefault="00000000" w:rsidP="00D41F32">
      <w:pPr>
        <w:pStyle w:val="BodyText"/>
        <w:numPr>
          <w:ilvl w:val="0"/>
          <w:numId w:val="11"/>
        </w:numPr>
        <w:spacing w:after="40" w:line="240" w:lineRule="auto"/>
        <w:jc w:val="both"/>
      </w:pPr>
      <w:proofErr w:type="spellStart"/>
      <w:r>
        <w:t>Resurrección</w:t>
      </w:r>
      <w:proofErr w:type="spellEnd"/>
      <w:r>
        <w:t xml:space="preserve"> BP, Elmhirst R, editors. Gender and Natural Resource Management: Livelihoods, Mobility and Interventions. London: Earthscan; 2008.</w:t>
      </w:r>
    </w:p>
    <w:p w14:paraId="3982ED05" w14:textId="1702F311" w:rsidR="00F72593" w:rsidRDefault="00000000" w:rsidP="00D41F32">
      <w:pPr>
        <w:pStyle w:val="BodyText"/>
        <w:numPr>
          <w:ilvl w:val="0"/>
          <w:numId w:val="11"/>
        </w:numPr>
        <w:spacing w:after="40" w:line="240" w:lineRule="auto"/>
        <w:jc w:val="both"/>
      </w:pPr>
      <w:r>
        <w:t xml:space="preserve">Hafez S, Samson SS, Tanner L, Pendle N. Self-care for maternal and reproductive health in conflict settings: a qualitative case study in the Nuba Mountains, Sudan. Front Glob Womens Health. </w:t>
      </w:r>
      <w:proofErr w:type="gramStart"/>
      <w:r>
        <w:t>2024;5:1367559</w:t>
      </w:r>
      <w:proofErr w:type="gramEnd"/>
      <w:r>
        <w:t>. doi:10.3389/fgwh.2024.1367559.</w:t>
      </w:r>
    </w:p>
    <w:p w14:paraId="6ECBAC95" w14:textId="673393B0" w:rsidR="00F72593" w:rsidRDefault="00000000" w:rsidP="00D41F32">
      <w:pPr>
        <w:pStyle w:val="BodyText"/>
        <w:numPr>
          <w:ilvl w:val="0"/>
          <w:numId w:val="11"/>
        </w:numPr>
        <w:spacing w:after="40" w:line="240" w:lineRule="auto"/>
        <w:jc w:val="both"/>
      </w:pPr>
      <w:r>
        <w:t xml:space="preserve">Dunkel Schetter C. Psychological science on pregnancy: stress processes, biopsychosocial models, and emerging research issues. Annu Rev Psychol. </w:t>
      </w:r>
      <w:proofErr w:type="gramStart"/>
      <w:r>
        <w:t>2011;62:531</w:t>
      </w:r>
      <w:proofErr w:type="gramEnd"/>
      <w:r>
        <w:t xml:space="preserve">–558. </w:t>
      </w:r>
      <w:proofErr w:type="gramStart"/>
      <w:r>
        <w:t>doi:10.1146/annurev.psych</w:t>
      </w:r>
      <w:proofErr w:type="gramEnd"/>
      <w:r>
        <w:t>.031809.130727.</w:t>
      </w:r>
    </w:p>
    <w:p w14:paraId="16A8D32E" w14:textId="40B5AFD6" w:rsidR="00F72593" w:rsidRDefault="00000000" w:rsidP="00D41F32">
      <w:pPr>
        <w:pStyle w:val="BodyText"/>
        <w:numPr>
          <w:ilvl w:val="0"/>
          <w:numId w:val="11"/>
        </w:numPr>
        <w:spacing w:after="40" w:line="240" w:lineRule="auto"/>
        <w:jc w:val="both"/>
      </w:pPr>
      <w:r>
        <w:t xml:space="preserve">Wu X, </w:t>
      </w:r>
      <w:proofErr w:type="spellStart"/>
      <w:r>
        <w:t>Kaminga</w:t>
      </w:r>
      <w:proofErr w:type="spellEnd"/>
      <w:r>
        <w:t xml:space="preserve"> AC, Dai W, Deng J, Wang Z, Pan X, et al. The prevalence of moderate-to-high posttraumatic growth: a systematic review and meta-analysis. J Affect Disord. </w:t>
      </w:r>
      <w:proofErr w:type="gramStart"/>
      <w:r>
        <w:t>2019;243:408</w:t>
      </w:r>
      <w:proofErr w:type="gramEnd"/>
      <w:r>
        <w:t xml:space="preserve">–415. </w:t>
      </w:r>
      <w:proofErr w:type="gramStart"/>
      <w:r>
        <w:t>doi:10.1016/j.jad</w:t>
      </w:r>
      <w:proofErr w:type="gramEnd"/>
      <w:r>
        <w:t>.2018.09.023.</w:t>
      </w:r>
    </w:p>
    <w:sectPr w:rsidR="00F72593">
      <w:footerReference w:type="default" r:id="rId8"/>
      <w:pgSz w:w="12240" w:h="15840"/>
      <w:pgMar w:top="1440" w:right="1440" w:bottom="1440" w:left="1440" w:header="576" w:footer="648"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B3D89" w14:textId="77777777" w:rsidR="00CA2ACB" w:rsidRDefault="00CA2ACB">
      <w:pPr>
        <w:spacing w:after="0" w:line="240" w:lineRule="auto"/>
      </w:pPr>
      <w:r>
        <w:separator/>
      </w:r>
    </w:p>
  </w:endnote>
  <w:endnote w:type="continuationSeparator" w:id="0">
    <w:p w14:paraId="46603D95" w14:textId="77777777" w:rsidR="00CA2ACB" w:rsidRDefault="00CA2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6F68" w14:textId="77777777" w:rsidR="00F72593" w:rsidRDefault="00000000">
    <w:pPr>
      <w:pStyle w:val="Footer"/>
      <w:jc w:val="center"/>
    </w:pPr>
    <w:r>
      <w:fldChar w:fldCharType="begin"/>
    </w:r>
    <w:r>
      <w:instrText xml:space="preserve"> PAGE </w:instrText>
    </w:r>
    <w:r w:rsidR="00D41F32">
      <w:fldChar w:fldCharType="separate"/>
    </w:r>
    <w:r w:rsidR="00D41F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5D10F" w14:textId="77777777" w:rsidR="00CA2ACB" w:rsidRDefault="00CA2ACB">
      <w:pPr>
        <w:spacing w:after="0" w:line="240" w:lineRule="auto"/>
      </w:pPr>
      <w:r>
        <w:separator/>
      </w:r>
    </w:p>
  </w:footnote>
  <w:footnote w:type="continuationSeparator" w:id="0">
    <w:p w14:paraId="42B018D5" w14:textId="77777777" w:rsidR="00CA2ACB" w:rsidRDefault="00CA2A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8E322B"/>
    <w:multiLevelType w:val="hybridMultilevel"/>
    <w:tmpl w:val="9BFED0B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A3F4902"/>
    <w:multiLevelType w:val="hybridMultilevel"/>
    <w:tmpl w:val="8ECCB6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56694760">
    <w:abstractNumId w:val="8"/>
  </w:num>
  <w:num w:numId="2" w16cid:durableId="2090958059">
    <w:abstractNumId w:val="6"/>
  </w:num>
  <w:num w:numId="3" w16cid:durableId="1138843408">
    <w:abstractNumId w:val="5"/>
  </w:num>
  <w:num w:numId="4" w16cid:durableId="1860460076">
    <w:abstractNumId w:val="4"/>
  </w:num>
  <w:num w:numId="5" w16cid:durableId="1582131031">
    <w:abstractNumId w:val="7"/>
  </w:num>
  <w:num w:numId="6" w16cid:durableId="1400596700">
    <w:abstractNumId w:val="3"/>
  </w:num>
  <w:num w:numId="7" w16cid:durableId="948006194">
    <w:abstractNumId w:val="2"/>
  </w:num>
  <w:num w:numId="8" w16cid:durableId="1774090717">
    <w:abstractNumId w:val="1"/>
  </w:num>
  <w:num w:numId="9" w16cid:durableId="266887813">
    <w:abstractNumId w:val="0"/>
  </w:num>
  <w:num w:numId="10" w16cid:durableId="942227842">
    <w:abstractNumId w:val="9"/>
  </w:num>
  <w:num w:numId="11" w16cid:durableId="12837315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E64"/>
    <w:rsid w:val="00034616"/>
    <w:rsid w:val="0006063C"/>
    <w:rsid w:val="0015074B"/>
    <w:rsid w:val="001E3303"/>
    <w:rsid w:val="0029639D"/>
    <w:rsid w:val="00326F90"/>
    <w:rsid w:val="00AA1D8D"/>
    <w:rsid w:val="00B47730"/>
    <w:rsid w:val="00CA2ACB"/>
    <w:rsid w:val="00CB0664"/>
    <w:rsid w:val="00D41F32"/>
    <w:rsid w:val="00F2138F"/>
    <w:rsid w:val="00F508CF"/>
    <w:rsid w:val="00F725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16563"/>
  <w14:defaultImageDpi w14:val="300"/>
  <w15:docId w15:val="{BA420408-927D-4708-92DA-798DE727A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Times New Roman" w:hAnsi="Times New Roman"/>
      <w:sz w:val="18"/>
    </w:rPr>
  </w:style>
  <w:style w:type="character" w:styleId="LineNumber">
    <w:name w:val="line number"/>
    <w:basedOn w:val="DefaultParagraphFont"/>
    <w:uiPriority w:val="99"/>
    <w:semiHidden/>
    <w:unhideWhenUsed/>
    <w:rsid w:val="00D41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5315</Words>
  <Characters>30301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cp:lastModifiedBy>
  <cp:revision>4</cp:revision>
  <dcterms:created xsi:type="dcterms:W3CDTF">2013-12-23T23:15:00Z</dcterms:created>
  <dcterms:modified xsi:type="dcterms:W3CDTF">2026-08-28T01:59:00Z</dcterms:modified>
  <cp:category/>
</cp:coreProperties>
</file>