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26"/>
        <w:gridCol w:w="3326"/>
        <w:gridCol w:w="3326"/>
      </w:tblGrid>
      <w:tr>
        <w:tc>
          <w:tcPr>
            <w:tcW w:type="dxa" w:w="1247"/>
            <w:vAlign w:val="center"/>
            <w:tcMar>
              <w:top w:w="40" w:type="dxa"/>
              <w:start w:w="40" w:type="dxa"/>
              <w:bottom w:w="40" w:type="dxa"/>
              <w:end w:w="40" w:type="dxa"/>
            </w:tcMar>
            <w:tcBorders>
              <w:top w:val="single" w:sz="8" w:color="000000"/>
              <w:bottom w:val="single" w:sz="8" w:color="000000"/>
            </w:tcBorders>
          </w:tcPr>
          <w:p>
            <w:pPr>
              <w:jc w:val="center"/>
            </w:pPr>
            <w:r>
              <w:rPr>
                <w:rFonts w:ascii="Arial" w:hAnsi="Arial"/>
                <w:b/>
                <w:sz w:val="40"/>
              </w:rPr>
              <w:t>JPKM</w:t>
            </w:r>
          </w:p>
        </w:tc>
        <w:tc>
          <w:tcPr>
            <w:tcW w:type="dxa" w:w="7597"/>
            <w:vAlign w:val="center"/>
            <w:tcMar>
              <w:top w:w="40" w:type="dxa"/>
              <w:start w:w="40" w:type="dxa"/>
              <w:bottom w:w="40" w:type="dxa"/>
              <w:end w:w="40" w:type="dxa"/>
            </w:tcMar>
            <w:tcBorders>
              <w:top w:val="single" w:sz="8" w:color="000000"/>
              <w:bottom w:val="single" w:sz="8" w:color="000000"/>
            </w:tcBorders>
          </w:tcPr>
          <w:p>
            <w:pPr>
              <w:jc w:val="center"/>
            </w:pPr>
            <w:r>
              <w:rPr>
                <w:rFonts w:ascii="Arial" w:hAnsi="Arial"/>
                <w:b/>
                <w:sz w:val="28"/>
              </w:rPr>
              <w:t>Jurnal Pengabdian Kesehatan Masyarakat</w:t>
            </w:r>
            <w:r>
              <w:rPr>
                <w:rFonts w:ascii="Arial" w:hAnsi="Arial"/>
                <w:i/>
                <w:sz w:val="15"/>
              </w:rPr>
              <w:br/>
              <w:t>http://ejurnal.ung.ac.id/index.php/jpkm/index</w:t>
            </w:r>
            <w:r>
              <w:rPr>
                <w:rFonts w:ascii="Arial" w:hAnsi="Arial"/>
                <w:sz w:val="22"/>
              </w:rPr>
              <w:br/>
              <w:t>E-ISSN 2774-3519</w:t>
            </w:r>
          </w:p>
        </w:tc>
        <w:tc>
          <w:tcPr>
            <w:tcW w:type="dxa" w:w="1247"/>
            <w:vAlign w:val="center"/>
            <w:tcMar>
              <w:top w:w="40" w:type="dxa"/>
              <w:start w:w="40" w:type="dxa"/>
              <w:bottom w:w="40" w:type="dxa"/>
              <w:end w:w="40" w:type="dxa"/>
            </w:tcMar>
            <w:tcBorders>
              <w:top w:val="single" w:sz="8" w:color="000000"/>
              <w:bottom w:val="single" w:sz="8" w:color="000000"/>
            </w:tcBorders>
          </w:tcPr>
          <w:p>
            <w:pPr>
              <w:jc w:val="center"/>
            </w:pPr>
            <w:r>
              <w:rPr>
                <w:rFonts w:ascii="Arial" w:hAnsi="Arial"/>
                <w:b/>
                <w:sz w:val="30"/>
              </w:rPr>
              <w:t>JPKM</w:t>
            </w:r>
          </w:p>
        </w:tc>
      </w:tr>
    </w:tbl>
    <w:p>
      <w:pPr>
        <w:spacing w:before="0" w:after="0" w:line="240" w:lineRule="auto"/>
        <w:jc w:val="center"/>
      </w:pPr>
      <w:r>
        <w:rPr>
          <w:rFonts w:ascii="Arial" w:hAnsi="Arial" w:eastAsia="Arial"/>
          <w:b w:val="0"/>
          <w:i w:val="0"/>
          <w:sz w:val="8"/>
        </w:rPr>
      </w:r>
    </w:p>
    <w:p>
      <w:pPr>
        <w:spacing w:before="40" w:after="160" w:line="240" w:lineRule="auto"/>
        <w:jc w:val="center"/>
      </w:pPr>
      <w:r>
        <w:rPr>
          <w:rFonts w:ascii="Arial" w:hAnsi="Arial" w:eastAsia="Arial"/>
          <w:b/>
          <w:i w:val="0"/>
          <w:sz w:val="28"/>
        </w:rPr>
        <w:t>PELAYANAN KESEHATAN GIGI DAN MULUT KEPADA MASYARAKAT SECARA TERPADU DI KOTA BAUBAU, SULAWESI TENGGARA</w:t>
      </w:r>
    </w:p>
    <w:p>
      <w:pPr>
        <w:spacing w:before="0" w:after="160" w:line="240" w:lineRule="auto"/>
        <w:jc w:val="center"/>
      </w:pPr>
      <w:r>
        <w:rPr>
          <w:rFonts w:ascii="Arial" w:hAnsi="Arial" w:eastAsia="Arial"/>
          <w:b/>
          <w:i/>
          <w:sz w:val="28"/>
        </w:rPr>
        <w:t>INTEGRATED ORAL HEALTH SERVICES FOR COMMUNITIES IN BAUBAU CITY, SOUTHEAST SULAWESI</w:t>
      </w:r>
    </w:p>
    <w:p>
      <w:pPr>
        <w:spacing w:line="240" w:lineRule="auto" w:after="60"/>
        <w:jc w:val="center"/>
      </w:pPr>
      <w:r>
        <w:rPr>
          <w:rFonts w:ascii="Arial" w:hAnsi="Arial"/>
          <w:b/>
          <w:sz w:val="22"/>
        </w:rPr>
        <w:t/>
      </w:r>
    </w:p>
    <w:p>
      <w:pPr>
        <w:spacing w:before="0" w:after="20" w:line="240" w:lineRule="auto"/>
        <w:jc w:val="center"/>
      </w:pPr>
      <w:r>
        <w:rPr>
          <w:rFonts w:ascii="Arial" w:hAnsi="Arial"/>
          <w:sz w:val="20"/>
        </w:rPr>
        <w:t/>
      </w:r>
    </w:p>
    <w:p>
      <w:pPr>
        <w:spacing w:before="0" w:after="140" w:line="240" w:lineRule="auto"/>
        <w:jc w:val="center"/>
      </w:pPr>
      <w:r>
        <w:rPr>
          <w:rFonts w:ascii="Arial" w:hAnsi="Arial"/>
          <w:sz w:val="20"/>
        </w:rPr>
        <w:t/>
      </w:r>
    </w:p>
    <w:p>
      <w:pPr>
        <w:spacing w:before="0" w:after="20" w:line="240" w:lineRule="auto"/>
        <w:jc w:val="center"/>
      </w:pPr>
      <w:r>
        <w:rPr>
          <w:rFonts w:ascii="Arial" w:hAnsi="Arial" w:eastAsia="Arial"/>
          <w:b/>
          <w:i w:val="0"/>
          <w:sz w:val="20"/>
        </w:rPr>
        <w:t>Abstrak</w:t>
      </w:r>
    </w:p>
    <w:p>
      <w:pPr>
        <w:spacing w:before="0" w:after="40" w:line="240" w:lineRule="auto"/>
        <w:ind w:firstLine="397"/>
        <w:jc w:val="both"/>
      </w:pPr>
      <w:r>
        <w:rPr>
          <w:rFonts w:ascii="Arial" w:hAnsi="Arial" w:eastAsia="Arial"/>
          <w:b w:val="0"/>
          <w:i w:val="0"/>
          <w:sz w:val="20"/>
        </w:rPr>
        <w:t>Masalah kesehatan gigi dan mulut masih tinggi, sementara pemanfaatan pelayanan kesehatan gigi belum sebanding dengan kebutuhan masyarakat. Kegiatan pengabdian ini bertujuan mendeskripsikan pelaksanaan pelayanan kesehatan gigi dan mulut terpadu yang mendekatkan edukasi, skrining, tindakan klinis, dan arahan tindak lanjut kepada siswa serta masyarakat di Kota Baubau. Kegiatan dilaksanakan pada tahun 2026 melalui empat posko di Kecamatan Murhum, Betoambari, Bungi, dan Kokalukuna dengan pendekatan promotif, preventif, dan kuratif. Rangkaian kegiatan meliputi penyuluhan kesehatan gigi dan mulut, demonstrasi dan sikat gigi massal, skrining rongga mulut, penambalan, pencabutan gigi sulung dan permanen sesuai indikasi klinis, serta scaling. Evaluasi dilakukan secara deskriptif berdasarkan laporan pelaksanaan, dokumentasi, catatan tim, dan jumlah penerima layanan. Sebanyak 1.850 pasien menerima pelayanan. Kegiatan didukung oleh 50 koordinator dan tenaga pendamping yang terdiri atas 13 personel FKG UMI, 21 alumni FKG UMI, 12 anggota PDGI Baubau, dan 4 sivitas akademika FKG UMI. Model berbasis posko memungkinkan edukasi kelompok dihubungkan dengan pemeriksaan dan tindakan individual dalam satu alur pelayanan. Keterbatasan utama adalah belum tersedianya rekap pasien menurut posko dan jenis tindakan serta belum adanya pengukuran pretest-posttest yang terstandar. Pelayanan terpadu ini memperluas jangkauan layanan kesehatan gigi dan dapat dikembangkan melalui pencatatan terstruktur, mekanisme rujukan, evaluasi edukasi, serta kolaborasi periodik dengan sekolah, puskesmas, organisasi profesi, dan pemerintah daerah.</w:t>
      </w:r>
    </w:p>
    <w:p>
      <w:pPr>
        <w:spacing w:before="0" w:after="100" w:line="240" w:lineRule="auto"/>
        <w:jc w:val="both"/>
      </w:pPr>
      <w:r>
        <w:rPr>
          <w:rFonts w:ascii="Arial" w:hAnsi="Arial" w:eastAsia="Arial"/>
          <w:b/>
          <w:i w:val="0"/>
          <w:sz w:val="20"/>
        </w:rPr>
        <w:t xml:space="preserve">Kata Kunci: </w:t>
      </w:r>
      <w:r>
        <w:rPr>
          <w:rFonts w:ascii="Arial" w:hAnsi="Arial" w:eastAsia="Arial"/>
          <w:b w:val="0"/>
          <w:i w:val="0"/>
          <w:sz w:val="20"/>
        </w:rPr>
        <w:t>Kesehatan gigi dan mulut; Pelayanan terpadu; Promosi kesehatan; Skrining; Pelayanan komunitas</w:t>
      </w:r>
    </w:p>
    <w:p>
      <w:pPr>
        <w:spacing w:before="0" w:after="20" w:line="240" w:lineRule="auto"/>
        <w:jc w:val="center"/>
      </w:pPr>
      <w:r>
        <w:rPr>
          <w:rFonts w:ascii="Arial" w:hAnsi="Arial" w:eastAsia="Arial"/>
          <w:b/>
          <w:i/>
          <w:sz w:val="20"/>
        </w:rPr>
        <w:t>Abstract</w:t>
      </w:r>
    </w:p>
    <w:p>
      <w:pPr>
        <w:spacing w:before="0" w:after="40" w:line="240" w:lineRule="auto"/>
        <w:ind w:firstLine="397"/>
        <w:jc w:val="both"/>
      </w:pPr>
      <w:r>
        <w:rPr>
          <w:rFonts w:ascii="Arial" w:hAnsi="Arial" w:eastAsia="Arial"/>
          <w:b w:val="0"/>
          <w:i/>
          <w:sz w:val="20"/>
        </w:rPr>
        <w:t>Oral health problems remain highly prevalent, while utilization of dental services is still lower than community needs. This community service program aimed to describe the implementation of integrated oral health services that brought education, screening, clinical procedures, and follow-up guidance closer to students and the wider community in Baubau City. The program was implemented in 2026 through four service posts in Murhum, Betoambari, Bungi, and Kokalukuna Districts using promotive, preventive, and curative approaches. Activities included oral health education, toothbrushing demonstrations and mass toothbrushing, oral screening, dental fillings, extraction of deciduous and permanent teeth based on clinical indications, and scaling. Evaluation was descriptive and used implementation reports, documentation, team records, and the total number of service recipients. A total of 1,850 patients received services. The activity was supported by 50 coordinators and assisting personnel, comprising 13 FKG UMI personnel, 21 FKG UMI alumni, 12 members of the Baubau branch of the Indonesian Dental Association, and 4 members of the FKG UMI academic community. The service-post model enabled group education to be linked with individual examination and treatment within one service pathway. The main limitations were the absence of patient counts by service post and procedure type and the lack of standardized pretest-posttest measurements. This integrated model expanded the reach of oral health services and could be strengthened through structured recording, referral mechanisms, educational evaluation, and periodic collaboration with schools, primary health-care facilities, professional organizations, and local government.</w:t>
      </w:r>
    </w:p>
    <w:p>
      <w:pPr>
        <w:spacing w:before="0" w:after="40" w:line="240" w:lineRule="auto"/>
        <w:jc w:val="both"/>
      </w:pPr>
      <w:r>
        <w:rPr>
          <w:rFonts w:ascii="Arial" w:hAnsi="Arial" w:eastAsia="Arial"/>
          <w:b/>
          <w:i/>
          <w:sz w:val="20"/>
        </w:rPr>
        <w:t xml:space="preserve">Keywords: </w:t>
      </w:r>
      <w:r>
        <w:rPr>
          <w:rFonts w:ascii="Arial" w:hAnsi="Arial" w:eastAsia="Arial"/>
          <w:b/>
          <w:i/>
          <w:sz w:val="20"/>
        </w:rPr>
        <w:t>Oral health; Integrated care; Health promotion; Screening; Community service</w:t>
      </w:r>
    </w:p>
    <w:p>
      <w:pPr>
        <w:spacing w:before="60" w:after="80" w:line="240" w:lineRule="auto"/>
        <w:jc w:val="left"/>
      </w:pPr>
      <w:r>
        <w:rPr>
          <w:rFonts w:ascii="Arial" w:hAnsi="Arial" w:eastAsia="Arial"/>
          <w:b w:val="0"/>
          <w:i w:val="0"/>
          <w:sz w:val="18"/>
        </w:rPr>
        <w:t>© 2026 Universitas Negeri Gorontalo</w:t>
        <w:br/>
        <w:t>Under the license CC BY-SA 4.0</w:t>
      </w:r>
    </w:p>
    <w:p>
      <w:pPr>
        <w:sectPr>
          <w:headerReference w:type="default" r:id="rId11"/>
          <w:pgSz w:w="11906" w:h="16838"/>
          <w:pgMar w:top="850" w:right="964" w:bottom="907" w:left="964" w:header="720" w:footer="720" w:gutter="0"/>
          <w:cols w:space="720"/>
          <w:docGrid w:linePitch="360"/>
        </w:sectPr>
      </w:pPr>
    </w:p>
    <w:p>
      <w:pPr>
        <w:keepNext/>
        <w:spacing w:before="100" w:after="40" w:line="240" w:lineRule="auto"/>
        <w:ind w:firstLine="0"/>
      </w:pPr>
      <w:r>
        <w:rPr>
          <w:rFonts w:ascii="Arial" w:hAnsi="Arial" w:eastAsia="Arial"/>
          <w:b/>
          <w:sz w:val="24"/>
        </w:rPr>
        <w:t>PENDAHULUAN</w:t>
      </w:r>
    </w:p>
    <w:p>
      <w:pPr>
        <w:spacing w:before="0" w:after="0" w:line="360" w:lineRule="auto"/>
        <w:ind w:firstLine="425"/>
        <w:jc w:val="both"/>
      </w:pPr>
      <w:r>
        <w:rPr>
          <w:rFonts w:ascii="Arial" w:hAnsi="Arial" w:eastAsia="Arial"/>
          <w:b w:val="0"/>
          <w:i w:val="0"/>
          <w:sz w:val="24"/>
        </w:rPr>
        <w:t>Kesehatan gigi dan mulut merupakan bagian integral dari kesehatan umum karena berhubungan dengan kemampuan makan, berbicara, belajar, bekerja, dan berinteraksi sosial. World Health Organization (WHO) memperkirakan bahwa penyakit gigi dan mulut memengaruhi sekitar 3,5 miliar orang di dunia, dengan beban utama berupa karies gigi yang tidak dirawat, penyakit periodontal, kehilangan gigi, dan kondisi rongga mulut lain yang sebagian besar dapat dicegah (1). Faktor risiko kesehatan gigi juga beririsan dengan penyakit tidak menular, antara lain konsumsi gula, penggunaan tembakau, perilaku kebersihan, dan hambatan akses terhadap pelayanan. Oleh karena itu, peningkatan kesehatan gigi membutuhkan pendekatan kesehatan masyarakat yang menggabungkan promosi, pencegahan, deteksi dini, dan pelayanan esensial, bukan hanya tindakan kuratif di fasilitas kesehatan.</w:t>
      </w:r>
    </w:p>
    <w:p>
      <w:pPr>
        <w:spacing w:before="0" w:after="0" w:line="360" w:lineRule="auto"/>
        <w:ind w:firstLine="425"/>
        <w:jc w:val="both"/>
      </w:pPr>
      <w:r>
        <w:rPr>
          <w:rFonts w:ascii="Arial" w:hAnsi="Arial" w:eastAsia="Arial"/>
          <w:b w:val="0"/>
          <w:i w:val="0"/>
          <w:sz w:val="24"/>
        </w:rPr>
        <w:t>Situasi Indonesia menunjukkan kesenjangan antara besarnya masalah dan pemanfaatan pelayanan. Fact sheet Survei Kesehatan Indonesia (SKI) 2023 melaporkan bahwa 56,9% penduduk berusia tiga tahun ke atas mengalami masalah gigi dan mulut, sedangkan hanya sekitar 11,2% yang menerima perawatan dari tenaga kesehatan gigi. Kebiasaan menyikat gigi setiap hari memang tinggi, tetapi proporsi masyarakat yang menyikat gigi pada waktu yang benar, yaitu setelah sarapan dan sebelum tidur, masih rendah, sekitar 6,2% (2). Laporan SKI 2023 juga menunjukkan prevalensi karies sebesar 82,8%, dan pada kelompok usia 5-9 tahun mencapai 84,8% (3). Data tersebut mengindikasikan bahwa pengetahuan umum tentang menyikat gigi belum selalu diterjemahkan menjadi perilaku yang tepat dan belum selalu disertai pemeriksaan serta perawatan dini.</w:t>
      </w:r>
    </w:p>
    <w:p>
      <w:pPr>
        <w:spacing w:before="0" w:after="0" w:line="360" w:lineRule="auto"/>
        <w:ind w:firstLine="425"/>
        <w:jc w:val="both"/>
      </w:pPr>
      <w:r>
        <w:rPr>
          <w:rFonts w:ascii="Arial" w:hAnsi="Arial" w:eastAsia="Arial"/>
          <w:b w:val="0"/>
          <w:i w:val="0"/>
          <w:sz w:val="24"/>
        </w:rPr>
        <w:t>Anak usia sekolah merupakan sasaran strategis untuk intervensi kesehatan gigi karena kebiasaan kesehatan mulai terbentuk pada fase ini, sementara paparan makanan dan minuman kariogenik meningkat seiring bertambahnya kemandirian anak. Lingkungan sekolah menyediakan sistem yang relatif terstruktur untuk menyampaikan pesan kesehatan, melakukan demonstrasi keterampilan, mengidentifikasi masalah secara dini, dan menghubungkan anak dengan orang tua serta layanan kesehatan. Kajian sistematis menunjukkan bahwa program promosi kesehatan gigi berbasis sekolah dapat meningkatkan pengetahuan, perilaku, kebersihan rongga mulut, dan kesehatan gingiva, terutama apabila dilakukan berulang dan melibatkan lingkungan pendukung (4,5).</w:t>
      </w:r>
    </w:p>
    <w:p>
      <w:pPr>
        <w:spacing w:before="0" w:after="0" w:line="360" w:lineRule="auto"/>
        <w:ind w:firstLine="425"/>
        <w:jc w:val="both"/>
      </w:pPr>
      <w:r>
        <w:rPr>
          <w:rFonts w:ascii="Arial" w:hAnsi="Arial" w:eastAsia="Arial"/>
          <w:b w:val="0"/>
          <w:i w:val="0"/>
          <w:sz w:val="24"/>
        </w:rPr>
        <w:t>Pendekatan berbasis sekolah juga relevan bagi daerah yang mempunyai variasi akses pelayanan. Kegiatan yang mendekati sasaran dapat mengurangi hambatan waktu, jarak, persepsi kebutuhan, dan rasa takut terhadap pemeriksaan. Interaksi langsung antara tenaga kesehatan, mahasiswa, guru, siswa, dan masyarakat dapat membangun literasi kesehatan melalui pengalaman konkret, bukan sekadar pemberian informasi satu arah. Pendidikan yang melibatkan guru dan orang tua serta diikuti praktik menyikat gigi terstruktur telah dilaporkan mendukung perbaikan kebersihan gigi anak (6). Oleh karena itu, kegiatan pengabdian yang mengintegrasikan edukasi, praktik, pemeriksaan, dan pelayanan dapat menjadi pelengkap bagi layanan rutin puskesmas serta Usaha Kesehatan Gigi Sekolah (UKGS).</w:t>
      </w:r>
    </w:p>
    <w:p>
      <w:pPr>
        <w:spacing w:before="0" w:after="0" w:line="360" w:lineRule="auto"/>
        <w:ind w:firstLine="425"/>
        <w:jc w:val="both"/>
      </w:pPr>
      <w:r>
        <w:rPr>
          <w:rFonts w:ascii="Arial" w:hAnsi="Arial" w:eastAsia="Arial"/>
          <w:b w:val="0"/>
          <w:i w:val="0"/>
          <w:sz w:val="24"/>
        </w:rPr>
        <w:t>Kota Baubau merupakan salah satu pusat aktivitas sosial, pendidikan, dan pelayanan di wilayah kepulauan Sulawesi Tenggara. Publikasi Badan Pusat Statistik Kota Baubau menggambarkan karakter wilayah perkotaan dengan kebutuhan pelayanan publik yang harus menjangkau komunitas dan fasilitas pendidikan yang tersebar (7). Dalam konteks kesehatan gigi, pola pelayanan yang hanya menunggu masyarakat datang ke fasilitas kesehatan dapat meninggalkan kelompok yang belum merasa perlu berobat, terutama anak-anak atau masyarakat dengan keluhan ringan. Pendekatan jemput bola melalui sekolah dan ruang komunitas dapat memperluas kontak awal dengan pelayanan, meningkatkan paparan informasi kesehatan, dan membantu menemukan kebutuhan perawatan yang sebelumnya tidak teridentifikasi.</w:t>
      </w:r>
    </w:p>
    <w:p>
      <w:pPr>
        <w:spacing w:before="0" w:after="0" w:line="360" w:lineRule="auto"/>
        <w:ind w:firstLine="425"/>
        <w:jc w:val="both"/>
      </w:pPr>
      <w:r>
        <w:rPr>
          <w:rFonts w:ascii="Arial" w:hAnsi="Arial" w:eastAsia="Arial"/>
          <w:b w:val="0"/>
          <w:i w:val="0"/>
          <w:sz w:val="24"/>
        </w:rPr>
        <w:t>Pada tahun 2026, BEM KBM Fakultas Kedokteran Gigi Universitas Muslim Indonesia (FKG UMI) menyelenggarakan rangkaian Bakti Sosial UMI Amal Senyuman Vol. IV di Kota Baubau. Kegiatan tersebut menjadi wadah penerapan ilmu dan kepedulian sosial melalui pelayanan kesehatan gigi dan mulut serta kegiatan edukatif bagi masyarakat (8). Pelayanan dilaksanakan melalui empat posko di Kecamatan Murhum, Betoambari, Bungi, dan Kokalukuna dengan sasaran siswa sekolah dasar, sekolah menengah pertama, sekolah menengah atas, dan masyarakat umum. Tim melibatkan unsur FKG UMI, alumni, Persatuan Dokter Gigi Indonesia (PDGI) Baubau, sivitas akademika, sekolah, dan mitra lokal.</w:t>
      </w:r>
    </w:p>
    <w:p>
      <w:pPr>
        <w:spacing w:before="0" w:after="0" w:line="360" w:lineRule="auto"/>
        <w:ind w:firstLine="425"/>
        <w:jc w:val="both"/>
      </w:pPr>
      <w:r>
        <w:rPr>
          <w:rFonts w:ascii="Arial" w:hAnsi="Arial" w:eastAsia="Arial"/>
          <w:b w:val="0"/>
          <w:i w:val="0"/>
          <w:sz w:val="24"/>
        </w:rPr>
        <w:t>Kebaruan praktis program terletak pada integrasi komponen promotif, preventif, dan kuratif dalam satu alur pelayanan berbasis posko. Penyuluhan dan praktik menyikat gigi tidak berdiri sendiri, tetapi dihubungkan dengan skrining rongga mulut dan tindakan yang dapat diberikan di lapangan, yaitu penambalan, pencabutan gigi sulung maupun permanen sesuai indikasi klinis, serta scaling. Pendekatan ini sejalan dengan strategi global kesehatan gigi yang menekankan integrasi promosi, pencegahan, pelayanan esensial, penguatan tenaga kesehatan, sistem informasi, dan kemitraan lintas sektor (9,10).</w:t>
      </w:r>
    </w:p>
    <w:p>
      <w:pPr>
        <w:spacing w:before="0" w:after="0" w:line="360" w:lineRule="auto"/>
        <w:ind w:firstLine="425"/>
        <w:jc w:val="both"/>
      </w:pPr>
      <w:r>
        <w:rPr>
          <w:rFonts w:ascii="Arial" w:hAnsi="Arial" w:eastAsia="Arial"/>
          <w:b w:val="0"/>
          <w:i w:val="0"/>
          <w:sz w:val="24"/>
        </w:rPr>
        <w:t>Artikel pengabdian perlu melaporkan lebih dari sekadar jumlah peserta atau dokumentasi seremonial. Capaian program perlu dibaca melalui konsistensi alur pelayanan, relevansi kegiatan terhadap masalah kesehatan, keterlibatan mitra, jangkauan pelayanan, serta peluang keberlanjutan. Karena data individu dan pengukuran pretest-posttest terstandar belum tersedia pada kegiatan ini, evaluasi difokuskan pada capaian proses dan jangkauan layanan tanpa mengklaim perubahan pengetahuan atau status klinis secara kuantitatif. Berdasarkan pertimbangan tersebut, tujuan kegiatan dan artikel ini adalah mendeskripsikan pelaksanaan pelayanan kesehatan gigi dan mulut terpadu bagi siswa dan masyarakat umum di Kota Baubau, menggambarkan jangkauan komponen edukasi, skrining, dan tindakan klinis, serta merumuskan rekomendasi untuk penguatan pencatatan, rujukan, evaluasi, dan keberlanjutan program.</w:t>
      </w:r>
    </w:p>
    <w:p>
      <w:pPr>
        <w:keepNext/>
        <w:spacing w:before="100" w:after="40" w:line="240" w:lineRule="auto"/>
        <w:ind w:firstLine="0"/>
      </w:pPr>
      <w:r>
        <w:rPr>
          <w:rFonts w:ascii="Arial" w:hAnsi="Arial" w:eastAsia="Arial"/>
          <w:b/>
          <w:sz w:val="24"/>
        </w:rPr>
        <w:t>METODE PELAKSANAAN</w:t>
      </w:r>
    </w:p>
    <w:p>
      <w:pPr>
        <w:spacing w:before="0" w:after="0" w:line="360" w:lineRule="auto"/>
        <w:ind w:firstLine="425"/>
        <w:jc w:val="both"/>
      </w:pPr>
      <w:r>
        <w:rPr>
          <w:rFonts w:ascii="Arial" w:hAnsi="Arial" w:eastAsia="Arial"/>
          <w:b w:val="0"/>
          <w:i w:val="0"/>
          <w:sz w:val="24"/>
        </w:rPr>
        <w:t>Kegiatan pengabdian menggunakan pendekatan pelayanan kesehatan gigi dan mulut terpadu berbasis posko yang menggabungkan kegiatan promotif, preventif, dan kuratif. Pelayanan dilaksanakan pada tahun 2026 di empat kecamatan di Kota Baubau, Sulawesi Tenggara, yaitu Murhum, Betoambari, Bungi, dan Kokalukuna. Sasaran pelayanan mencakup siswa SD, SMP, SMA, dan masyarakat umum yang hadir pada lokasi kegiatan. Artikel ini merupakan laporan pengabdian masyarakat dan menggunakan data agregat dari laporan pelaksanaan; tidak dilakukan analisis terhadap identitas individual pasien.</w:t>
      </w:r>
    </w:p>
    <w:p>
      <w:pPr>
        <w:spacing w:before="0" w:after="0" w:line="360" w:lineRule="auto"/>
        <w:ind w:firstLine="425"/>
        <w:jc w:val="both"/>
      </w:pPr>
      <w:r>
        <w:rPr>
          <w:rFonts w:ascii="Arial" w:hAnsi="Arial" w:eastAsia="Arial"/>
          <w:b w:val="0"/>
          <w:i w:val="0"/>
          <w:sz w:val="24"/>
        </w:rPr>
        <w:t>Pelaksanaan dibagi menjadi tahap persiapan, pelayanan, dan evaluasi. Tahap persiapan meliputi koordinasi dengan pemerintah dan mitra lokal, termasuk puskesmas, sekolah, serta PDGI Baubau; penentuan lokasi dan alur pasien; pembagian tugas tim; serta penyiapan materi penyuluhan, perlengkapan sikat gigi massal, alat skrining, bahan penambalan, instrumen pencabutan, dan perlengkapan scaling. Kegiatan didukung oleh 50 koordinator dan tenaga pendamping yang terdiri atas 13 personel FKG UMI, 21 alumni FKG UMI, 12 anggota PDGI Baubau, dan 4 sivitas akademika FKG UMI. Pembagian peran dilakukan agar registrasi, edukasi, pemeriksaan, tindakan, dan arahan tindak lanjut dapat berjalan secara berurutan.</w:t>
      </w:r>
    </w:p>
    <w:p>
      <w:pPr>
        <w:spacing w:before="0" w:after="0" w:line="360" w:lineRule="auto"/>
        <w:ind w:firstLine="425"/>
        <w:jc w:val="both"/>
      </w:pPr>
      <w:r>
        <w:rPr>
          <w:rFonts w:ascii="Arial" w:hAnsi="Arial" w:eastAsia="Arial"/>
          <w:b w:val="0"/>
          <w:i w:val="0"/>
          <w:sz w:val="24"/>
        </w:rPr>
        <w:t>Tahap pelayanan diawali dengan edukasi mengenai kebersihan gigi dan mulut, pola makan yang mendukung kesehatan gigi, waktu serta teknik menyikat gigi, dan pentingnya pemeriksaan berkala. Edukasi dilanjutkan dengan demonstrasi serta praktik sikat gigi massal. Setelah itu, peserta menjalani skrining rongga mulut secara individual. Berdasarkan hasil pemeriksaan dan indikasi klinis, peserta dapat menerima penambalan, pencabutan gigi sulung, pencabutan gigi permanen, dan scaling. Tindakan dilakukan sesuai kapasitas pelayanan lapangan. Pasien dengan kebutuhan yang melebihi kapasitas kegiatan diarahkan untuk memperoleh pelayanan lanjutan pada fasilitas kesehatan gigi yang sesuai.</w:t>
      </w:r>
    </w:p>
    <w:p>
      <w:pPr>
        <w:spacing w:before="0" w:after="0" w:line="360" w:lineRule="auto"/>
        <w:ind w:firstLine="425"/>
        <w:jc w:val="both"/>
      </w:pPr>
      <w:r>
        <w:rPr>
          <w:rFonts w:ascii="Arial" w:hAnsi="Arial" w:eastAsia="Arial"/>
          <w:b w:val="0"/>
          <w:i w:val="0"/>
          <w:sz w:val="24"/>
        </w:rPr>
        <w:t>Alur pelayanan dirancang dalam urutan edukasi, pemeriksaan, tindakan, dan arahan setelah pelayanan. Integrasi beberapa bentuk layanan dalam satu posko dimaksudkan agar masyarakat tidak hanya memperoleh informasi pencegahan, tetapi juga mendapatkan penanganan langsung terhadap masalah yang dapat dikerjakan pada setting kegiatan. Pada kelompok siswa, pendekatan kelompok digunakan untuk penyuluhan dan praktik menyikat gigi, sedangkan pemeriksaan dan tindakan klinis dilakukan secara individual. Model tersebut memungkinkan efisiensi pelayanan tanpa menghilangkan penilaian kebutuhan masing-masing peserta.</w:t>
      </w:r>
    </w:p>
    <w:p>
      <w:pPr>
        <w:spacing w:before="0" w:after="0" w:line="360" w:lineRule="auto"/>
        <w:ind w:firstLine="425"/>
        <w:jc w:val="both"/>
      </w:pPr>
      <w:r>
        <w:rPr>
          <w:rFonts w:ascii="Arial" w:hAnsi="Arial" w:eastAsia="Arial"/>
          <w:b w:val="0"/>
          <w:i w:val="0"/>
          <w:sz w:val="24"/>
        </w:rPr>
        <w:t>Evaluasi dilakukan secara deskriptif menggunakan laporan pelaksanaan, dokumentasi kegiatan, catatan tim, keterlaksanaan komponen layanan, dan jumlah penerima pelayanan. Indikator proses meliputi terselenggaranya penyuluhan, sikat gigi massal, skrining, penambalan, pencabutan gigi sulung dan permanen, scaling, keterlibatan mitra, serta kelancaran alur pasien. Data yang tersedia mencatat total 1.850 pasien, tetapi belum memisahkan jumlah pasien menurut posko, kelompok usia, diagnosis, jenis tindakan, dan status rujukan. Oleh karena itu, analisis hanya menggunakan frekuensi absolut yang tersedia dan uraian proses; tidak dilakukan uji statistik inferensial maupun estimasi efektivitas intervensi.</w:t>
      </w:r>
    </w:p>
    <w:p>
      <w:pPr>
        <w:keepNext/>
        <w:spacing w:before="100" w:after="40" w:line="240" w:lineRule="auto"/>
        <w:ind w:firstLine="0"/>
      </w:pPr>
      <w:r>
        <w:rPr>
          <w:rFonts w:ascii="Arial" w:hAnsi="Arial" w:eastAsia="Arial"/>
          <w:b/>
          <w:sz w:val="24"/>
        </w:rPr>
        <w:t>HASIL DAN PEMBAHASAN</w:t>
      </w:r>
    </w:p>
    <w:p>
      <w:pPr>
        <w:keepNext/>
        <w:spacing w:before="80" w:after="40" w:line="240" w:lineRule="auto"/>
        <w:ind w:firstLine="0"/>
      </w:pPr>
      <w:r>
        <w:rPr>
          <w:rFonts w:ascii="Arial" w:hAnsi="Arial" w:eastAsia="Arial"/>
          <w:b/>
          <w:sz w:val="24"/>
        </w:rPr>
        <w:t>Hasil</w:t>
      </w:r>
    </w:p>
    <w:p>
      <w:pPr>
        <w:spacing w:before="0" w:after="0" w:line="360" w:lineRule="auto"/>
        <w:ind w:firstLine="425"/>
        <w:jc w:val="both"/>
      </w:pPr>
      <w:r>
        <w:rPr>
          <w:rFonts w:ascii="Arial" w:hAnsi="Arial" w:eastAsia="Arial"/>
          <w:b w:val="0"/>
          <w:i w:val="0"/>
          <w:sz w:val="24"/>
        </w:rPr>
        <w:t>Pelayanan kesehatan gigi dan mulut terpadu dilaksanakan melalui empat posko di Kecamatan Murhum, Betoambari, Bungi, dan Kokalukuna. Sasaran kegiatan mencakup siswa SD, SMP, dan SMA serta masyarakat umum. Rangkaian pelayanan yang terlaksana meliputi penyuluhan kesehatan gigi dan mulut, demonstrasi dan sikat gigi massal, skrining rongga mulut, pemeriksaan gigi berlubang, penambalan, pencabutan gigi sulung dan gigi permanen berdasarkan indikasi klinis, serta scaling atau pembersihan karang gigi.</w:t>
      </w:r>
    </w:p>
    <w:p>
      <w:pPr>
        <w:spacing w:before="0" w:after="0" w:line="360" w:lineRule="auto"/>
        <w:ind w:firstLine="425"/>
        <w:jc w:val="both"/>
      </w:pPr>
      <w:r>
        <w:rPr>
          <w:rFonts w:ascii="Arial" w:hAnsi="Arial" w:eastAsia="Arial"/>
          <w:b w:val="0"/>
          <w:i w:val="0"/>
          <w:sz w:val="24"/>
        </w:rPr>
        <w:t>Secara keseluruhan, sebanyak 1.850 pasien menerima pelayanan selama kegiatan berlangsung. Kegiatan didukung oleh 50 koordinator dan tenaga pendamping, terdiri atas 13 personel FKG UMI, 21 alumni FKG UMI, 12 anggota PDGI Baubau, dan 4 sivitas akademika FKG UMI. Komposisi tim memungkinkan pembagian fungsi antara edukasi, registrasi, skrining, pelayanan klinis, serta koordinasi dengan mitra. Keterlibatan sekolah membantu penyediaan ruang, pengaturan siswa, dan pendampingan selama kegiatan, sedangkan unsur tenaga kesehatan dan dokter gigi menjaga pelaksanaan pemeriksaan dan tindakan klinis sesuai kebutuhan pelayanan.</w:t>
      </w:r>
    </w:p>
    <w:p>
      <w:pPr>
        <w:spacing w:before="0" w:after="0" w:line="360" w:lineRule="auto"/>
        <w:ind w:firstLine="425"/>
        <w:jc w:val="both"/>
      </w:pPr>
      <w:r>
        <w:rPr>
          <w:rFonts w:ascii="Arial" w:hAnsi="Arial" w:eastAsia="Arial"/>
          <w:b w:val="0"/>
          <w:i w:val="0"/>
          <w:sz w:val="24"/>
        </w:rPr>
        <w:t>Pada komponen edukasi, materi berfokus pada pentingnya menjaga kesehatan dan kebersihan gigi dan mulut, pola makan yang mendukung kesehatan gigi, waktu menyikat gigi, teknik menyikat gigi, serta pentingnya pemeriksaan rutin. Materi tidak hanya disampaikan secara lisan, tetapi diikuti demonstrasi dan praktik menyikat gigi bersama. Pendekatan praktik memberi kesempatan peserta untuk meniru gerakan, memperoleh koreksi, dan mengulang keterampilan yang diajarkan. Namun, karena belum tersedia instrumen pretest-posttest yang terstandar, hasil kegiatan tidak dinyatakan sebagai peningkatan pengetahuan dalam persentase.</w:t>
      </w:r>
    </w:p>
    <w:p>
      <w:pPr>
        <w:spacing w:before="0" w:after="0" w:line="360" w:lineRule="auto"/>
        <w:ind w:firstLine="425"/>
        <w:jc w:val="both"/>
      </w:pPr>
      <w:r>
        <w:rPr>
          <w:rFonts w:ascii="Arial" w:hAnsi="Arial" w:eastAsia="Arial"/>
          <w:b w:val="0"/>
          <w:i w:val="0"/>
          <w:sz w:val="24"/>
        </w:rPr>
        <w:t>Skrining individual berfungsi sebagai titik penghubung antara komponen edukasi dan tindakan klinis. Setelah kondisi rongga mulut diperiksa, peserta menerima tindakan yang dapat diselesaikan pada kegiatan lapangan sesuai kebutuhan dan indikasi klinis. Penambalan diberikan pada kasus yang sesuai, termasuk pendekatan restoratif minimal invasif yang relevan untuk setting komunitas, sedangkan pencabutan gigi sulung maupun permanen dilakukan setelah pertimbangan klinis. Scaling diberikan untuk membersihkan kalkulus dan mendukung kebersihan jaringan periodontal. Pasien yang memerlukan penanganan lebih lanjut diarahkan ke fasilitas kesehatan gigi.</w:t>
      </w:r>
    </w:p>
    <w:p>
      <w:pPr>
        <w:spacing w:before="0" w:after="0" w:line="360" w:lineRule="auto"/>
        <w:ind w:firstLine="425"/>
        <w:jc w:val="both"/>
      </w:pPr>
      <w:r>
        <w:rPr>
          <w:rFonts w:ascii="Arial" w:hAnsi="Arial" w:eastAsia="Arial"/>
          <w:b w:val="0"/>
          <w:i w:val="0"/>
          <w:sz w:val="24"/>
        </w:rPr>
        <w:t>Data agregat belum memungkinkan perbandingan jumlah penambalan, pencabutan gigi sulung, pencabutan gigi permanen, scaling, atau rujukan pada masing-masing posko. Keterbatasan ini membuat profil kebutuhan klinis 1.850 penerima layanan tidak dapat disajikan secara kuantitatif. Meskipun demikian, laporan pelaksanaan menunjukkan bahwa semua komponen utama program dapat dijalankan dan bahwa kegiatan kelompok serta layanan individual dapat diintegrasikan dalam satu alur pelayanan. Ringkasan capaian yang dapat diverifikasi dari laporan disajikan sebagai berikut.</w:t>
      </w:r>
    </w:p>
    <w:p>
      <w:pPr>
        <w:spacing w:before="60" w:after="20" w:line="240" w:lineRule="auto"/>
        <w:ind w:firstLine="0"/>
      </w:pPr>
      <w:r>
        <w:rPr>
          <w:rFonts w:ascii="Arial" w:hAnsi="Arial"/>
          <w:b/>
          <w:sz w:val="20"/>
        </w:rPr>
        <w:t>Ringkasan capaian program</w:t>
      </w:r>
    </w:p>
    <w:p>
      <w:pPr>
        <w:spacing w:after="0" w:line="240" w:lineRule="auto"/>
        <w:ind w:left="142" w:firstLine="0"/>
      </w:pPr>
      <w:r>
        <w:rPr>
          <w:rFonts w:ascii="Arial" w:hAnsi="Arial"/>
          <w:b/>
          <w:sz w:val="18"/>
        </w:rPr>
        <w:t xml:space="preserve">Lokasi: </w:t>
      </w:r>
      <w:r>
        <w:rPr>
          <w:rFonts w:ascii="Arial" w:hAnsi="Arial"/>
          <w:sz w:val="18"/>
        </w:rPr>
        <w:t>4 posko: Murhum, Betoambari, Bungi, Kokalukuna</w:t>
      </w:r>
    </w:p>
    <w:p>
      <w:pPr>
        <w:spacing w:after="0" w:line="240" w:lineRule="auto"/>
        <w:ind w:left="142" w:firstLine="0"/>
      </w:pPr>
      <w:r>
        <w:rPr>
          <w:rFonts w:ascii="Arial" w:hAnsi="Arial"/>
          <w:b/>
          <w:sz w:val="18"/>
        </w:rPr>
        <w:t xml:space="preserve">Sasaran: </w:t>
      </w:r>
      <w:r>
        <w:rPr>
          <w:rFonts w:ascii="Arial" w:hAnsi="Arial"/>
          <w:sz w:val="18"/>
        </w:rPr>
        <w:t>Siswa SD, SMP, SMA, dan masyarakat umum</w:t>
      </w:r>
    </w:p>
    <w:p>
      <w:pPr>
        <w:spacing w:after="0" w:line="240" w:lineRule="auto"/>
        <w:ind w:left="142" w:firstLine="0"/>
      </w:pPr>
      <w:r>
        <w:rPr>
          <w:rFonts w:ascii="Arial" w:hAnsi="Arial"/>
          <w:b/>
          <w:sz w:val="18"/>
        </w:rPr>
        <w:t xml:space="preserve">Penerima pelayanan: </w:t>
      </w:r>
      <w:r>
        <w:rPr>
          <w:rFonts w:ascii="Arial" w:hAnsi="Arial"/>
          <w:sz w:val="18"/>
        </w:rPr>
        <w:t>1.850 pasien</w:t>
      </w:r>
    </w:p>
    <w:p>
      <w:pPr>
        <w:spacing w:after="0" w:line="240" w:lineRule="auto"/>
        <w:ind w:left="142" w:firstLine="0"/>
      </w:pPr>
      <w:r>
        <w:rPr>
          <w:rFonts w:ascii="Arial" w:hAnsi="Arial"/>
          <w:b/>
          <w:sz w:val="18"/>
        </w:rPr>
        <w:t xml:space="preserve">Tim pelaksana: </w:t>
      </w:r>
      <w:r>
        <w:rPr>
          <w:rFonts w:ascii="Arial" w:hAnsi="Arial"/>
          <w:sz w:val="18"/>
        </w:rPr>
        <w:t>50 orang: 13 FKG UMI; 21 alumni; 12 PDGI Baubau; 4 sivitas FKG UMI</w:t>
      </w:r>
    </w:p>
    <w:p>
      <w:pPr>
        <w:spacing w:after="0" w:line="240" w:lineRule="auto"/>
        <w:ind w:left="142" w:firstLine="0"/>
      </w:pPr>
      <w:r>
        <w:rPr>
          <w:rFonts w:ascii="Arial" w:hAnsi="Arial"/>
          <w:b/>
          <w:sz w:val="18"/>
        </w:rPr>
        <w:t xml:space="preserve">Promotif/preventif: </w:t>
      </w:r>
      <w:r>
        <w:rPr>
          <w:rFonts w:ascii="Arial" w:hAnsi="Arial"/>
          <w:sz w:val="18"/>
        </w:rPr>
        <w:t>Penyuluhan; demonstrasi dan sikat gigi massal; skrining</w:t>
      </w:r>
    </w:p>
    <w:p>
      <w:pPr>
        <w:spacing w:after="0" w:line="240" w:lineRule="auto"/>
        <w:ind w:left="142" w:firstLine="0"/>
      </w:pPr>
      <w:r>
        <w:rPr>
          <w:rFonts w:ascii="Arial" w:hAnsi="Arial"/>
          <w:b/>
          <w:sz w:val="18"/>
        </w:rPr>
        <w:t xml:space="preserve">Kuratif: </w:t>
      </w:r>
      <w:r>
        <w:rPr>
          <w:rFonts w:ascii="Arial" w:hAnsi="Arial"/>
          <w:sz w:val="18"/>
        </w:rPr>
        <w:t>Penambalan; pencabutan gigi sulung/permanen sesuai indikasi; scaling</w:t>
      </w:r>
    </w:p>
    <w:p>
      <w:pPr>
        <w:spacing w:after="0" w:line="240" w:lineRule="auto"/>
        <w:ind w:left="142" w:firstLine="0"/>
      </w:pPr>
      <w:r>
        <w:rPr>
          <w:rFonts w:ascii="Arial" w:hAnsi="Arial"/>
          <w:b/>
          <w:sz w:val="18"/>
        </w:rPr>
        <w:t xml:space="preserve">Evaluasi: </w:t>
      </w:r>
      <w:r>
        <w:rPr>
          <w:rFonts w:ascii="Arial" w:hAnsi="Arial"/>
          <w:sz w:val="18"/>
        </w:rPr>
        <w:t>Deskriptif; data agregat; belum tersedia rekap per posko dan jenis tindakan</w:t>
      </w:r>
    </w:p>
    <w:p>
      <w:pPr>
        <w:spacing w:before="20" w:after="60" w:line="240" w:lineRule="auto"/>
        <w:ind w:firstLine="0"/>
      </w:pPr>
      <w:r>
        <w:rPr>
          <w:rFonts w:ascii="Arial" w:hAnsi="Arial"/>
          <w:sz w:val="18"/>
        </w:rPr>
        <w:t>Sumber: Laporan pelaksanaan UMI Amal Senyuman Vol. IV, 2026.</w:t>
      </w:r>
    </w:p>
    <w:p>
      <w:pPr>
        <w:keepNext/>
        <w:spacing w:before="80" w:after="40" w:line="240" w:lineRule="auto"/>
        <w:ind w:firstLine="0"/>
      </w:pPr>
      <w:r>
        <w:rPr>
          <w:rFonts w:ascii="Arial" w:hAnsi="Arial" w:eastAsia="Arial"/>
          <w:b/>
          <w:sz w:val="24"/>
        </w:rPr>
        <w:t>Pembahasan</w:t>
      </w:r>
    </w:p>
    <w:p>
      <w:pPr>
        <w:spacing w:before="0" w:after="0" w:line="360" w:lineRule="auto"/>
        <w:ind w:firstLine="425"/>
        <w:jc w:val="both"/>
      </w:pPr>
      <w:r>
        <w:rPr>
          <w:rFonts w:ascii="Arial" w:hAnsi="Arial" w:eastAsia="Arial"/>
          <w:b w:val="0"/>
          <w:i w:val="0"/>
          <w:sz w:val="24"/>
        </w:rPr>
        <w:t>Capaian utama kegiatan adalah terselenggaranya pelayanan yang menghubungkan pesan promotif, tindakan preventif, deteksi dini, dan pelayanan klinis dalam satu jalur. Model ini penting karena edukasi kesehatan gigi sering dilaksanakan sebagai kegiatan tersendiri, sementara peserta yang telah mengetahui adanya masalah belum tentu memperoleh akses pemeriksaan atau tindakan pada saat yang sama. Dalam kegiatan Baubau, penyuluhan dan praktik menyikat gigi berfungsi sebagai pintu masuk, skrining mengidentifikasi kebutuhan secara individual, dan tindakan lapangan memberikan respons langsung terhadap masalah yang dapat ditangani. Struktur tersebut mendukung pendekatan kesehatan gigi terintegrasi yang direkomendasikan WHO (9).</w:t>
      </w:r>
    </w:p>
    <w:p>
      <w:pPr>
        <w:spacing w:before="0" w:after="0" w:line="360" w:lineRule="auto"/>
        <w:ind w:firstLine="425"/>
        <w:jc w:val="both"/>
      </w:pPr>
      <w:r>
        <w:rPr>
          <w:rFonts w:ascii="Arial" w:hAnsi="Arial" w:eastAsia="Arial"/>
          <w:b w:val="0"/>
          <w:i w:val="0"/>
          <w:sz w:val="24"/>
        </w:rPr>
        <w:t>Kegiatan penyuluhan dan praktik menyikat gigi mempunyai posisi penting karena perubahan perilaku kebersihan mulut tidak terjadi hanya melalui informasi. Program pengabdian yang memadukan pendidikan kesehatan dengan praktik sikat gigi telah dilaporkan meningkatkan pemahaman dan keterampilan kebersihan gigi pada anak (11). Media visual dan demonstrasi juga membantu peserta memahami urutan gerakan dan mengingat pesan kesehatan dengan lebih konkret (12,13). Pada kegiatan Baubau, materi edukasi disampaikan dalam bentuk yang dapat langsung dipraktikkan, sehingga siswa tidak hanya mendengar pesan mengenai kebersihan gigi tetapi juga mencoba teknik yang diajarkan. Namun, ketiadaan pretest-posttest mengharuskan interpretasi dibatasi pada keterlaksanaan proses, bukan pada klaim efektivitas.</w:t>
      </w:r>
    </w:p>
    <w:p>
      <w:pPr>
        <w:spacing w:before="0" w:after="0" w:line="360" w:lineRule="auto"/>
        <w:ind w:firstLine="425"/>
        <w:jc w:val="both"/>
      </w:pPr>
      <w:r>
        <w:rPr>
          <w:rFonts w:ascii="Arial" w:hAnsi="Arial" w:eastAsia="Arial"/>
          <w:b w:val="0"/>
          <w:i w:val="0"/>
          <w:sz w:val="24"/>
        </w:rPr>
        <w:t>Pengukuran edukasi merupakan aspek yang perlu diperkuat pada kegiatan berikutnya. Untuk artikel pengabdian, evaluasi tidak harus kompleks; delapan sampai sepuluh pertanyaan sederhana sebelum dan sesudah edukasi, checklist teknik menyikat gigi, atau penilaian niat perilaku dapat memberikan informasi yang lebih kuat mengenai perubahan segera. Pengukuran tersebut dapat diulang beberapa minggu kemudian melalui guru atau UKGS untuk menilai apakah pesan masih dipertahankan. Intervensi pendidikan kesehatan gigi berbasis sekolah menunjukkan hasil yang lebih baik ketika dilakukan secara terstruktur, berulang, dan didukung lingkungan sekolah (5). Dengan demikian, keberlanjutan edukasi lebih penting daripada satu kali paparan.</w:t>
      </w:r>
    </w:p>
    <w:p>
      <w:pPr>
        <w:spacing w:before="0" w:after="0" w:line="360" w:lineRule="auto"/>
        <w:ind w:firstLine="425"/>
        <w:jc w:val="both"/>
      </w:pPr>
      <w:r>
        <w:rPr>
          <w:rFonts w:ascii="Arial" w:hAnsi="Arial" w:eastAsia="Arial"/>
          <w:b w:val="0"/>
          <w:i w:val="0"/>
          <w:sz w:val="24"/>
        </w:rPr>
        <w:t>Skrining yang diikuti tindakan langsung menjadi keunggulan lain program. Pemeriksaan individual memungkinkan kebutuhan klinis dikenali setelah peserta mengikuti edukasi kelompok. Pada kasus karies yang sesuai, pendekatan restoratif minimal invasif seperti Atraumatic Restorative Treatment (ART) relevan bagi pelayanan lapangan karena dapat dilakukan pada setting komunitas dengan keterbatasan fasilitas dibanding klinik konvensional. Tinjauan sistematis menunjukkan bahwa restorasi ART dapat dilakukan di berbagai setting, termasuk field settings, dengan hasil yang mendukung penggunaannya sebagai pilihan perawatan minimal invasif (14). Walaupun program Baubau mencakup penambalan, data tindakan per gigi dan jenis kavitas belum tersedia sehingga hasil restoratif tidak dapat dievaluasi lebih lanjut.</w:t>
      </w:r>
    </w:p>
    <w:p>
      <w:pPr>
        <w:spacing w:before="0" w:after="0" w:line="360" w:lineRule="auto"/>
        <w:ind w:firstLine="425"/>
        <w:jc w:val="both"/>
      </w:pPr>
      <w:r>
        <w:rPr>
          <w:rFonts w:ascii="Arial" w:hAnsi="Arial" w:eastAsia="Arial"/>
          <w:b w:val="0"/>
          <w:i w:val="0"/>
          <w:sz w:val="24"/>
        </w:rPr>
        <w:t>Pencabutan gigi sulung dan permanen dilakukan berdasarkan hasil pemeriksaan dan pertimbangan klinis, sedangkan scaling memperluas cakupan layanan dari masalah karies ke kebersihan periodontal. Instrumentasi mekanis untuk menghilangkan biofilm dan kalkulus merupakan bagian penting dari terapi periodontal nonbedah (15). Pada setting pengabdian, tindakan kuratif perlu selalu dihubungkan dengan instruksi pemeliharaan kebersihan dan mekanisme rujukan, karena kebutuhan pasien dapat melebihi kapasitas pelayanan lapangan. Dengan demikian, indikator keberhasilan seharusnya tidak hanya menghitung tindakan yang selesai, tetapi juga mencatat pasien yang memerlukan kontrol atau perawatan lanjutan.</w:t>
      </w:r>
    </w:p>
    <w:p>
      <w:pPr>
        <w:spacing w:before="0" w:after="0" w:line="360" w:lineRule="auto"/>
        <w:ind w:firstLine="425"/>
        <w:jc w:val="both"/>
      </w:pPr>
      <w:r>
        <w:rPr>
          <w:rFonts w:ascii="Arial" w:hAnsi="Arial" w:eastAsia="Arial"/>
          <w:b w:val="0"/>
          <w:i w:val="0"/>
          <w:sz w:val="24"/>
        </w:rPr>
        <w:t>Jangkauan 1.850 pasien menunjukkan kapasitas pelayanan yang besar, tetapi angka tersebut harus ditafsirkan secara hati-hati. Besarnya jumlah kunjungan tidak otomatis menunjukkan perbaikan status kesehatan gigi, karena artikel ini tidak memiliki data sebelum-sesudah atau tindak lanjut klinis. Nilai utama angka tersebut adalah menunjukkan luasnya kontak program dengan masyarakat dan kebutuhan pengelolaan operasional yang memadai, termasuk antrean, pembagian operator, ketersediaan alat dan bahan, sterilisasi, dokumentasi, serta alur rujukan. Pada program berikutnya, setiap posko sebaiknya menggunakan lembar rekap harian yang minimal mencatat kelompok usia, masalah utama, tindakan, status rujukan, dan kebutuhan kontrol.</w:t>
      </w:r>
    </w:p>
    <w:p>
      <w:pPr>
        <w:spacing w:before="0" w:after="0" w:line="360" w:lineRule="auto"/>
        <w:ind w:firstLine="425"/>
        <w:jc w:val="both"/>
      </w:pPr>
      <w:r>
        <w:rPr>
          <w:rFonts w:ascii="Arial" w:hAnsi="Arial" w:eastAsia="Arial"/>
          <w:b w:val="0"/>
          <w:i w:val="0"/>
          <w:sz w:val="24"/>
        </w:rPr>
        <w:t>Keterlibatan 50 personel lintas unsur memperlihatkan pentingnya kolaborasi. Alumni dan anggota PDGI Baubau menambah kapasitas klinis dan jejaring lokal, sedangkan sekolah membantu mengorganisasi peserta. Dalam program kesehatan gigi berbasis sekolah, penerimaan siswa terhadap pesan kesehatan dapat diperkuat melalui fasilitator yang dekat dengan lingkungan mereka. Kajian sistematis mengenai intervensi kesehatan gigi yang dipimpin atau melibatkan teman sebaya menunjukkan bahwa pendekatan partisipatif dapat mendukung penerimaan dan perilaku kesehatan pada anak sekolah (16). Pada konteks Baubau, kolaborasi juga penting untuk memastikan kegiatan tidak berhenti ketika tim perguruan tinggi meninggalkan lokasi.</w:t>
      </w:r>
    </w:p>
    <w:p>
      <w:pPr>
        <w:spacing w:before="0" w:after="0" w:line="360" w:lineRule="auto"/>
        <w:ind w:firstLine="425"/>
        <w:jc w:val="both"/>
      </w:pPr>
      <w:r>
        <w:rPr>
          <w:rFonts w:ascii="Arial" w:hAnsi="Arial" w:eastAsia="Arial"/>
          <w:b w:val="0"/>
          <w:i w:val="0"/>
          <w:sz w:val="24"/>
        </w:rPr>
        <w:t>Literasi kesehatan gigi dapat dipandang sebagai outcome antara yang penting. Literasi mencakup kemampuan memperoleh, memahami, dan menggunakan informasi kesehatan untuk mengambil keputusan. Studi di Indonesia menunjukkan bahwa oral health literacy berkaitan dengan kemampuan masyarakat memahami dan memanfaatkan informasi kesehatan gigi (17). Pada anak, keputusan kesehatan masih dipengaruhi orang tua, termasuk pilihan makanan, pembelian produk kebersihan, kunjungan ke dokter gigi, dan pengawasan menyikat gigi. Literasi kesehatan gigi orang tua juga berkaitan dengan kondisi kesehatan gigi anak (18). Oleh karena itu, pengembangan program sebaiknya melibatkan siswa, guru, dan orang tua sebagai tiga lapisan pendukung perilaku.</w:t>
      </w:r>
    </w:p>
    <w:p>
      <w:pPr>
        <w:spacing w:before="0" w:after="0" w:line="360" w:lineRule="auto"/>
        <w:ind w:firstLine="425"/>
        <w:jc w:val="both"/>
      </w:pPr>
      <w:r>
        <w:rPr>
          <w:rFonts w:ascii="Arial" w:hAnsi="Arial" w:eastAsia="Arial"/>
          <w:b w:val="0"/>
          <w:i w:val="0"/>
          <w:sz w:val="24"/>
        </w:rPr>
        <w:t>Materi dan metode edukasi perlu disegmentasikan menurut usia. Anak sekolah dasar cenderung lebih mudah merespons model gigi, gambar, permainan, demonstrasi, dan praktik motorik sederhana. Remaja dapat dilibatkan melalui diskusi mengenai konsumsi gula, minuman berpemanis, rokok atau vape, halitosis, estetika, dan kesehatan periodontal. Variasi metode pendidikan memengaruhi pemahaman kebersihan mulut pada anak sekolah, sehingga satu format penyuluhan tidak selalu sesuai untuk seluruh kelompok usia (19). Penguatan pengetahuan mengenai menyikat gigi pada siswa sekolah dasar juga tetap penting karena praktik yang benar tidak dapat diasumsikan hanya berdasarkan kebiasaan menyikat gigi setiap hari (20).</w:t>
      </w:r>
    </w:p>
    <w:p>
      <w:pPr>
        <w:spacing w:before="0" w:after="0" w:line="360" w:lineRule="auto"/>
        <w:ind w:firstLine="425"/>
        <w:jc w:val="both"/>
      </w:pPr>
      <w:r>
        <w:rPr>
          <w:rFonts w:ascii="Arial" w:hAnsi="Arial" w:eastAsia="Arial"/>
          <w:b w:val="0"/>
          <w:i w:val="0"/>
          <w:sz w:val="24"/>
        </w:rPr>
        <w:t>Evaluasi pendidikan pada program berikutnya dapat memanfaatkan desain yang sederhana tetapi lebih terukur. Studi intervensi sekolah menunjukkan bahwa edukasi yang dirancang secara sistematis dapat meningkatkan pengetahuan, sikap, praktik, dan efikasi diri (21). Program menyikat gigi terawasi juga berpotensi menurunkan karies apabila dilakukan secara terstruktur dan berkesinambungan (22). Implikasinya bagi Baubau adalah bahwa sikat gigi massal pada hari kegiatan sebaiknya diposisikan sebagai pemicu awal, kemudian diteruskan melalui kegiatan penguatan yang dapat dilaksanakan guru, UKGS, atau puskesmas. Tanpa penguatan, keterampilan yang dipraktikkan sekali berisiko tidak menjadi kebiasaan.</w:t>
      </w:r>
    </w:p>
    <w:p>
      <w:pPr>
        <w:spacing w:before="0" w:after="0" w:line="360" w:lineRule="auto"/>
        <w:ind w:firstLine="425"/>
        <w:jc w:val="both"/>
      </w:pPr>
      <w:r>
        <w:rPr>
          <w:rFonts w:ascii="Arial" w:hAnsi="Arial" w:eastAsia="Arial"/>
          <w:b w:val="0"/>
          <w:i w:val="0"/>
          <w:sz w:val="24"/>
        </w:rPr>
        <w:t>Keberlanjutan program perlu dihubungkan dengan pelayanan primer. Regulasi nasional menempatkan upaya kesehatan gigi dan mulut dalam kerangka promotif, preventif, kuratif, dan rehabilitatif, termasuk kegiatan berbasis sekolah (23). Perguruan tinggi dapat berperan sebagai penguat melalui penyediaan edukator, pemeriksaan, tindakan sederhana, media, pelatihan guru atau kader, serta evaluasi program, tetapi tidak menggantikan fungsi puskesmas. Sekolah dapat mempertahankan penguatan perilaku dan komunikasi dengan orang tua, sedangkan puskesmas menangani tindak lanjut klinis, kontrol, dan rujukan. Pembagian peran tersebut membuat program lebih mungkin berlanjut sebagai sistem, bukan hanya acara periodik.</w:t>
      </w:r>
    </w:p>
    <w:p>
      <w:pPr>
        <w:spacing w:before="0" w:after="0" w:line="360" w:lineRule="auto"/>
        <w:ind w:firstLine="425"/>
        <w:jc w:val="both"/>
      </w:pPr>
      <w:r>
        <w:rPr>
          <w:rFonts w:ascii="Arial" w:hAnsi="Arial" w:eastAsia="Arial"/>
          <w:b w:val="0"/>
          <w:i w:val="0"/>
          <w:sz w:val="24"/>
        </w:rPr>
        <w:t>Mekanisme rujukan sederhana dapat disusun berdasarkan hasil skrining: kebutuhan edukasi rutin, tindakan yang dapat diselesaikan di posko, kebutuhan kontrol, dan kebutuhan perawatan lanjutan. Informasi dapat diberikan kepada pasien atau orang tua melalui lembar singkat tanpa mencantumkan data lebih dari yang diperlukan. Pada tingkat program, rekap anonim dapat digunakan untuk melihat berapa banyak peserta yang memerlukan rujukan dan apakah tindak lanjut telah dilakukan. Sistem semacam ini memperkuat integrasi pengabdian dengan layanan primer dan sejalan dengan arah WHO yang mendorong integrasi kesehatan gigi ke pelayanan kesehatan primer dan agenda universal health coverage (9).</w:t>
      </w:r>
    </w:p>
    <w:p>
      <w:pPr>
        <w:spacing w:before="0" w:after="0" w:line="360" w:lineRule="auto"/>
        <w:ind w:firstLine="425"/>
        <w:jc w:val="both"/>
      </w:pPr>
      <w:r>
        <w:rPr>
          <w:rFonts w:ascii="Arial" w:hAnsi="Arial" w:eastAsia="Arial"/>
          <w:b w:val="0"/>
          <w:i w:val="0"/>
          <w:sz w:val="24"/>
        </w:rPr>
        <w:t>Data wilayah juga dapat digunakan untuk memilih sasaran secara lebih terarah. Informasi penduduk dan fasilitas pendidikan dari BPS Kota Baubau dapat dipadukan dengan data sekolah dan puskesmas untuk menentukan lokasi prioritas, memperkirakan jumlah tim, menyusun kebutuhan alat dan bahan, serta mengatur jadwal pelayanan yang lebih proporsional (7). Pengembangan berbasis data akan membantu mencegah ketimpangan antara posko dengan jumlah peserta tinggi dan kapasitas operator yang tersedia. Pada artikel pengabdian berikutnya, pelaporan jumlah pasien per posko akan memberikan gambaran yang lebih informatif tentang distribusi kebutuhan.</w:t>
      </w:r>
    </w:p>
    <w:p>
      <w:pPr>
        <w:spacing w:before="0" w:after="0" w:line="360" w:lineRule="auto"/>
        <w:ind w:firstLine="425"/>
        <w:jc w:val="both"/>
      </w:pPr>
      <w:r>
        <w:rPr>
          <w:rFonts w:ascii="Arial" w:hAnsi="Arial" w:eastAsia="Arial"/>
          <w:b w:val="0"/>
          <w:i w:val="0"/>
          <w:sz w:val="24"/>
        </w:rPr>
        <w:t>Keterbatasan utama laporan ini adalah data pelayanan hanya tersedia dalam bentuk agregat. Tidak tersedia distribusi pasien menurut posko, usia, diagnosis, jenis tindakan, maupun rujukan. Tidak terdapat skor pretest-posttest yang terstandar, sehingga peningkatan pengetahuan tidak dapat dinyatakan secara kuantitatif. Selain itu, tidak tersedia data kontrol pascatindakan untuk menilai keberlanjutan hasil klinis. Keterbatasan ini telah dipertahankan secara eksplisit agar artikel tidak melebih-lebihkan dampak program. Fokus hasil karenanya ditempatkan pada proses, jangkauan, integrasi komponen pelayanan, dan rekomendasi penguatan sistem.</w:t>
      </w:r>
    </w:p>
    <w:p>
      <w:pPr>
        <w:spacing w:before="0" w:after="0" w:line="360" w:lineRule="auto"/>
        <w:ind w:firstLine="425"/>
        <w:jc w:val="both"/>
      </w:pPr>
      <w:r>
        <w:rPr>
          <w:rFonts w:ascii="Arial" w:hAnsi="Arial" w:eastAsia="Arial"/>
          <w:b w:val="0"/>
          <w:i w:val="0"/>
          <w:sz w:val="24"/>
        </w:rPr>
        <w:t>Meskipun memiliki keterbatasan pencatatan, kegiatan Baubau memenuhi karakter dasar pengabdian bidang kesehatan: terdapat masalah kesehatan yang relevan, sasaran yang jelas, intervensi promotif dan preventif, pelayanan langsung, keterlibatan mitra, serta evaluasi proses. Artikel pengabdian lain menunjukkan bahwa kombinasi edukasi dan praktik kebersihan gigi memberikan capaian yang lebih konkret dibanding penyampaian informasi saja (24). Pengalaman Baubau memperluas pendekatan tersebut dengan menambahkan skrining dan tindakan klinis pada skala empat posko. Nilai program berada pada keterhubungan setiap tahapan, bukan pada satu jenis tindakan secara terpisah.</w:t>
      </w:r>
    </w:p>
    <w:p>
      <w:pPr>
        <w:spacing w:before="0" w:after="0" w:line="360" w:lineRule="auto"/>
        <w:ind w:firstLine="425"/>
        <w:jc w:val="both"/>
      </w:pPr>
      <w:r>
        <w:rPr>
          <w:rFonts w:ascii="Arial" w:hAnsi="Arial" w:eastAsia="Arial"/>
          <w:b w:val="0"/>
          <w:i w:val="0"/>
          <w:sz w:val="24"/>
        </w:rPr>
        <w:t>Replikasi program sebaiknya mempertahankan inti berupa edukasi, praktik, skrining, tindakan, dan tindak lanjut, tetapi tidak harus menggunakan format yang sama di setiap sekolah atau komunitas. Jumlah operator, bahan, durasi layanan, serta media edukasi perlu disesuaikan dengan karakter sasaran dan kapasitas lokal. Pada lokasi dengan sumber daya terbatas, program dapat memprioritaskan edukasi, skrining, ART pada kasus yang sesuai, dan rujukan. Pada lokasi dengan kapasitas klinis lebih besar, scaling dan tindakan lain dapat ditambahkan. Fleksibilitas ini membantu menjaga keselamatan dan mutu tanpa kehilangan prinsip integrasi.</w:t>
      </w:r>
    </w:p>
    <w:p>
      <w:pPr>
        <w:spacing w:before="0" w:after="0" w:line="360" w:lineRule="auto"/>
        <w:ind w:firstLine="425"/>
        <w:jc w:val="both"/>
      </w:pPr>
      <w:r>
        <w:rPr>
          <w:rFonts w:ascii="Arial" w:hAnsi="Arial" w:eastAsia="Arial"/>
          <w:b w:val="0"/>
          <w:i w:val="0"/>
          <w:sz w:val="24"/>
        </w:rPr>
        <w:t>Pengembangan program secara periodik dapat menggunakan pola kunjungan awal, kontrol, dan evaluasi ulang. Kunjungan awal difokuskan pada edukasi, pemeriksaan, dan tindakan yang dapat dilakukan di posko. Kunjungan berikutnya digunakan untuk mengulang pesan penting, menilai kebutuhan lanjutan, dan memantau pasien yang sebelumnya dirujuk. Evaluasi ulang dapat dilakukan bersama sekolah, puskesmas, dan PDGI Baubau. Dengan pola tersebut, peran perguruan tinggi secara bertahap dapat bergeser dari pelaksana tunggal menjadi mitra penguatan kapasitas lokal.</w:t>
      </w:r>
    </w:p>
    <w:p>
      <w:pPr>
        <w:spacing w:before="0" w:after="0" w:line="360" w:lineRule="auto"/>
        <w:ind w:firstLine="425"/>
        <w:jc w:val="both"/>
      </w:pPr>
      <w:r>
        <w:rPr>
          <w:rFonts w:ascii="Arial" w:hAnsi="Arial" w:eastAsia="Arial"/>
          <w:b w:val="0"/>
          <w:i w:val="0"/>
          <w:sz w:val="24"/>
        </w:rPr>
        <w:t>Aspek mutu pelayanan juga perlu mendapat perhatian ketika program mempunyai jangkauan besar. Pelayanan lapangan harus menjaga prinsip bahwa keputusan tindakan didasarkan pada kebutuhan klinis masing-masing pasien dan kapasitas sarana yang tersedia. Pengaturan alur registrasi, skrining, tindakan, dan pascatindakan membantu mengurangi kepadatan pada satu titik pelayanan serta memudahkan koordinasi antaroperator. Dalam kegiatan selanjutnya, standar operasional sederhana untuk alur pasien, pencatatan bahan dan instrumen, serta kriteria rujukan dapat disusun bersama mitra lokal. Pendekatan ini tidak mengubah karakter pengabdian menjadi penelitian, tetapi membantu memastikan bahwa perluasan jangkauan tetap diikuti mutu proses yang konsisten.</w:t>
      </w:r>
    </w:p>
    <w:p>
      <w:pPr>
        <w:spacing w:before="0" w:after="0" w:line="360" w:lineRule="auto"/>
        <w:ind w:firstLine="425"/>
        <w:jc w:val="both"/>
      </w:pPr>
      <w:r>
        <w:rPr>
          <w:rFonts w:ascii="Arial" w:hAnsi="Arial" w:eastAsia="Arial"/>
          <w:b w:val="0"/>
          <w:i w:val="0"/>
          <w:sz w:val="24"/>
        </w:rPr>
        <w:t>Kualitas data program merupakan bagian penting dari keberlanjutan. Rekap agregat yang hanya mencatat total penerima layanan memang cukup untuk menunjukkan besarnya jangkauan, tetapi belum dapat menjawab jenis masalah yang paling sering ditemukan atau tindakan apa yang paling banyak dibutuhkan. Formulir anonim dengan variabel minimum dapat menjadi solusi yang realistis. Setiap posko dapat mencatat kelompok usia, kategori masalah, jenis pelayanan, kebutuhan rujukan, dan status kontrol tanpa mengumpulkan informasi pribadi yang tidak diperlukan. Setelah kegiatan, data tersebut dapat diringkas sebagai frekuensi dan persentase. Informasi ini berguna bukan hanya untuk penulisan artikel, tetapi juga untuk memperkirakan kebutuhan bahan, jumlah operator, durasi pelayanan, dan prioritas edukasi pada kunjungan berikutnya.</w:t>
      </w:r>
    </w:p>
    <w:p>
      <w:pPr>
        <w:spacing w:before="0" w:after="0" w:line="360" w:lineRule="auto"/>
        <w:ind w:firstLine="425"/>
        <w:jc w:val="both"/>
      </w:pPr>
      <w:r>
        <w:rPr>
          <w:rFonts w:ascii="Arial" w:hAnsi="Arial" w:eastAsia="Arial"/>
          <w:b w:val="0"/>
          <w:i w:val="0"/>
          <w:sz w:val="24"/>
        </w:rPr>
        <w:t>Program juga mempunyai peluang untuk memperkuat hubungan antara promosi kesehatan dan akses pelayanan. Peserta yang menerima penyuluhan akan lebih mudah memahami alasan suatu tindakan direkomendasikan ketika pesan pencegahan dihubungkan dengan hasil pemeriksaan mereka sendiri. Sebaliknya, tindakan klinis tanpa edukasi berisiko dipahami sebagai penyelesaian sesaat tanpa perubahan perilaku pemeliharaan. Integrasi kedua komponen membuat kegiatan lebih berorientasi pada kesinambungan. Untuk siswa, pesan dapat diteruskan melalui guru dan UKGS, sedangkan untuk masyarakat umum dapat diperkuat melalui komunikasi puskesmas dan jejaring lokal. Dengan pola tersebut, pengabdian berfungsi sebagai titik masuk menuju pemanfaatan pelayanan yang lebih teratur, bukan sebagai pengganti pelayanan rutin.</w:t>
      </w:r>
    </w:p>
    <w:p>
      <w:pPr>
        <w:spacing w:before="0" w:after="0" w:line="360" w:lineRule="auto"/>
        <w:ind w:firstLine="425"/>
        <w:jc w:val="both"/>
      </w:pPr>
      <w:r>
        <w:rPr>
          <w:rFonts w:ascii="Arial" w:hAnsi="Arial" w:eastAsia="Arial"/>
          <w:b w:val="0"/>
          <w:i w:val="0"/>
          <w:sz w:val="24"/>
        </w:rPr>
        <w:t>Dari perspektif replikasi, empat posko di wilayah kecamatan yang berbeda memberikan pengalaman operasional yang dapat digunakan untuk menyusun model pelaksanaan yang lebih baku. Komponen yang dapat distandarkan meliputi briefing tim, alur peserta, materi inti edukasi, formulir skrining, kriteria tindakan lapangan, lembar rujukan, dan rekap harian. Sementara itu, jumlah operator, waktu pelayanan, media edukasi, dan komposisi tindakan tetap dapat disesuaikan dengan kondisi tiap lokasi. Standardisasi pada komponen inti dan fleksibilitas pada aspek operasional akan membantu menjaga konsistensi program sekaligus mempertahankan kemampuan beradaptasi terhadap kebutuhan lokal.</w:t>
      </w:r>
    </w:p>
    <w:p>
      <w:pPr>
        <w:spacing w:before="0" w:after="0" w:line="360" w:lineRule="auto"/>
        <w:ind w:firstLine="425"/>
        <w:jc w:val="both"/>
      </w:pPr>
      <w:r>
        <w:rPr>
          <w:rFonts w:ascii="Arial" w:hAnsi="Arial" w:eastAsia="Arial"/>
          <w:b w:val="0"/>
          <w:i w:val="0"/>
          <w:sz w:val="24"/>
        </w:rPr>
        <w:t>Secara keseluruhan, pelayanan kesehatan gigi terpadu berbasis posko di Baubau menunjukkan model yang praktis untuk mendekatkan layanan kepada komunitas. Kekuatan utama program adalah kombinasi edukasi kelompok dengan pemeriksaan dan tindakan individual serta kolaborasi lintas institusi. Agar model ini menghasilkan bukti program yang lebih kuat, pengembangan berikutnya perlu memprioritaskan sistem pencatatan, evaluasi edukasi, dokumentasi rujukan, dan tindak lanjut. Dengan demikian, kegiatan tidak hanya mempunyai jangkauan luas, tetapi juga dapat menunjukkan keluaran yang lebih terukur dan memberikan dasar yang lebih baik bagi perencanaan pelayanan kesehatan gigi komunitas.</w:t>
      </w:r>
    </w:p>
    <w:p>
      <w:pPr>
        <w:keepNext/>
        <w:spacing w:before="100" w:after="40" w:line="240" w:lineRule="auto"/>
        <w:ind w:firstLine="0"/>
      </w:pPr>
      <w:r>
        <w:rPr>
          <w:rFonts w:ascii="Arial" w:hAnsi="Arial" w:eastAsia="Arial"/>
          <w:b/>
          <w:sz w:val="24"/>
        </w:rPr>
        <w:t>KESIMPULAN</w:t>
      </w:r>
    </w:p>
    <w:p>
      <w:pPr>
        <w:spacing w:before="0" w:after="0" w:line="360" w:lineRule="auto"/>
        <w:ind w:firstLine="425"/>
        <w:jc w:val="both"/>
      </w:pPr>
      <w:r>
        <w:rPr>
          <w:rFonts w:ascii="Arial" w:hAnsi="Arial" w:eastAsia="Arial"/>
          <w:b w:val="0"/>
          <w:i w:val="0"/>
          <w:sz w:val="24"/>
        </w:rPr>
        <w:t>Pelayanan kesehatan gigi dan mulut terpadu di Kota Baubau menunjukkan bahwa model pengabdian berbasis empat posko dapat menggabungkan penyuluhan, praktik menyikat gigi, skrining, dan tindakan klinis dalam satu rangkaian pelayanan. Sebanyak 1.850 pasien menerima pelayanan dengan dukungan 50 koordinator dan tenaga pendamping lintas unsur. Data yang tersedia mendukung kesimpulan mengenai jangkauan dan keterlaksanaan program, tetapi belum cukup untuk menyatakan efektivitas terhadap peningkatan pengetahuan atau status klinis karena belum tersedia data pretest-posttest, distribusi tindakan, dan tindak lanjut individual. Rencana tindak lanjut yang direkomendasikan adalah penggunaan formulir rekap terstandar pada setiap posko, pengukuran edukasi sederhana sebelum dan sesudah kegiatan, pencatatan tindakan dan rujukan, serta penjadwalan kontrol bersama sekolah, puskesmas, PDGI, perguruan tinggi, dan pemerintah daerah. Penguatan tersebut dapat mengembangkan UMI Amal Senyuman dari kegiatan pelayanan periodik menjadi model pengabdian kesehatan gigi komunitas yang lebih terukur, berkelanjutan, dan mudah direplikasi.</w:t>
      </w:r>
    </w:p>
    <w:p>
      <w:pPr>
        <w:keepNext/>
        <w:spacing w:before="100" w:after="40" w:line="240" w:lineRule="auto"/>
        <w:ind w:firstLine="0"/>
      </w:pPr>
      <w:r>
        <w:rPr>
          <w:rFonts w:ascii="Arial" w:hAnsi="Arial" w:eastAsia="Arial"/>
          <w:b/>
          <w:sz w:val="24"/>
        </w:rPr>
        <w:t>UCAPAN TERIMA KASIH</w:t>
      </w:r>
    </w:p>
    <w:p>
      <w:pPr>
        <w:spacing w:before="0" w:after="0" w:line="360" w:lineRule="auto"/>
        <w:ind w:firstLine="425"/>
        <w:jc w:val="both"/>
      </w:pPr>
      <w:r>
        <w:rPr>
          <w:rFonts w:ascii="Arial" w:hAnsi="Arial" w:eastAsia="Arial"/>
          <w:b w:val="0"/>
          <w:i w:val="0"/>
          <w:sz w:val="24"/>
        </w:rPr>
        <w:t>Tim pengabdian FKG UMI menyampaikan terima kasih kepada pemerintah dan mitra pendidikan di Kota Baubau, pimpinan sekolah, guru, tenaga kesehatan, alumni FKG UMI, PDGI Baubau, dosen, mahasiswa, siswa, dan masyarakat yang mendukung pelaksanaan kegiatan. Apresiasi juga disampaikan kepada Fakultas Kedokteran Gigi Universitas Muslim Indonesia dan panitia UMI Amal Senyuman Vol. IV atas fasilitasi kegiatan pengabdian kepada masyarakat.</w:t>
      </w:r>
    </w:p>
    <w:p>
      <w:pPr>
        <w:keepNext/>
        <w:spacing w:before="100" w:after="40" w:line="240" w:lineRule="auto"/>
        <w:ind w:firstLine="0"/>
      </w:pPr>
      <w:r>
        <w:rPr>
          <w:rFonts w:ascii="Arial" w:hAnsi="Arial" w:eastAsia="Arial"/>
          <w:b/>
          <w:sz w:val="24"/>
        </w:rPr>
        <w:t>REFERENCES</w:t>
      </w:r>
    </w:p>
    <w:p>
      <w:pPr>
        <w:spacing w:after="0" w:line="240" w:lineRule="auto"/>
        <w:ind w:left="255" w:hanging="255"/>
      </w:pPr>
      <w:r>
        <w:rPr>
          <w:rFonts w:ascii="Arial" w:hAnsi="Arial" w:eastAsia="Arial"/>
          <w:sz w:val="20"/>
        </w:rPr>
        <w:t>1. World Health Organization. Global oral health status report: towards universal health coverage for oral health by 2030. Geneva: World Health Organization; 2022.</w:t>
      </w:r>
    </w:p>
    <w:p>
      <w:pPr>
        <w:spacing w:after="0" w:line="240" w:lineRule="auto"/>
        <w:ind w:left="255" w:hanging="255"/>
      </w:pPr>
      <w:r>
        <w:rPr>
          <w:rFonts w:ascii="Arial" w:hAnsi="Arial" w:eastAsia="Arial"/>
          <w:sz w:val="20"/>
        </w:rPr>
        <w:t>2. Kementerian Kesehatan Republik Indonesia. Kesehatan gigi dan mulut di Indonesia: fact sheet hasil Survei Kesehatan Indonesia 2023. Jakarta: Badan Kebijakan Pembangunan Kesehatan; 2024.</w:t>
      </w:r>
    </w:p>
    <w:p>
      <w:pPr>
        <w:spacing w:after="0" w:line="240" w:lineRule="auto"/>
        <w:ind w:left="255" w:hanging="255"/>
      </w:pPr>
      <w:r>
        <w:rPr>
          <w:rFonts w:ascii="Arial" w:hAnsi="Arial" w:eastAsia="Arial"/>
          <w:sz w:val="20"/>
        </w:rPr>
        <w:t>3. Kementerian Kesehatan Republik Indonesia. Survei Kesehatan Indonesia (SKI) 2023. Jakarta: Kementerian Kesehatan RI; 2023.</w:t>
      </w:r>
    </w:p>
    <w:p>
      <w:pPr>
        <w:spacing w:after="0" w:line="240" w:lineRule="auto"/>
        <w:ind w:left="255" w:hanging="255"/>
      </w:pPr>
      <w:r>
        <w:rPr>
          <w:rFonts w:ascii="Arial" w:hAnsi="Arial" w:eastAsia="Arial"/>
          <w:sz w:val="20"/>
        </w:rPr>
        <w:t>4. Bramantoro T, Santoso CMA, Hariyani N, Setyowati D, Zulfiana AA, Nor NAM, et al. Effectiveness of the school-based oral health promotion programmes from preschool to high school: a systematic review. PLoS One. 2021;16(8):e0256007. doi:10.1371/journal.pone.0256007.</w:t>
      </w:r>
    </w:p>
    <w:p>
      <w:pPr>
        <w:spacing w:after="0" w:line="240" w:lineRule="auto"/>
        <w:ind w:left="255" w:hanging="255"/>
      </w:pPr>
      <w:r>
        <w:rPr>
          <w:rFonts w:ascii="Arial" w:hAnsi="Arial" w:eastAsia="Arial"/>
          <w:sz w:val="20"/>
        </w:rPr>
        <w:t>5. Kim S, Kim SY. Effectiveness of school-based oral health education for children and adolescents in low- and middle-income countries: a systematic review and meta-analysis. Asia Pac J Public Health. 2024;36(4):312-321. doi:10.1177/10105395241240959.</w:t>
      </w:r>
    </w:p>
    <w:p>
      <w:pPr>
        <w:spacing w:after="0" w:line="240" w:lineRule="auto"/>
        <w:ind w:left="255" w:hanging="255"/>
      </w:pPr>
      <w:r>
        <w:rPr>
          <w:rFonts w:ascii="Arial" w:hAnsi="Arial" w:eastAsia="Arial"/>
          <w:sz w:val="20"/>
        </w:rPr>
        <w:t>6. Setiawati F, Darwita RR, Fadillah F, Adiatman M, Soekanto SA, Sjarkawi GA. Effectiveness of dental health education intervention using the 16-surface tooth brushing program among 7-9-year-old schoolchildren in Indonesia. Pesqui Bras Odontopediatria Clin Integr. 2020;20:e5698. doi:10.1590/pboci.2020.144.</w:t>
      </w:r>
    </w:p>
    <w:p>
      <w:pPr>
        <w:spacing w:after="0" w:line="240" w:lineRule="auto"/>
        <w:ind w:left="255" w:hanging="255"/>
      </w:pPr>
      <w:r>
        <w:rPr>
          <w:rFonts w:ascii="Arial" w:hAnsi="Arial" w:eastAsia="Arial"/>
          <w:sz w:val="20"/>
        </w:rPr>
        <w:t>7. Badan Pusat Statistik Kota Baubau. Kota Baubau dalam angka 2026. Baubau: BPS Kota Baubau; 2026.</w:t>
      </w:r>
    </w:p>
    <w:p>
      <w:pPr>
        <w:spacing w:after="0" w:line="240" w:lineRule="auto"/>
        <w:ind w:left="255" w:hanging="255"/>
      </w:pPr>
      <w:r>
        <w:rPr>
          <w:rFonts w:ascii="Arial" w:hAnsi="Arial" w:eastAsia="Arial"/>
          <w:sz w:val="20"/>
        </w:rPr>
        <w:t>8. Fakultas Kedokteran Gigi Universitas Muslim Indonesia. Satu senyum sejuta kebaikan, BEM KBM FKG-UMI adakan UMI Amal Senyuman Vol. IV di Kota Baubau. Makassar: FKG UMI; 2026.</w:t>
      </w:r>
    </w:p>
    <w:p>
      <w:pPr>
        <w:spacing w:after="0" w:line="240" w:lineRule="auto"/>
        <w:ind w:left="255" w:hanging="255"/>
      </w:pPr>
      <w:r>
        <w:rPr>
          <w:rFonts w:ascii="Arial" w:hAnsi="Arial" w:eastAsia="Arial"/>
          <w:sz w:val="20"/>
        </w:rPr>
        <w:t>9. World Health Organization. Global strategy and action plan on oral health 2023-2030. Geneva: World Health Organization; 2024.</w:t>
      </w:r>
    </w:p>
    <w:p>
      <w:pPr>
        <w:spacing w:after="0" w:line="240" w:lineRule="auto"/>
        <w:ind w:left="255" w:hanging="255"/>
      </w:pPr>
      <w:r>
        <w:rPr>
          <w:rFonts w:ascii="Arial" w:hAnsi="Arial" w:eastAsia="Arial"/>
          <w:sz w:val="20"/>
        </w:rPr>
        <w:t>10. World Health Organization Regional Office for South-East Asia. Action plan for oral health in South-East Asia 2022-2030. New Delhi: WHO Regional Office for South-East Asia; 2022.</w:t>
      </w:r>
    </w:p>
    <w:p>
      <w:pPr>
        <w:spacing w:after="0" w:line="240" w:lineRule="auto"/>
        <w:ind w:left="255" w:hanging="255"/>
      </w:pPr>
      <w:r>
        <w:rPr>
          <w:rFonts w:ascii="Arial" w:hAnsi="Arial" w:eastAsia="Arial"/>
          <w:sz w:val="20"/>
        </w:rPr>
        <w:t>11. Putri VS, Maimaznah M. Efektifitas gosok gigi massal dan pendidikan kesehatan gigi mulut pada anak usia 7-11 tahun di SDN 174 Kelurahan Murni Kota Jambi. J Abdimas Kesehat. 2021;3(1):63-71. doi:10.36565/jak.v3i1.152.</w:t>
      </w:r>
    </w:p>
    <w:p>
      <w:pPr>
        <w:spacing w:after="0" w:line="240" w:lineRule="auto"/>
        <w:ind w:left="255" w:hanging="255"/>
      </w:pPr>
      <w:r>
        <w:rPr>
          <w:rFonts w:ascii="Arial" w:hAnsi="Arial" w:eastAsia="Arial"/>
          <w:sz w:val="20"/>
        </w:rPr>
        <w:t>12. Safa'ah N, Pitaloka D, Ryandini TP. Edukasi pencegahan karies gigi melalui media video animasi pentingnya sikat gigi pada anak 5-6 tahun di Desa Sumurgung Kecamatan Palang Kabupaten Tuban. J Abdi Masy. 2022;6(1):72-80. doi:10.30737/jaim.v6i1.3325.</w:t>
      </w:r>
    </w:p>
    <w:p>
      <w:pPr>
        <w:spacing w:after="0" w:line="240" w:lineRule="auto"/>
        <w:ind w:left="255" w:hanging="255"/>
      </w:pPr>
      <w:r>
        <w:rPr>
          <w:rFonts w:ascii="Arial" w:hAnsi="Arial" w:eastAsia="Arial"/>
          <w:sz w:val="20"/>
        </w:rPr>
        <w:t>13. Supriatna A, Widyastuti N, Wahyudadi BS, Rahmah NA. Penggunaan video edukasi menyikat gigi terhadap pengetahuan dan keterampilan pada siswa sekolah dasar. Media Kesehat Gigi. 2024;23(1):10-15. doi:10.32382/mkg.v23i1.615.</w:t>
      </w:r>
    </w:p>
    <w:p>
      <w:pPr>
        <w:spacing w:after="0" w:line="240" w:lineRule="auto"/>
        <w:ind w:left="255" w:hanging="255"/>
      </w:pPr>
      <w:r>
        <w:rPr>
          <w:rFonts w:ascii="Arial" w:hAnsi="Arial" w:eastAsia="Arial"/>
          <w:sz w:val="20"/>
        </w:rPr>
        <w:t>14. Garbim JR, Laux CM, Tedesco TK, Braga MM, Raggio DP. Atraumatic restorative treatment restorations performed in different settings: systematic review and meta-analysis. Aust Dent J. 2021;66(4):430-443. doi:10.1111/adj.12871.</w:t>
      </w:r>
    </w:p>
    <w:p>
      <w:pPr>
        <w:spacing w:after="0" w:line="240" w:lineRule="auto"/>
        <w:ind w:left="255" w:hanging="255"/>
      </w:pPr>
      <w:r>
        <w:rPr>
          <w:rFonts w:ascii="Arial" w:hAnsi="Arial" w:eastAsia="Arial"/>
          <w:sz w:val="20"/>
        </w:rPr>
        <w:t>15. Sanz M, Herrera D, Kebschull M, Chapple I, Jepsen S, Berglundh T, et al. Treatment of stage I-III periodontitis-the EFP S3 level clinical practice guideline. J Clin Periodontol. 2020;47(Suppl 22):4-60. doi:10.1111/jcpe.13290.</w:t>
      </w:r>
    </w:p>
    <w:p>
      <w:pPr>
        <w:spacing w:after="0" w:line="240" w:lineRule="auto"/>
        <w:ind w:left="255" w:hanging="255"/>
      </w:pPr>
      <w:r>
        <w:rPr>
          <w:rFonts w:ascii="Arial" w:hAnsi="Arial" w:eastAsia="Arial"/>
          <w:sz w:val="20"/>
        </w:rPr>
        <w:t>16. Elsadek YE, Edwebi S, Turner A, Vinall-Collier K, Csikar J, Pavitt S. A systematic review of school-based student peer-led oral health interventions to promote the oral health of school children. BMC Oral Health. 2023;23:742. doi:10.1186/s12903-023-03482-1.</w:t>
      </w:r>
    </w:p>
    <w:p>
      <w:pPr>
        <w:spacing w:after="0" w:line="240" w:lineRule="auto"/>
        <w:ind w:left="255" w:hanging="255"/>
      </w:pPr>
      <w:r>
        <w:rPr>
          <w:rFonts w:ascii="Arial" w:hAnsi="Arial" w:eastAsia="Arial"/>
          <w:sz w:val="20"/>
        </w:rPr>
        <w:t>17. Gayatri RW, Deniati EN, Saub RB. Oral health literacy in Malang City, Indonesia. J Public Health Afr. 2022;13(Suppl 2). doi:10.4081/jphia.2022.2414.</w:t>
      </w:r>
    </w:p>
    <w:p>
      <w:pPr>
        <w:spacing w:after="0" w:line="240" w:lineRule="auto"/>
        <w:ind w:left="255" w:hanging="255"/>
      </w:pPr>
      <w:r>
        <w:rPr>
          <w:rFonts w:ascii="Arial" w:hAnsi="Arial" w:eastAsia="Arial"/>
          <w:sz w:val="20"/>
        </w:rPr>
        <w:t>18. Liasari I, Priyambodo RA, Nur Aida W. Literasi kesehatan gigi ibu dan status karies gigi anak di wilayah kumuh Kota Makassar. Media Kesehat Gigi. 2024;23(2). doi:10.32382/mkg.v23i2.1111.</w:t>
      </w:r>
    </w:p>
    <w:p>
      <w:pPr>
        <w:spacing w:after="0" w:line="240" w:lineRule="auto"/>
        <w:ind w:left="255" w:hanging="255"/>
      </w:pPr>
      <w:r>
        <w:rPr>
          <w:rFonts w:ascii="Arial" w:hAnsi="Arial" w:eastAsia="Arial"/>
          <w:sz w:val="20"/>
        </w:rPr>
        <w:t>19. Bayraktar Nahir C, Cosgun A, Sahin ND, Altan H. Primary school children's oral hygiene knowledge assessed with different educational methods: a cross-sectional study. BMC Oral Health. 2025;25:148. doi:10.1186/s12903-025-05493-6.</w:t>
      </w:r>
    </w:p>
    <w:p>
      <w:pPr>
        <w:spacing w:after="0" w:line="240" w:lineRule="auto"/>
        <w:ind w:left="255" w:hanging="255"/>
      </w:pPr>
      <w:r>
        <w:rPr>
          <w:rFonts w:ascii="Arial" w:hAnsi="Arial" w:eastAsia="Arial"/>
          <w:sz w:val="20"/>
        </w:rPr>
        <w:t>20. Hamida RK, Prasetyowati S, Marjianto A. Knowledge about brushing teeth in grade 5 elementary school students at SDN Wonokromo III Surabaya. Surabaya Dent Ther J. 2025;3(2):191-196. doi:10.36568/sdtj.v3i2.48.</w:t>
      </w:r>
    </w:p>
    <w:p>
      <w:pPr>
        <w:spacing w:after="0" w:line="240" w:lineRule="auto"/>
        <w:ind w:left="255" w:hanging="255"/>
      </w:pPr>
      <w:r>
        <w:rPr>
          <w:rFonts w:ascii="Arial" w:hAnsi="Arial" w:eastAsia="Arial"/>
          <w:sz w:val="20"/>
        </w:rPr>
        <w:t>21. Taheri AM, Zarei F, Hidarnia A, Tavousi M. Effectiveness of a school-based educational intervention on oral health knowledge, attitudes, practices, and self-efficacy among female secondary school students: a randomized controlled trial. BMC Oral Health. 2025;25:625. doi:10.1186/s12903-025-06028-9.</w:t>
      </w:r>
    </w:p>
    <w:p>
      <w:pPr>
        <w:spacing w:after="0" w:line="240" w:lineRule="auto"/>
        <w:ind w:left="255" w:hanging="255"/>
      </w:pPr>
      <w:r>
        <w:rPr>
          <w:rFonts w:ascii="Arial" w:hAnsi="Arial" w:eastAsia="Arial"/>
          <w:sz w:val="20"/>
        </w:rPr>
        <w:t>22. Tavakoli S, Saadatfar N, Tiyuri A. The effectiveness of school-based supervised tooth brushing intervention for preventing dental caries: a systematic review and meta-analysis. BMC Oral Health. 2025;25:1967. doi:10.1186/s12903-025-07299-y.</w:t>
      </w:r>
    </w:p>
    <w:p>
      <w:pPr>
        <w:spacing w:after="0" w:line="240" w:lineRule="auto"/>
        <w:ind w:left="255" w:hanging="255"/>
      </w:pPr>
      <w:r>
        <w:rPr>
          <w:rFonts w:ascii="Arial" w:hAnsi="Arial" w:eastAsia="Arial"/>
          <w:sz w:val="20"/>
        </w:rPr>
        <w:t>23. Kementerian Kesehatan Republik Indonesia. Peraturan Menteri Kesehatan Republik Indonesia Nomor 89 Tahun 2015 tentang upaya kesehatan gigi dan mulut. Jakarta: Kementerian Kesehatan RI; 2015.</w:t>
      </w:r>
    </w:p>
    <w:p>
      <w:pPr>
        <w:spacing w:after="0" w:line="240" w:lineRule="auto"/>
        <w:ind w:left="255" w:hanging="255"/>
      </w:pPr>
      <w:r>
        <w:rPr>
          <w:rFonts w:ascii="Arial" w:hAnsi="Arial" w:eastAsia="Arial"/>
          <w:sz w:val="20"/>
        </w:rPr>
        <w:t>24. Ermawati E, Sriwidyastuti S, Rahayu R, Musdalifah M. Penyuluhan kesehatan gigi dan mulut di SD Negeri 20 Panyula Kabupaten Bone. J Pengabdi Kpd Masy Nusant. 2025;6(2):2587-2592. doi:10.55338/jpkmn.v6i2.5968.</w:t>
      </w:r>
    </w:p>
    <w:sectPr w:rsidR="00FC693F" w:rsidRPr="0006063C" w:rsidSect="00034616">
      <w:headerReference w:type="default" r:id="rId9"/>
      <w:footerReference w:type="default" r:id="rId10"/>
      <w:type w:val="continuous"/>
      <w:pgSz w:w="11906" w:h="16838"/>
      <w:pgMar w:top="850" w:right="964" w:bottom="907" w:left="964" w:header="720" w:footer="720" w:gutter="0"/>
      <w:cols w:space="4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sz w:val="16"/>
      </w:rPr>
      <w:t xml:space="preserve">Received: [diisi editor]; Revised: [diisi editor]; Accepted for Publication: [diisi editor]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Pelayanan Kesehatan Gigi dan Mulut kepada Masyarakat secara Terpadu di Kota Baubau, Sulawesi Tenggara</dc:title>
  <dc:subject>JPKM submission manuscript</dc:subject>
  <dc:creator/>
  <cp:keywords>kesehatan gigi dan mulut; pelayanan terpadu; promosi kesehatan; skrining; pelayanan komunitas</cp:keywords>
  <dc:description>generated by python-docx</dc:description>
  <cp:lastModifiedBy/>
  <cp:revision>1</cp:revision>
  <dcterms:created xsi:type="dcterms:W3CDTF">2013-12-23T23:15:00Z</dcterms:created>
  <dcterms:modified xsi:type="dcterms:W3CDTF">2013-12-23T23:15:00Z</dcterms:modified>
  <cp:category/>
</cp:coreProperties>
</file>