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Response to Reviewers</w:t>
      </w:r>
    </w:p>
    <w:p>
      <w:r>
        <w:rPr>
          <w:rFonts w:ascii="Times New Roman" w:hAnsi="Times New Roman"/>
          <w:b w:val="0"/>
          <w:sz w:val="24"/>
        </w:rPr>
        <w:t>Manuscript title: Pharmacological Effects of Medicinal Plant-Based Interventions on Lipid Profiles in Adults with Dyslipidemia: A Systematic Review of Clinical Evidence</w:t>
      </w:r>
    </w:p>
    <w:p>
      <w:r>
        <w:rPr>
          <w:rFonts w:ascii="Times New Roman" w:hAnsi="Times New Roman"/>
          <w:b w:val="0"/>
          <w:sz w:val="24"/>
        </w:rPr>
        <w:t>Dear Editor and Reviewers,</w:t>
      </w:r>
    </w:p>
    <w:p>
      <w:r>
        <w:rPr>
          <w:rFonts w:ascii="Times New Roman" w:hAnsi="Times New Roman"/>
          <w:b w:val="0"/>
          <w:sz w:val="24"/>
        </w:rPr>
        <w:t>We sincerely thank the editor and reviewers for their careful assessment of our manuscript. We have revised the manuscript substantially to improve methodological transparency, clarify the review workflow, add database-specific search strategies, strengthen reporting of numerical lipid outcomes, explain quality and risk-of-bias assessments, and refine the synthesis and conclusions. All revisions were made to avoid overstating the evidence and to align the conclusions with the extracted clinical data.</w:t>
      </w:r>
    </w:p>
    <w:p>
      <w:r>
        <w:rPr>
          <w:rFonts w:ascii="Times New Roman" w:hAnsi="Times New Roman"/>
          <w:b/>
          <w:sz w:val="24"/>
        </w:rPr>
        <w:t>Reviewer L</w:t>
      </w:r>
    </w:p>
    <w:p>
      <w:r>
        <w:rPr>
          <w:rFonts w:ascii="Times New Roman" w:hAnsi="Times New Roman"/>
          <w:b/>
          <w:sz w:val="24"/>
        </w:rPr>
        <w:t>Comment: 1. Clarify who performed each step and the number of reviewers; whether study selection, extraction, and quality assessment were independent and duplicate; how data validity was ensured.</w:t>
      </w:r>
    </w:p>
    <w:p>
      <w:r>
        <w:rPr>
          <w:rFonts w:ascii="Times New Roman" w:hAnsi="Times New Roman"/>
          <w:b w:val="0"/>
          <w:sz w:val="24"/>
        </w:rPr>
        <w:t>Response: We revised the Methods section to describe the review process in detail. Title and abstract screening was performed by Endang Setyowati. Full-text screening was performed by Oni Apriyanto and Endang Setyowati. Data extraction was performed by Elza Fadia Irani and Endang Setyowati using Microsoft Excel, without AI-assisted screening or extraction. JBI assessment was performed by Nilawati and Elza Fadia Irani, while RoB 2 and ROBINS-I assessments were performed by Oni Apriyanto. Differences or uncertainties between Oni Apriyanto and Endang Setyowati during full-text screening, or between Elza Fadia Irani and Endang Setyowati/Nilawati and Elza Fadia Irani during extraction and appraisal, were resolved through discussion until consensus was reached. Extracted items included study characteristics, intervention details, lipid outcomes, statistical significance, and proposed mechanisms.</w:t>
      </w:r>
    </w:p>
    <w:p>
      <w:r>
        <w:rPr>
          <w:rFonts w:ascii="Times New Roman" w:hAnsi="Times New Roman"/>
          <w:b/>
          <w:sz w:val="24"/>
        </w:rPr>
        <w:t>Comment: 2. Revise the characteristics table so that data are organized by plant species and key confounders, and report precise numerical values rather than subjective terms.</w:t>
      </w:r>
    </w:p>
    <w:p>
      <w:r>
        <w:rPr>
          <w:rFonts w:ascii="Times New Roman" w:hAnsi="Times New Roman"/>
          <w:sz w:val="24"/>
        </w:rPr>
        <w:t>Response: We agree with this comment. We substantially revised Table 1A using the full-text articles that became available during revision. The table now reports extractable numerical lipid outcomes for TC, LDL-C, HDL-C, and TG by study, including baseline/final values, change values, p values, or percentage changes when these were the form reported by the original study. Subjective phrases such as “favorable reduction” were replaced with data-based statements. We also added a baseline comparability/potential confounding column to identify neutral findings, baseline imbalances, co-interventions, and studies where causal inference is weaker. For studies in which a value was reported only graphically or as a non-extractable p value, we did not estimate or impute values; instead, we stated the extractable result and interpreted it cautiously.</w:t>
      </w:r>
    </w:p>
    <w:p>
      <w:r>
        <w:rPr>
          <w:rFonts w:ascii="Times New Roman" w:hAnsi="Times New Roman"/>
          <w:b/>
          <w:sz w:val="24"/>
        </w:rPr>
        <w:t>Comment: 3. Specify studies with baseline imbalances and explain how findings differed from balanced studies before the overall conclusion.</w:t>
      </w:r>
    </w:p>
    <w:p>
      <w:r>
        <w:rPr>
          <w:rFonts w:ascii="Times New Roman" w:hAnsi="Times New Roman"/>
          <w:sz w:val="24"/>
        </w:rPr>
        <w:t>Response: We revised the Results and Discussion to address baseline comparability and potential confounding. The revised Table 1A now distinguishes studies with comparable baseline characteristics from those with baseline differences or limited comparability. For example, Rahimlou et al. reported significantly different baseline triglyceride and total cholesterol levels between the ginger and placebo groups, and Zamani et al. reported baseline differences in weight, hip circumference, ALT, and AST. These findings are now interpreted cautiously and adjusted or between-group results are prioritized where available.</w:t>
      </w:r>
    </w:p>
    <w:p>
      <w:r>
        <w:rPr>
          <w:rFonts w:ascii="Times New Roman" w:hAnsi="Times New Roman"/>
          <w:b/>
          <w:sz w:val="24"/>
        </w:rPr>
        <w:t>Comment: 4. Explain the difference between JBI and Cochrane RoB tools and address apparent inconsistencies.</w:t>
      </w:r>
    </w:p>
    <w:p>
      <w:r>
        <w:rPr>
          <w:rFonts w:ascii="Times New Roman" w:hAnsi="Times New Roman"/>
          <w:b w:val="0"/>
          <w:sz w:val="24"/>
        </w:rPr>
        <w:t>Response: We added an explanation that JBI, RoB 2, and ROBINS-I assess related but different constructs. JBI was used to summarize broader methodological quality according to study design, while RoB 2 and ROBINS-I were used to assess domain-specific risk of bias in effect estimates. Therefore, differences between JBI and RoB/ROBINS-I judgments are possible and were interpreted narratively rather than combined into a single numerical quality score.</w:t>
      </w:r>
    </w:p>
    <w:p>
      <w:r>
        <w:rPr>
          <w:rFonts w:ascii="Times New Roman" w:hAnsi="Times New Roman"/>
          <w:b/>
          <w:sz w:val="24"/>
        </w:rPr>
        <w:t>Comment: 5. Strengthen the overall synthesis and conclusion.</w:t>
      </w:r>
    </w:p>
    <w:p>
      <w:r>
        <w:rPr>
          <w:rFonts w:ascii="Times New Roman" w:hAnsi="Times New Roman"/>
          <w:sz w:val="24"/>
        </w:rPr>
        <w:t>Response: We revised the Results, Discussion, and Conclusion to distinguish interventions with more consistent TC/LDL-C signals from those with variable HDL-C/TG responses and those showing neutral lipid effects. The revised synthesis now emphasizes that bergamot-based preparations, garlic/Allium preparations, amla, fenugreek, artichoke preparations, and selected Curcuma-derived interventions showed the strongest lipid-lowering signals, whereas ginger and Zataria multiflora findings were more condition-specific or neutral for lipid fractions.</w:t>
      </w:r>
    </w:p>
    <w:p>
      <w:r>
        <w:rPr>
          <w:rFonts w:ascii="Times New Roman" w:hAnsi="Times New Roman"/>
          <w:b/>
          <w:sz w:val="24"/>
        </w:rPr>
        <w:t>Comment: 6. Recommend PROSPERO registration.</w:t>
      </w:r>
    </w:p>
    <w:p>
      <w:r>
        <w:rPr>
          <w:rFonts w:ascii="Times New Roman" w:hAnsi="Times New Roman"/>
          <w:b w:val="0"/>
          <w:sz w:val="24"/>
        </w:rPr>
        <w:t>Response: We added a transparent statement explaining that the review was not prospectively registered because the protocol had been finalized and the review had already begun before registration was considered. The absence of prospective registration is acknowledged as a limitation, and the revised manuscript improves transparency by providing eligibility criteria, database-specific search strategies, review-team roles, extraction items, and risk-of-bias procedures.</w:t>
      </w:r>
    </w:p>
    <w:p>
      <w:r>
        <w:rPr>
          <w:rFonts w:ascii="Times New Roman" w:hAnsi="Times New Roman"/>
          <w:b/>
          <w:sz w:val="24"/>
        </w:rPr>
        <w:t>Comment: 7. Provide search results including search strategy and number of records from each database.</w:t>
      </w:r>
    </w:p>
    <w:p>
      <w:r>
        <w:rPr>
          <w:rFonts w:ascii="Times New Roman" w:hAnsi="Times New Roman"/>
          <w:b w:val="0"/>
          <w:sz w:val="24"/>
        </w:rPr>
        <w:t>Response: We revised the Results to report the number of records identified from each database: PubMed (n = 387), ScienceDirect (n = 261), Cochrane Library/CENTRAL (n = 94), Wiley Online Library (n = 64), and ProQuest (n = 442), for a total of 1,248 records. We also added Supplementary Table S1 containing the complete database-specific search strategies, limits, and filters.</w:t>
      </w:r>
    </w:p>
    <w:p>
      <w:r>
        <w:rPr>
          <w:rFonts w:ascii="Times New Roman" w:hAnsi="Times New Roman"/>
          <w:b/>
          <w:sz w:val="24"/>
        </w:rPr>
        <w:t>Comment: 8. Correct unclear in-text citation formatting, such as “1_6”.</w:t>
      </w:r>
    </w:p>
    <w:p>
      <w:r>
        <w:rPr>
          <w:rFonts w:ascii="Times New Roman" w:hAnsi="Times New Roman"/>
          <w:b w:val="0"/>
          <w:sz w:val="24"/>
        </w:rPr>
        <w:t>Response: We reviewed and corrected the citation formatting throughout the manuscript. Unclear citation ranges were revised to Vancouver numeric format, using clear citation ranges such as 1-6 and numbered references according to order of appearance.</w:t>
      </w:r>
    </w:p>
    <w:p>
      <w:r>
        <w:rPr>
          <w:rFonts w:ascii="Times New Roman" w:hAnsi="Times New Roman"/>
          <w:b/>
          <w:sz w:val="24"/>
        </w:rPr>
        <w:t>Reviewer V</w:t>
      </w:r>
    </w:p>
    <w:p>
      <w:r>
        <w:rPr>
          <w:rFonts w:ascii="Times New Roman" w:hAnsi="Times New Roman"/>
          <w:b/>
          <w:sz w:val="24"/>
        </w:rPr>
        <w:t>Comment: Previous systematic reviews and gaps were not adequately discussed.</w:t>
      </w:r>
    </w:p>
    <w:p>
      <w:r>
        <w:rPr>
          <w:rFonts w:ascii="Times New Roman" w:hAnsi="Times New Roman"/>
          <w:b w:val="0"/>
          <w:sz w:val="24"/>
        </w:rPr>
        <w:t>Response: The Introduction has been revised to explain that previous reviews commonly focused on single botanicals, phytochemical classes, or narrower disease populations, while gaps remain regarding comparative plant-specific response patterns, patient context, and the connection between clinical lipid effects and pharmacological mechanisms.</w:t>
      </w:r>
    </w:p>
    <w:p>
      <w:r>
        <w:rPr>
          <w:rFonts w:ascii="Times New Roman" w:hAnsi="Times New Roman"/>
          <w:b/>
          <w:sz w:val="24"/>
        </w:rPr>
        <w:t>Comment: Define “related metabolic disorders” and explain why they are important.</w:t>
      </w:r>
    </w:p>
    <w:p>
      <w:r>
        <w:rPr>
          <w:rFonts w:ascii="Times New Roman" w:hAnsi="Times New Roman"/>
          <w:b w:val="0"/>
          <w:sz w:val="24"/>
        </w:rPr>
        <w:t>Response: We clarified that related metabolic disorders include type 2 diabetes mellitus, metabolic syndrome, impaired fasting glucose, NAFLD/NASH, diabetic nephropathy, and hypertension-associated dyslipidemia. These conditions were included because they frequently cluster with atherogenic lipid abnormalities and may influence the response to lipid-modifying interventions.</w:t>
      </w:r>
    </w:p>
    <w:p>
      <w:r>
        <w:rPr>
          <w:rFonts w:ascii="Times New Roman" w:hAnsi="Times New Roman"/>
          <w:b/>
          <w:sz w:val="24"/>
        </w:rPr>
        <w:t>Comment: Why was the review not registered?</w:t>
      </w:r>
    </w:p>
    <w:p>
      <w:r>
        <w:rPr>
          <w:rFonts w:ascii="Times New Roman" w:hAnsi="Times New Roman"/>
          <w:b w:val="0"/>
          <w:sz w:val="24"/>
        </w:rPr>
        <w:t>Response: We added a transparent statement that the review was not prospectively registered because the protocol had been finalized and the review had already begun before registration was considered. This is acknowledged as a limitation.</w:t>
      </w:r>
    </w:p>
    <w:p>
      <w:r>
        <w:rPr>
          <w:rFonts w:ascii="Times New Roman" w:hAnsi="Times New Roman"/>
          <w:b/>
          <w:sz w:val="24"/>
        </w:rPr>
        <w:t>Comment: Clarify pharmacological effects versus clinical effects.</w:t>
      </w:r>
    </w:p>
    <w:p>
      <w:r>
        <w:rPr>
          <w:rFonts w:ascii="Times New Roman" w:hAnsi="Times New Roman"/>
          <w:b w:val="0"/>
          <w:sz w:val="24"/>
        </w:rPr>
        <w:t>Response: We added definitions in the Methods. Clinical effects refer to measured lipid outcomes, including TC, LDL-C, HDL-C, and TG. Pharmacological effects refer to plausible biological mechanisms affecting lipid metabolism, oxidative stress, inflammation, insulin sensitivity, fatty-acid oxidation, or cholesterol transport.</w:t>
      </w:r>
    </w:p>
    <w:p>
      <w:r>
        <w:rPr>
          <w:rFonts w:ascii="Times New Roman" w:hAnsi="Times New Roman"/>
          <w:b/>
          <w:sz w:val="24"/>
        </w:rPr>
        <w:t>Comment: Justify why the search started in 2016.</w:t>
      </w:r>
    </w:p>
    <w:p>
      <w:r>
        <w:rPr>
          <w:rFonts w:ascii="Times New Roman" w:hAnsi="Times New Roman"/>
          <w:b w:val="0"/>
          <w:sz w:val="24"/>
        </w:rPr>
        <w:t>Response: The Search strategy section now explains that 2016 was selected to capture contemporary clinical evidence reflecting recent trial conduct, modern nutraceutical formulations, and current approaches to cardiometabolic risk management.</w:t>
      </w:r>
    </w:p>
    <w:p>
      <w:r>
        <w:rPr>
          <w:rFonts w:ascii="Times New Roman" w:hAnsi="Times New Roman"/>
          <w:b/>
          <w:sz w:val="24"/>
        </w:rPr>
        <w:t>Comment: Provide detailed search strategies as supplementary material.</w:t>
      </w:r>
    </w:p>
    <w:p>
      <w:r>
        <w:rPr>
          <w:rFonts w:ascii="Times New Roman" w:hAnsi="Times New Roman"/>
          <w:b w:val="0"/>
          <w:sz w:val="24"/>
        </w:rPr>
        <w:t>Response: The complete search strategies for PubMed, ScienceDirect, Cochrane Library/CENTRAL, Wiley Online Library, and ProQuest have been added as Supplementary Table S1, including database-specific syntax and filters/limits.</w:t>
      </w:r>
    </w:p>
    <w:p>
      <w:r>
        <w:rPr>
          <w:rFonts w:ascii="Times New Roman" w:hAnsi="Times New Roman"/>
          <w:b/>
          <w:sz w:val="24"/>
        </w:rPr>
        <w:t>Comment: Explain why RCTs and quasi-experimental studies were included and observational studies were excluded.</w:t>
      </w:r>
    </w:p>
    <w:p>
      <w:r>
        <w:rPr>
          <w:rFonts w:ascii="Times New Roman" w:hAnsi="Times New Roman"/>
          <w:b w:val="0"/>
          <w:sz w:val="24"/>
        </w:rPr>
        <w:t>Response: The eligibility criteria now clarify that RCTs were prioritized for estimating intervention effects, quasi-experimental studies were included when they directly tested medicinal plant interventions and lipid outcomes, and observational studies were excluded because they do not allocate interventions and are more vulnerable to confounding.</w:t>
      </w:r>
    </w:p>
    <w:p>
      <w:r>
        <w:rPr>
          <w:rFonts w:ascii="Times New Roman" w:hAnsi="Times New Roman"/>
          <w:b/>
          <w:sz w:val="24"/>
        </w:rPr>
        <w:t>Comment: Explain the review process, software, AI assistance, and personnel.</w:t>
      </w:r>
    </w:p>
    <w:p>
      <w:r>
        <w:rPr>
          <w:rFonts w:ascii="Times New Roman" w:hAnsi="Times New Roman"/>
          <w:b w:val="0"/>
          <w:sz w:val="24"/>
        </w:rPr>
        <w:t>Response: The Methods now states that Microsoft Excel was used and that the review process was not AI-assisted. The reviewer roles have been added explicitly: Endang Setyowati screened titles/abstracts; Oni Apriyanto and Endang Setyowati screened full texts; Elza Fadia Irani and Endang Setyowati extracted data; Nilawati and Elza Fadia Irani conducted JBI assessment; and Oni Apriyanto conducted RoB 2 and ROBINS-I assessment. Disagreements were resolved through discussion until consensus.</w:t>
      </w:r>
    </w:p>
    <w:p>
      <w:r>
        <w:rPr>
          <w:rFonts w:ascii="Times New Roman" w:hAnsi="Times New Roman"/>
          <w:b/>
          <w:sz w:val="24"/>
        </w:rPr>
        <w:t>Comment: Explain why both JBI and RoB/ROBINS-I were used, and how discrepancies were handled.</w:t>
      </w:r>
    </w:p>
    <w:p>
      <w:r>
        <w:rPr>
          <w:rFonts w:ascii="Times New Roman" w:hAnsi="Times New Roman"/>
          <w:b w:val="0"/>
          <w:sz w:val="24"/>
        </w:rPr>
        <w:t>Response: The Quality and risk-of-bias section now explains that JBI was used for broader methodological quality appraisal, while RoB 2 and ROBINS-I were used for domain-specific risk-of-bias judgments. Differences were resolved by discussion and interpreted narratively.</w:t>
      </w:r>
    </w:p>
    <w:p>
      <w:r>
        <w:rPr>
          <w:rFonts w:ascii="Times New Roman" w:hAnsi="Times New Roman"/>
          <w:b/>
          <w:sz w:val="24"/>
        </w:rPr>
        <w:t>Comment: Clarify exclusion of combined interventions with non-medicinal plant interventions.</w:t>
      </w:r>
    </w:p>
    <w:p>
      <w:r>
        <w:rPr>
          <w:rFonts w:ascii="Times New Roman" w:hAnsi="Times New Roman"/>
          <w:b w:val="0"/>
          <w:sz w:val="24"/>
        </w:rPr>
        <w:t>Response: The exclusion criteria now explicitly state that studies combining medicinal plants with non-medicinal plant interventions were excluded when the independent effect of the plant intervention could not be isolated.</w:t>
      </w:r>
    </w:p>
    <w:p>
      <w:r>
        <w:rPr>
          <w:rFonts w:ascii="Times New Roman" w:hAnsi="Times New Roman"/>
          <w:b/>
          <w:sz w:val="24"/>
        </w:rPr>
        <w:t>Comment: Lipid-profile results need more numerical values and significance levels.</w:t>
      </w:r>
    </w:p>
    <w:p>
      <w:r>
        <w:rPr>
          <w:rFonts w:ascii="Times New Roman" w:hAnsi="Times New Roman"/>
          <w:b w:val="0"/>
          <w:sz w:val="24"/>
        </w:rPr>
        <w:t>Response: We added Table 1A to provide numerical lipid outcomes and p values where available. The Results and Abstract were revised to include examples of numerical results, and the manuscript now clearly states when exact TC, LDL-C, HDL-C, or TG values were unavailable from accessible abstracts/previews. No unavailable values were estimated or imputed.</w:t>
      </w:r>
    </w:p>
    <w:p>
      <w:r>
        <w:rPr>
          <w:rFonts w:ascii="Times New Roman" w:hAnsi="Times New Roman"/>
          <w:b w:val="0"/>
          <w:sz w:val="24"/>
        </w:rPr>
        <w:t>We hope that these revisions adequately address the reviewers’ concerns and improve the transparency, reproducibility, and clinical interpretation of the manuscript.</w:t>
      </w:r>
    </w:p>
    <w:p>
      <w:r>
        <w:rPr>
          <w:rFonts w:ascii="Times New Roman" w:hAnsi="Times New Roman"/>
          <w:b w:val="0"/>
          <w:sz w:val="24"/>
        </w:rPr>
        <w:t>Sincerely,</w:t>
      </w:r>
    </w:p>
    <w:p>
      <w:r>
        <w:rPr>
          <w:rFonts w:ascii="Times New Roman" w:hAnsi="Times New Roman"/>
          <w:b w:val="0"/>
          <w:sz w:val="24"/>
        </w:rPr>
        <w:t>The Authors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