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91F4" w14:textId="77777777" w:rsidR="003726B4" w:rsidRDefault="00000000">
      <w:pPr>
        <w:spacing w:line="480" w:lineRule="auto"/>
        <w:jc w:val="center"/>
      </w:pPr>
      <w:r>
        <w:rPr>
          <w:b/>
        </w:rPr>
        <w:t>Glycaemic Control and Lipid Profiles in Adults With Type 2 Diabetes Not Receiving Lipid-Lowering Therapy: A Retrospective Cross-Sectional Study in Indonesia</w:t>
      </w:r>
    </w:p>
    <w:p w14:paraId="32ED1AC7" w14:textId="77777777" w:rsidR="003726B4" w:rsidRDefault="00000000">
      <w:pPr>
        <w:spacing w:before="200" w:after="120" w:line="480" w:lineRule="auto"/>
      </w:pPr>
      <w:r>
        <w:rPr>
          <w:b/>
        </w:rPr>
        <w:t>ABSTRACT</w:t>
      </w:r>
    </w:p>
    <w:p w14:paraId="4D2915AA" w14:textId="77777777" w:rsidR="003726B4" w:rsidRPr="004B19C3" w:rsidRDefault="00000000" w:rsidP="009059CA">
      <w:pPr>
        <w:spacing w:after="120" w:line="360" w:lineRule="auto"/>
        <w:jc w:val="both"/>
        <w:rPr>
          <w:bCs/>
        </w:rPr>
      </w:pPr>
      <w:r w:rsidRPr="004B19C3">
        <w:rPr>
          <w:b/>
        </w:rPr>
        <w:t>Background:</w:t>
      </w:r>
      <w:r w:rsidRPr="004B19C3">
        <w:rPr>
          <w:bCs/>
        </w:rPr>
        <w:t xml:space="preserve"> Dyslipidaemia is frequent in type 2 diabetes (T2D) and contributes to cardiovascular risk. This study compared lipid parameters between adults with controlled and uncontrolled glycaemia who were not receiving lipid-lowering therapy.</w:t>
      </w:r>
    </w:p>
    <w:p w14:paraId="3C30FEA3" w14:textId="77777777" w:rsidR="003726B4" w:rsidRPr="004B19C3" w:rsidRDefault="00000000" w:rsidP="009059CA">
      <w:pPr>
        <w:spacing w:after="120" w:line="360" w:lineRule="auto"/>
        <w:jc w:val="both"/>
        <w:rPr>
          <w:bCs/>
        </w:rPr>
      </w:pPr>
      <w:r w:rsidRPr="004B19C3">
        <w:rPr>
          <w:b/>
        </w:rPr>
        <w:t>Material and methods:</w:t>
      </w:r>
      <w:r w:rsidRPr="004B19C3">
        <w:rPr>
          <w:bCs/>
        </w:rPr>
        <w:t xml:space="preserve"> This retrospective cross-sectional study used 120 consecutive de-identified medical records from a tertiary-care hospital in Indonesia. Glycaemic control was classified as controlled (glycated haemoglobin [HbA1c] &lt;7%) or uncontrolled (HbA1c &gt;=7%). Total cholesterol, low-density lipoprotein cholesterol (LDL-C), high-density lipoprotein cholesterol (HDL-C) and triglycerides were compared using independent-samples t tests or the Mann-Whitney U test, as appropriate.</w:t>
      </w:r>
    </w:p>
    <w:p w14:paraId="3EA591ED" w14:textId="77777777" w:rsidR="003726B4" w:rsidRPr="004B19C3" w:rsidRDefault="00000000" w:rsidP="009059CA">
      <w:pPr>
        <w:spacing w:after="120" w:line="360" w:lineRule="auto"/>
        <w:jc w:val="both"/>
        <w:rPr>
          <w:bCs/>
        </w:rPr>
      </w:pPr>
      <w:r w:rsidRPr="004B19C3">
        <w:rPr>
          <w:b/>
        </w:rPr>
        <w:t>Results:</w:t>
      </w:r>
      <w:r w:rsidRPr="004B19C3">
        <w:rPr>
          <w:bCs/>
        </w:rPr>
        <w:t xml:space="preserve"> Uncontrolled glycaemia was present in 77 patients (64.2%). Mean total cholesterol was higher in the uncontrolled group than in the controlled group (210.86 +/- 51.64 vs 179.23 +/- 43.24 mg/dL; p=0.001). LDL-C was also higher in the uncontrolled group (124.21 +/- 37.63 vs 109.70 +/- 38.67 mg/dL; p=0.047). Median triglycerides were higher in the uncontrolled group (156 [range 57-828] vs 128 [range 49-385] mg/dL; p=0.013), while HDL-C did not differ significantly (p=0.585).</w:t>
      </w:r>
    </w:p>
    <w:p w14:paraId="70DBFB59" w14:textId="77777777" w:rsidR="003726B4" w:rsidRPr="004B19C3" w:rsidRDefault="00000000" w:rsidP="009059CA">
      <w:pPr>
        <w:spacing w:after="120" w:line="360" w:lineRule="auto"/>
        <w:jc w:val="both"/>
        <w:rPr>
          <w:bCs/>
        </w:rPr>
      </w:pPr>
      <w:r w:rsidRPr="004B19C3">
        <w:rPr>
          <w:b/>
        </w:rPr>
        <w:t>Conclusions:</w:t>
      </w:r>
      <w:r w:rsidRPr="004B19C3">
        <w:rPr>
          <w:bCs/>
        </w:rPr>
        <w:t xml:space="preserve"> In this hospital-based cohort, uncontrolled glycaemia was associated with higher total cholesterol, LDL-C and triglyceride levels. Joint review of HbA1c and lipid parameters may help identify adults with T2D who require more comprehensive cardiometabolic risk management.</w:t>
      </w:r>
    </w:p>
    <w:p w14:paraId="424685C2" w14:textId="77777777" w:rsidR="003726B4" w:rsidRDefault="00000000" w:rsidP="009059CA">
      <w:pPr>
        <w:spacing w:after="120" w:line="360" w:lineRule="auto"/>
        <w:jc w:val="both"/>
      </w:pPr>
      <w:r>
        <w:t>Keywords: type 2 diabetes; glycaemic control; glycated haemoglobin; cholesterol; low-density lipoprotein cholesterol; high-density lipoprotein cholesterol; triglycerides; dyslipidaemia</w:t>
      </w:r>
    </w:p>
    <w:p w14:paraId="26864A35" w14:textId="77777777" w:rsidR="003726B4" w:rsidRDefault="00000000">
      <w:pPr>
        <w:spacing w:before="200" w:after="120" w:line="480" w:lineRule="auto"/>
      </w:pPr>
      <w:r>
        <w:rPr>
          <w:b/>
        </w:rPr>
        <w:t>INTRODUCTION</w:t>
      </w:r>
    </w:p>
    <w:p w14:paraId="08D987DB" w14:textId="77777777" w:rsidR="003726B4" w:rsidRDefault="00000000" w:rsidP="009059CA">
      <w:pPr>
        <w:spacing w:after="120" w:line="480" w:lineRule="auto"/>
        <w:ind w:firstLine="360"/>
        <w:jc w:val="both"/>
      </w:pPr>
      <w:r>
        <w:t xml:space="preserve">Type 2 diabetes (T2D) remains a major metabolic disorder and a substantial contributor to cardiovascular morbidity. Indonesia has experienced a growing diabetes burden, with the </w:t>
      </w:r>
      <w:r>
        <w:lastRenderedPageBreak/>
        <w:t>International Diabetes Federation estimating 19.5 million adults with diabetes in 2021, and national survey data showing a rise in diagnosed diabetes between 2013 and 2018 [1, 2].</w:t>
      </w:r>
    </w:p>
    <w:p w14:paraId="1C3DA3AB" w14:textId="77777777" w:rsidR="003726B4" w:rsidRDefault="00000000" w:rsidP="009059CA">
      <w:pPr>
        <w:spacing w:after="120" w:line="480" w:lineRule="auto"/>
        <w:ind w:firstLine="360"/>
        <w:jc w:val="both"/>
      </w:pPr>
      <w:r>
        <w:t>Abnormal lipid metabolism is common in T2D. The characteristic pattern includes elevated triglycerides, triglyceride-rich remnant particles, reduced high-density lipoprotein cholesterol (HDL-C), and qualitative changes in low-density lipoprotein cholesterol (LDL-C), including smaller and denser LDL particles that may increase atherogenicity even when LDL-C concentration is only moderately elevated [3-9].</w:t>
      </w:r>
    </w:p>
    <w:p w14:paraId="03BC9910" w14:textId="77777777" w:rsidR="003726B4" w:rsidRDefault="00000000" w:rsidP="009059CA">
      <w:pPr>
        <w:spacing w:after="120" w:line="480" w:lineRule="auto"/>
        <w:ind w:firstLine="360"/>
        <w:jc w:val="both"/>
      </w:pPr>
      <w:r>
        <w:t>Glycated haemoglobin (HbA1c) reflects average glycaemic exposure over the preceding months and is routinely used to guide diabetes management. An HbA1c target below 7% is appropriate for many non-pregnant adults, although individual treatment targets should be adjusted to clinical context. Lipid management is also a core component of cardiovascular risk reduction in T2D [10, 11].</w:t>
      </w:r>
    </w:p>
    <w:p w14:paraId="7548A84B" w14:textId="77777777" w:rsidR="003726B4" w:rsidRDefault="00000000" w:rsidP="009059CA">
      <w:pPr>
        <w:spacing w:after="120" w:line="480" w:lineRule="auto"/>
        <w:ind w:firstLine="360"/>
        <w:jc w:val="both"/>
      </w:pPr>
      <w:r>
        <w:t>Previous studies have reported variable relationships between HbA1c and individual lipid fractions. Total cholesterol and triglycerides tend to show more consistent differences across glycaemic-control categories than HDL-C, while the strength of the association with LDL-C differs between populations and clinical settings [12-18].</w:t>
      </w:r>
    </w:p>
    <w:p w14:paraId="7F6D28E6" w14:textId="77777777" w:rsidR="003726B4" w:rsidRDefault="00000000" w:rsidP="009059CA">
      <w:pPr>
        <w:spacing w:after="120" w:line="480" w:lineRule="auto"/>
        <w:ind w:firstLine="360"/>
        <w:jc w:val="both"/>
      </w:pPr>
      <w:r>
        <w:t>Hospital-based data from Indonesia remain limited, particularly among patients whose lipid values are not directly influenced by lipid-lowering therapy. This study therefore aimed to compare routinely measured lipid profiles between adults with controlled and uncontrolled T2D in an Indonesian hospital setting.</w:t>
      </w:r>
    </w:p>
    <w:p w14:paraId="6BDC3BA3" w14:textId="77777777" w:rsidR="008212CF" w:rsidRDefault="008212CF" w:rsidP="009059CA">
      <w:pPr>
        <w:spacing w:before="200" w:after="120" w:line="480" w:lineRule="auto"/>
        <w:jc w:val="both"/>
        <w:rPr>
          <w:b/>
        </w:rPr>
      </w:pPr>
    </w:p>
    <w:p w14:paraId="50855BD4" w14:textId="77777777" w:rsidR="008212CF" w:rsidRDefault="008212CF" w:rsidP="009059CA">
      <w:pPr>
        <w:spacing w:before="200" w:after="120" w:line="480" w:lineRule="auto"/>
        <w:jc w:val="both"/>
        <w:rPr>
          <w:b/>
        </w:rPr>
      </w:pPr>
    </w:p>
    <w:p w14:paraId="19C6EFE0" w14:textId="7AE8D020" w:rsidR="003726B4" w:rsidRDefault="00000000" w:rsidP="009059CA">
      <w:pPr>
        <w:spacing w:before="200" w:after="120" w:line="480" w:lineRule="auto"/>
        <w:jc w:val="both"/>
      </w:pPr>
      <w:r>
        <w:rPr>
          <w:b/>
        </w:rPr>
        <w:lastRenderedPageBreak/>
        <w:t>MATERIAL AND METHODS</w:t>
      </w:r>
    </w:p>
    <w:p w14:paraId="7FED22A3" w14:textId="77777777" w:rsidR="003726B4" w:rsidRDefault="00000000" w:rsidP="009059CA">
      <w:pPr>
        <w:spacing w:after="120" w:line="480" w:lineRule="auto"/>
        <w:jc w:val="both"/>
      </w:pPr>
      <w:r>
        <w:t>Study design and setting. This retrospective cross-sectional study used de-identified secondary medical-record data from a tertiary-care hospital in Indonesia. Source records covered patients treated between January 2022 and December 2023. The manuscript was prepared with reference to the Strengthening the Reporting of Observational Studies in Epidemiology (STROBE) statement [19].</w:t>
      </w:r>
    </w:p>
    <w:p w14:paraId="4756C53E" w14:textId="77777777" w:rsidR="003726B4" w:rsidRDefault="00000000" w:rsidP="009059CA">
      <w:pPr>
        <w:spacing w:after="120" w:line="480" w:lineRule="auto"/>
        <w:jc w:val="both"/>
      </w:pPr>
      <w:r>
        <w:t>Participants. Records were selected consecutively from adults with documented T2D who had available HbA1c and complete lipid-profile results. T2D had been recorded on the basis of HbA1c &gt;=6.5% and/or fasting plasma glucose &gt;126 mg/dL. Lipid-profile measurements were eligible when obtained at the same time as HbA1c or fasting plasma glucose, or within a maximum interval of one month. Records were excluded if lipid data were incomplete, if patients were receiving drugs that could affect lipid metabolism, including statins, fenofibrate, niacin or ezetimibe, or if patients had chronic kidney disease, hyperthyroidism or liver cirrhosis. A total of 120 records met the eligibility criteria and were analysed.</w:t>
      </w:r>
    </w:p>
    <w:p w14:paraId="66D9C971" w14:textId="77777777" w:rsidR="003726B4" w:rsidRDefault="00000000" w:rsidP="009059CA">
      <w:pPr>
        <w:spacing w:after="120" w:line="480" w:lineRule="auto"/>
        <w:jc w:val="both"/>
      </w:pPr>
      <w:r>
        <w:t>Variables. The exposure variable was glycaemic-control status, categorised as controlled (HbA1c &lt;7%) or uncontrolled (HbA1c &gt;=7%). Outcomes were total cholesterol, LDL-C, HDL-C and triglycerides, expressed in mg/dL. Age, sex and body mass index (BMI) were extracted as descriptive characteristics. BMI was classified using Asian-specific categories: underweight (&lt;18.5 kg/m2), normal weight (18.5-22.9 kg/m2), overweight (23.0-24.9 kg/m2), obesity class I (25.0-29.9 kg/m2) and obesity class II (&gt;=30.0 kg/m2) [20].</w:t>
      </w:r>
    </w:p>
    <w:p w14:paraId="4C11DFCC" w14:textId="77777777" w:rsidR="003726B4" w:rsidRPr="008212CF" w:rsidRDefault="00000000" w:rsidP="009059CA">
      <w:pPr>
        <w:spacing w:after="120" w:line="480" w:lineRule="auto"/>
        <w:jc w:val="both"/>
        <w:rPr>
          <w:bCs/>
        </w:rPr>
      </w:pPr>
      <w:r w:rsidRPr="008212CF">
        <w:rPr>
          <w:bCs/>
        </w:rPr>
        <w:t xml:space="preserve">Statistical analysis. Analyses were conducted with SPSS version 24. Continuous variables were evaluated for distribution before group comparison. Normally distributed lipid parameters were presented as mean +/- standard deviation (SD) and compared using independent-samples t tests. </w:t>
      </w:r>
      <w:r w:rsidRPr="008212CF">
        <w:rPr>
          <w:bCs/>
        </w:rPr>
        <w:lastRenderedPageBreak/>
        <w:t>Triglycerides were not normally distributed and were summarised as median (range), then compared using the Mann-Whitney U test. Categorical variables were summarised as frequencies and percentages. Statistical tests were two-sided, and p&lt;0.05 was considered statistically significant. Because the available data permitted only unadjusted comparisons, the findings are interpreted as associations rather than causal effects.</w:t>
      </w:r>
    </w:p>
    <w:p w14:paraId="64C37697" w14:textId="77777777" w:rsidR="003726B4" w:rsidRPr="008212CF" w:rsidRDefault="00000000" w:rsidP="009059CA">
      <w:pPr>
        <w:spacing w:after="120" w:line="480" w:lineRule="auto"/>
        <w:jc w:val="both"/>
        <w:rPr>
          <w:bCs/>
        </w:rPr>
      </w:pPr>
      <w:r w:rsidRPr="008212CF">
        <w:rPr>
          <w:bCs/>
        </w:rPr>
        <w:t>Ethical considerations. Ethical approval was obtained from the relevant institutional ethics committee, and permission to use hospital medical-record data was granted by the participating hospital. The study used de-identified retrospective medical-record data and involved no direct participant contact. Patient confidentiality was maintained throughout the study.</w:t>
      </w:r>
    </w:p>
    <w:p w14:paraId="39A964C2" w14:textId="77777777" w:rsidR="003726B4" w:rsidRDefault="00000000" w:rsidP="009059CA">
      <w:pPr>
        <w:spacing w:before="200" w:after="120" w:line="480" w:lineRule="auto"/>
        <w:jc w:val="both"/>
      </w:pPr>
      <w:r>
        <w:rPr>
          <w:b/>
        </w:rPr>
        <w:t>RESULTS</w:t>
      </w:r>
    </w:p>
    <w:p w14:paraId="328B4184" w14:textId="77777777" w:rsidR="003726B4" w:rsidRDefault="00000000" w:rsidP="009059CA">
      <w:pPr>
        <w:spacing w:after="120" w:line="480" w:lineRule="auto"/>
        <w:ind w:firstLine="360"/>
        <w:jc w:val="both"/>
      </w:pPr>
      <w:r>
        <w:t>A total of 120 adults with T2D were included. Most patients were aged 45-59 years (n=62, 51.7%), were female (n=73, 60.8%) and had obesity class I (n=49, 40.8%). Uncontrolled glycaemia was recorded in 77 patients (64.2%) (Table 1).</w:t>
      </w:r>
    </w:p>
    <w:p w14:paraId="235D3308" w14:textId="77777777" w:rsidR="003726B4" w:rsidRDefault="00000000" w:rsidP="009059CA">
      <w:pPr>
        <w:spacing w:before="160" w:after="80" w:line="360" w:lineRule="auto"/>
        <w:jc w:val="both"/>
      </w:pPr>
      <w:r>
        <w:rPr>
          <w:b/>
        </w:rPr>
        <w:t>Table 1. Demographic and clinical characteristics of the study participants (N=120).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3726B4" w14:paraId="1F91DDBC" w14:textId="77777777">
        <w:trPr>
          <w:jc w:val="center"/>
        </w:trPr>
        <w:tc>
          <w:tcPr>
            <w:tcW w:w="4680" w:type="dxa"/>
            <w:shd w:val="clear" w:color="auto" w:fill="D9EAF7"/>
            <w:vAlign w:val="center"/>
          </w:tcPr>
          <w:p w14:paraId="497B77B9" w14:textId="77777777" w:rsidR="003726B4" w:rsidRDefault="00000000" w:rsidP="009059CA">
            <w:pPr>
              <w:spacing w:after="0" w:line="240" w:lineRule="auto"/>
              <w:jc w:val="both"/>
            </w:pPr>
            <w:r>
              <w:rPr>
                <w:b/>
                <w:sz w:val="20"/>
              </w:rPr>
              <w:t>Characteristic</w:t>
            </w:r>
          </w:p>
        </w:tc>
        <w:tc>
          <w:tcPr>
            <w:tcW w:w="4680" w:type="dxa"/>
            <w:shd w:val="clear" w:color="auto" w:fill="D9EAF7"/>
            <w:vAlign w:val="center"/>
          </w:tcPr>
          <w:p w14:paraId="20ACC86E" w14:textId="77777777" w:rsidR="003726B4" w:rsidRDefault="00000000" w:rsidP="009059CA">
            <w:pPr>
              <w:spacing w:after="0" w:line="240" w:lineRule="auto"/>
              <w:jc w:val="both"/>
            </w:pPr>
            <w:r>
              <w:rPr>
                <w:b/>
                <w:sz w:val="20"/>
              </w:rPr>
              <w:t>n (%)</w:t>
            </w:r>
          </w:p>
        </w:tc>
      </w:tr>
      <w:tr w:rsidR="003726B4" w14:paraId="4AB041D2" w14:textId="77777777">
        <w:trPr>
          <w:jc w:val="center"/>
        </w:trPr>
        <w:tc>
          <w:tcPr>
            <w:tcW w:w="4680" w:type="dxa"/>
            <w:vAlign w:val="center"/>
          </w:tcPr>
          <w:p w14:paraId="39F42A7F" w14:textId="77777777" w:rsidR="003726B4" w:rsidRDefault="00000000" w:rsidP="009059CA">
            <w:pPr>
              <w:spacing w:after="0" w:line="240" w:lineRule="auto"/>
              <w:jc w:val="both"/>
            </w:pPr>
            <w:r>
              <w:rPr>
                <w:b/>
                <w:sz w:val="20"/>
              </w:rPr>
              <w:t>Age, years</w:t>
            </w:r>
          </w:p>
        </w:tc>
        <w:tc>
          <w:tcPr>
            <w:tcW w:w="4680" w:type="dxa"/>
            <w:vAlign w:val="center"/>
          </w:tcPr>
          <w:p w14:paraId="670F22A0" w14:textId="77777777" w:rsidR="003726B4" w:rsidRDefault="003726B4" w:rsidP="009059CA">
            <w:pPr>
              <w:spacing w:after="0" w:line="240" w:lineRule="auto"/>
              <w:jc w:val="both"/>
            </w:pPr>
          </w:p>
        </w:tc>
      </w:tr>
      <w:tr w:rsidR="003726B4" w14:paraId="501B1F28" w14:textId="77777777">
        <w:trPr>
          <w:jc w:val="center"/>
        </w:trPr>
        <w:tc>
          <w:tcPr>
            <w:tcW w:w="4680" w:type="dxa"/>
            <w:vAlign w:val="center"/>
          </w:tcPr>
          <w:p w14:paraId="66D9EC21" w14:textId="77777777" w:rsidR="003726B4" w:rsidRDefault="00000000" w:rsidP="009059CA">
            <w:pPr>
              <w:spacing w:after="0" w:line="240" w:lineRule="auto"/>
              <w:jc w:val="both"/>
            </w:pPr>
            <w:r>
              <w:rPr>
                <w:sz w:val="20"/>
              </w:rPr>
              <w:t xml:space="preserve">  19-44</w:t>
            </w:r>
          </w:p>
        </w:tc>
        <w:tc>
          <w:tcPr>
            <w:tcW w:w="4680" w:type="dxa"/>
            <w:vAlign w:val="center"/>
          </w:tcPr>
          <w:p w14:paraId="51449BD5" w14:textId="77777777" w:rsidR="003726B4" w:rsidRDefault="00000000" w:rsidP="009059CA">
            <w:pPr>
              <w:spacing w:after="0" w:line="240" w:lineRule="auto"/>
              <w:jc w:val="both"/>
            </w:pPr>
            <w:r>
              <w:rPr>
                <w:sz w:val="20"/>
              </w:rPr>
              <w:t>10 (8.3)</w:t>
            </w:r>
          </w:p>
        </w:tc>
      </w:tr>
      <w:tr w:rsidR="003726B4" w14:paraId="3A2E1E4C" w14:textId="77777777">
        <w:trPr>
          <w:jc w:val="center"/>
        </w:trPr>
        <w:tc>
          <w:tcPr>
            <w:tcW w:w="4680" w:type="dxa"/>
            <w:vAlign w:val="center"/>
          </w:tcPr>
          <w:p w14:paraId="3B872722" w14:textId="77777777" w:rsidR="003726B4" w:rsidRDefault="00000000" w:rsidP="009059CA">
            <w:pPr>
              <w:spacing w:after="0" w:line="240" w:lineRule="auto"/>
              <w:jc w:val="both"/>
            </w:pPr>
            <w:r>
              <w:rPr>
                <w:sz w:val="20"/>
              </w:rPr>
              <w:t xml:space="preserve">  45-59</w:t>
            </w:r>
          </w:p>
        </w:tc>
        <w:tc>
          <w:tcPr>
            <w:tcW w:w="4680" w:type="dxa"/>
            <w:vAlign w:val="center"/>
          </w:tcPr>
          <w:p w14:paraId="4AF528E1" w14:textId="77777777" w:rsidR="003726B4" w:rsidRDefault="00000000" w:rsidP="009059CA">
            <w:pPr>
              <w:spacing w:after="0" w:line="240" w:lineRule="auto"/>
              <w:jc w:val="both"/>
            </w:pPr>
            <w:r>
              <w:rPr>
                <w:sz w:val="20"/>
              </w:rPr>
              <w:t>62 (51.7)</w:t>
            </w:r>
          </w:p>
        </w:tc>
      </w:tr>
      <w:tr w:rsidR="003726B4" w14:paraId="51D31844" w14:textId="77777777">
        <w:trPr>
          <w:jc w:val="center"/>
        </w:trPr>
        <w:tc>
          <w:tcPr>
            <w:tcW w:w="4680" w:type="dxa"/>
            <w:vAlign w:val="center"/>
          </w:tcPr>
          <w:p w14:paraId="164D2C4B" w14:textId="77777777" w:rsidR="003726B4" w:rsidRDefault="00000000" w:rsidP="009059CA">
            <w:pPr>
              <w:spacing w:after="0" w:line="240" w:lineRule="auto"/>
              <w:jc w:val="both"/>
            </w:pPr>
            <w:r>
              <w:rPr>
                <w:sz w:val="20"/>
              </w:rPr>
              <w:t xml:space="preserve">  &gt;=60</w:t>
            </w:r>
          </w:p>
        </w:tc>
        <w:tc>
          <w:tcPr>
            <w:tcW w:w="4680" w:type="dxa"/>
            <w:vAlign w:val="center"/>
          </w:tcPr>
          <w:p w14:paraId="29A8F531" w14:textId="77777777" w:rsidR="003726B4" w:rsidRDefault="00000000" w:rsidP="009059CA">
            <w:pPr>
              <w:spacing w:after="0" w:line="240" w:lineRule="auto"/>
              <w:jc w:val="both"/>
            </w:pPr>
            <w:r>
              <w:rPr>
                <w:sz w:val="20"/>
              </w:rPr>
              <w:t>48 (40.0)</w:t>
            </w:r>
          </w:p>
        </w:tc>
      </w:tr>
      <w:tr w:rsidR="003726B4" w14:paraId="531B116E" w14:textId="77777777">
        <w:trPr>
          <w:jc w:val="center"/>
        </w:trPr>
        <w:tc>
          <w:tcPr>
            <w:tcW w:w="4680" w:type="dxa"/>
            <w:vAlign w:val="center"/>
          </w:tcPr>
          <w:p w14:paraId="2A56BCC6" w14:textId="77777777" w:rsidR="003726B4" w:rsidRDefault="00000000" w:rsidP="009059CA">
            <w:pPr>
              <w:spacing w:after="0" w:line="240" w:lineRule="auto"/>
              <w:jc w:val="both"/>
            </w:pPr>
            <w:r>
              <w:rPr>
                <w:b/>
                <w:sz w:val="20"/>
              </w:rPr>
              <w:t>Sex</w:t>
            </w:r>
          </w:p>
        </w:tc>
        <w:tc>
          <w:tcPr>
            <w:tcW w:w="4680" w:type="dxa"/>
            <w:vAlign w:val="center"/>
          </w:tcPr>
          <w:p w14:paraId="5C94CA20" w14:textId="77777777" w:rsidR="003726B4" w:rsidRDefault="003726B4" w:rsidP="009059CA">
            <w:pPr>
              <w:spacing w:after="0" w:line="240" w:lineRule="auto"/>
              <w:jc w:val="both"/>
            </w:pPr>
          </w:p>
        </w:tc>
      </w:tr>
      <w:tr w:rsidR="003726B4" w14:paraId="054403E5" w14:textId="77777777">
        <w:trPr>
          <w:jc w:val="center"/>
        </w:trPr>
        <w:tc>
          <w:tcPr>
            <w:tcW w:w="4680" w:type="dxa"/>
            <w:vAlign w:val="center"/>
          </w:tcPr>
          <w:p w14:paraId="507880B4" w14:textId="77777777" w:rsidR="003726B4" w:rsidRDefault="00000000" w:rsidP="009059CA">
            <w:pPr>
              <w:spacing w:after="0" w:line="240" w:lineRule="auto"/>
              <w:jc w:val="both"/>
            </w:pPr>
            <w:r>
              <w:rPr>
                <w:sz w:val="20"/>
              </w:rPr>
              <w:t xml:space="preserve">  Male</w:t>
            </w:r>
          </w:p>
        </w:tc>
        <w:tc>
          <w:tcPr>
            <w:tcW w:w="4680" w:type="dxa"/>
            <w:vAlign w:val="center"/>
          </w:tcPr>
          <w:p w14:paraId="39EE47C4" w14:textId="77777777" w:rsidR="003726B4" w:rsidRDefault="00000000" w:rsidP="009059CA">
            <w:pPr>
              <w:spacing w:after="0" w:line="240" w:lineRule="auto"/>
              <w:jc w:val="both"/>
            </w:pPr>
            <w:r>
              <w:rPr>
                <w:sz w:val="20"/>
              </w:rPr>
              <w:t>47 (39.2)</w:t>
            </w:r>
          </w:p>
        </w:tc>
      </w:tr>
      <w:tr w:rsidR="003726B4" w14:paraId="66224768" w14:textId="77777777">
        <w:trPr>
          <w:jc w:val="center"/>
        </w:trPr>
        <w:tc>
          <w:tcPr>
            <w:tcW w:w="4680" w:type="dxa"/>
            <w:vAlign w:val="center"/>
          </w:tcPr>
          <w:p w14:paraId="1D562BEE" w14:textId="77777777" w:rsidR="003726B4" w:rsidRDefault="00000000" w:rsidP="009059CA">
            <w:pPr>
              <w:spacing w:after="0" w:line="240" w:lineRule="auto"/>
              <w:jc w:val="both"/>
            </w:pPr>
            <w:r>
              <w:rPr>
                <w:sz w:val="20"/>
              </w:rPr>
              <w:t xml:space="preserve">  Female</w:t>
            </w:r>
          </w:p>
        </w:tc>
        <w:tc>
          <w:tcPr>
            <w:tcW w:w="4680" w:type="dxa"/>
            <w:vAlign w:val="center"/>
          </w:tcPr>
          <w:p w14:paraId="0DE004BC" w14:textId="77777777" w:rsidR="003726B4" w:rsidRDefault="00000000" w:rsidP="009059CA">
            <w:pPr>
              <w:spacing w:after="0" w:line="240" w:lineRule="auto"/>
              <w:jc w:val="both"/>
            </w:pPr>
            <w:r>
              <w:rPr>
                <w:sz w:val="20"/>
              </w:rPr>
              <w:t>73 (60.8)</w:t>
            </w:r>
          </w:p>
        </w:tc>
      </w:tr>
      <w:tr w:rsidR="003726B4" w14:paraId="5A4DDD02" w14:textId="77777777">
        <w:trPr>
          <w:jc w:val="center"/>
        </w:trPr>
        <w:tc>
          <w:tcPr>
            <w:tcW w:w="4680" w:type="dxa"/>
            <w:vAlign w:val="center"/>
          </w:tcPr>
          <w:p w14:paraId="4C1A59F1" w14:textId="77777777" w:rsidR="003726B4" w:rsidRDefault="00000000" w:rsidP="009059CA">
            <w:pPr>
              <w:spacing w:after="0" w:line="240" w:lineRule="auto"/>
              <w:jc w:val="both"/>
            </w:pPr>
            <w:r>
              <w:rPr>
                <w:b/>
                <w:sz w:val="20"/>
              </w:rPr>
              <w:t>Body mass index, kg/m2</w:t>
            </w:r>
          </w:p>
        </w:tc>
        <w:tc>
          <w:tcPr>
            <w:tcW w:w="4680" w:type="dxa"/>
            <w:vAlign w:val="center"/>
          </w:tcPr>
          <w:p w14:paraId="29F94161" w14:textId="77777777" w:rsidR="003726B4" w:rsidRDefault="003726B4" w:rsidP="009059CA">
            <w:pPr>
              <w:spacing w:after="0" w:line="240" w:lineRule="auto"/>
              <w:jc w:val="both"/>
            </w:pPr>
          </w:p>
        </w:tc>
      </w:tr>
      <w:tr w:rsidR="003726B4" w14:paraId="02BC3D2D" w14:textId="77777777">
        <w:trPr>
          <w:jc w:val="center"/>
        </w:trPr>
        <w:tc>
          <w:tcPr>
            <w:tcW w:w="4680" w:type="dxa"/>
            <w:vAlign w:val="center"/>
          </w:tcPr>
          <w:p w14:paraId="78248D75" w14:textId="77777777" w:rsidR="003726B4" w:rsidRDefault="00000000" w:rsidP="009059CA">
            <w:pPr>
              <w:spacing w:after="0" w:line="240" w:lineRule="auto"/>
              <w:jc w:val="both"/>
            </w:pPr>
            <w:r>
              <w:rPr>
                <w:sz w:val="20"/>
              </w:rPr>
              <w:t xml:space="preserve">  Underweight (&lt;18.5)</w:t>
            </w:r>
          </w:p>
        </w:tc>
        <w:tc>
          <w:tcPr>
            <w:tcW w:w="4680" w:type="dxa"/>
            <w:vAlign w:val="center"/>
          </w:tcPr>
          <w:p w14:paraId="2D53CBC0" w14:textId="77777777" w:rsidR="003726B4" w:rsidRDefault="00000000" w:rsidP="009059CA">
            <w:pPr>
              <w:spacing w:after="0" w:line="240" w:lineRule="auto"/>
              <w:jc w:val="both"/>
            </w:pPr>
            <w:r>
              <w:rPr>
                <w:sz w:val="20"/>
              </w:rPr>
              <w:t>7 (5.8)</w:t>
            </w:r>
          </w:p>
        </w:tc>
      </w:tr>
      <w:tr w:rsidR="003726B4" w14:paraId="5942691C" w14:textId="77777777">
        <w:trPr>
          <w:jc w:val="center"/>
        </w:trPr>
        <w:tc>
          <w:tcPr>
            <w:tcW w:w="4680" w:type="dxa"/>
            <w:vAlign w:val="center"/>
          </w:tcPr>
          <w:p w14:paraId="0A839236" w14:textId="77777777" w:rsidR="003726B4" w:rsidRDefault="00000000" w:rsidP="009059CA">
            <w:pPr>
              <w:spacing w:after="0" w:line="240" w:lineRule="auto"/>
              <w:jc w:val="both"/>
            </w:pPr>
            <w:r>
              <w:rPr>
                <w:sz w:val="20"/>
              </w:rPr>
              <w:t xml:space="preserve">  Normal weight (18.5-22.9)</w:t>
            </w:r>
          </w:p>
        </w:tc>
        <w:tc>
          <w:tcPr>
            <w:tcW w:w="4680" w:type="dxa"/>
            <w:vAlign w:val="center"/>
          </w:tcPr>
          <w:p w14:paraId="748CD132" w14:textId="77777777" w:rsidR="003726B4" w:rsidRDefault="00000000" w:rsidP="009059CA">
            <w:pPr>
              <w:spacing w:after="0" w:line="240" w:lineRule="auto"/>
              <w:jc w:val="both"/>
            </w:pPr>
            <w:r>
              <w:rPr>
                <w:sz w:val="20"/>
              </w:rPr>
              <w:t>14 (11.7)</w:t>
            </w:r>
          </w:p>
        </w:tc>
      </w:tr>
      <w:tr w:rsidR="003726B4" w14:paraId="7065D682" w14:textId="77777777">
        <w:trPr>
          <w:jc w:val="center"/>
        </w:trPr>
        <w:tc>
          <w:tcPr>
            <w:tcW w:w="4680" w:type="dxa"/>
            <w:vAlign w:val="center"/>
          </w:tcPr>
          <w:p w14:paraId="63C72EC3" w14:textId="77777777" w:rsidR="003726B4" w:rsidRDefault="00000000" w:rsidP="009059CA">
            <w:pPr>
              <w:spacing w:after="0" w:line="240" w:lineRule="auto"/>
              <w:jc w:val="both"/>
            </w:pPr>
            <w:r>
              <w:rPr>
                <w:sz w:val="20"/>
              </w:rPr>
              <w:t xml:space="preserve">  Overweight (23.0-24.9)</w:t>
            </w:r>
          </w:p>
        </w:tc>
        <w:tc>
          <w:tcPr>
            <w:tcW w:w="4680" w:type="dxa"/>
            <w:vAlign w:val="center"/>
          </w:tcPr>
          <w:p w14:paraId="6B59D5A4" w14:textId="77777777" w:rsidR="003726B4" w:rsidRDefault="00000000" w:rsidP="009059CA">
            <w:pPr>
              <w:spacing w:after="0" w:line="240" w:lineRule="auto"/>
              <w:jc w:val="both"/>
            </w:pPr>
            <w:r>
              <w:rPr>
                <w:sz w:val="20"/>
              </w:rPr>
              <w:t>24 (20.0)</w:t>
            </w:r>
          </w:p>
        </w:tc>
      </w:tr>
      <w:tr w:rsidR="003726B4" w14:paraId="0A19FB5B" w14:textId="77777777">
        <w:trPr>
          <w:jc w:val="center"/>
        </w:trPr>
        <w:tc>
          <w:tcPr>
            <w:tcW w:w="4680" w:type="dxa"/>
            <w:vAlign w:val="center"/>
          </w:tcPr>
          <w:p w14:paraId="0DE322A7" w14:textId="77777777" w:rsidR="003726B4" w:rsidRDefault="00000000" w:rsidP="009059CA">
            <w:pPr>
              <w:spacing w:after="0" w:line="240" w:lineRule="auto"/>
              <w:jc w:val="both"/>
            </w:pPr>
            <w:r>
              <w:rPr>
                <w:sz w:val="20"/>
              </w:rPr>
              <w:t xml:space="preserve">  Obesity class I (25.0-29.9)</w:t>
            </w:r>
          </w:p>
        </w:tc>
        <w:tc>
          <w:tcPr>
            <w:tcW w:w="4680" w:type="dxa"/>
            <w:vAlign w:val="center"/>
          </w:tcPr>
          <w:p w14:paraId="5DB52A05" w14:textId="77777777" w:rsidR="003726B4" w:rsidRDefault="00000000" w:rsidP="009059CA">
            <w:pPr>
              <w:spacing w:after="0" w:line="240" w:lineRule="auto"/>
              <w:jc w:val="both"/>
            </w:pPr>
            <w:r>
              <w:rPr>
                <w:sz w:val="20"/>
              </w:rPr>
              <w:t>49 (40.8)</w:t>
            </w:r>
          </w:p>
        </w:tc>
      </w:tr>
      <w:tr w:rsidR="003726B4" w14:paraId="1ADA4BA7" w14:textId="77777777">
        <w:trPr>
          <w:jc w:val="center"/>
        </w:trPr>
        <w:tc>
          <w:tcPr>
            <w:tcW w:w="4680" w:type="dxa"/>
            <w:vAlign w:val="center"/>
          </w:tcPr>
          <w:p w14:paraId="21CC7700" w14:textId="77777777" w:rsidR="003726B4" w:rsidRDefault="00000000" w:rsidP="009059CA">
            <w:pPr>
              <w:spacing w:after="0" w:line="240" w:lineRule="auto"/>
              <w:jc w:val="both"/>
            </w:pPr>
            <w:r>
              <w:rPr>
                <w:sz w:val="20"/>
              </w:rPr>
              <w:t xml:space="preserve">  Obesity class II (&gt;=30.0)</w:t>
            </w:r>
          </w:p>
        </w:tc>
        <w:tc>
          <w:tcPr>
            <w:tcW w:w="4680" w:type="dxa"/>
            <w:vAlign w:val="center"/>
          </w:tcPr>
          <w:p w14:paraId="3BFE0388" w14:textId="77777777" w:rsidR="003726B4" w:rsidRDefault="00000000" w:rsidP="009059CA">
            <w:pPr>
              <w:spacing w:after="0" w:line="240" w:lineRule="auto"/>
              <w:jc w:val="both"/>
            </w:pPr>
            <w:r>
              <w:rPr>
                <w:sz w:val="20"/>
              </w:rPr>
              <w:t>26 (21.7)</w:t>
            </w:r>
          </w:p>
        </w:tc>
      </w:tr>
      <w:tr w:rsidR="003726B4" w14:paraId="08637CFE" w14:textId="77777777">
        <w:trPr>
          <w:jc w:val="center"/>
        </w:trPr>
        <w:tc>
          <w:tcPr>
            <w:tcW w:w="4680" w:type="dxa"/>
            <w:vAlign w:val="center"/>
          </w:tcPr>
          <w:p w14:paraId="439517F0" w14:textId="77777777" w:rsidR="003726B4" w:rsidRDefault="00000000" w:rsidP="009059CA">
            <w:pPr>
              <w:spacing w:after="0" w:line="240" w:lineRule="auto"/>
              <w:jc w:val="both"/>
            </w:pPr>
            <w:r>
              <w:rPr>
                <w:b/>
                <w:sz w:val="20"/>
              </w:rPr>
              <w:t>Glycaemic control</w:t>
            </w:r>
          </w:p>
        </w:tc>
        <w:tc>
          <w:tcPr>
            <w:tcW w:w="4680" w:type="dxa"/>
            <w:vAlign w:val="center"/>
          </w:tcPr>
          <w:p w14:paraId="49C43CF6" w14:textId="77777777" w:rsidR="003726B4" w:rsidRDefault="003726B4" w:rsidP="009059CA">
            <w:pPr>
              <w:spacing w:after="0" w:line="240" w:lineRule="auto"/>
              <w:jc w:val="both"/>
            </w:pPr>
          </w:p>
        </w:tc>
      </w:tr>
      <w:tr w:rsidR="003726B4" w14:paraId="4D9132F4" w14:textId="77777777">
        <w:trPr>
          <w:jc w:val="center"/>
        </w:trPr>
        <w:tc>
          <w:tcPr>
            <w:tcW w:w="4680" w:type="dxa"/>
            <w:vAlign w:val="center"/>
          </w:tcPr>
          <w:p w14:paraId="6BBEC4A8" w14:textId="77777777" w:rsidR="003726B4" w:rsidRDefault="00000000" w:rsidP="009059CA">
            <w:pPr>
              <w:spacing w:after="0" w:line="240" w:lineRule="auto"/>
              <w:jc w:val="both"/>
            </w:pPr>
            <w:r>
              <w:rPr>
                <w:sz w:val="20"/>
              </w:rPr>
              <w:t xml:space="preserve">  Controlled (HbA1c &lt;7%)</w:t>
            </w:r>
          </w:p>
        </w:tc>
        <w:tc>
          <w:tcPr>
            <w:tcW w:w="4680" w:type="dxa"/>
            <w:vAlign w:val="center"/>
          </w:tcPr>
          <w:p w14:paraId="108B5D91" w14:textId="77777777" w:rsidR="003726B4" w:rsidRDefault="00000000" w:rsidP="009059CA">
            <w:pPr>
              <w:spacing w:after="0" w:line="240" w:lineRule="auto"/>
              <w:jc w:val="both"/>
            </w:pPr>
            <w:r>
              <w:rPr>
                <w:sz w:val="20"/>
              </w:rPr>
              <w:t>43 (35.8)</w:t>
            </w:r>
          </w:p>
        </w:tc>
      </w:tr>
      <w:tr w:rsidR="003726B4" w14:paraId="5D8D3C01" w14:textId="77777777">
        <w:trPr>
          <w:jc w:val="center"/>
        </w:trPr>
        <w:tc>
          <w:tcPr>
            <w:tcW w:w="4680" w:type="dxa"/>
            <w:vAlign w:val="center"/>
          </w:tcPr>
          <w:p w14:paraId="565CAC15" w14:textId="77777777" w:rsidR="003726B4" w:rsidRDefault="00000000" w:rsidP="009059CA">
            <w:pPr>
              <w:spacing w:after="0" w:line="240" w:lineRule="auto"/>
              <w:jc w:val="both"/>
            </w:pPr>
            <w:r>
              <w:rPr>
                <w:sz w:val="20"/>
              </w:rPr>
              <w:t xml:space="preserve">  Uncontrolled (HbA1c &gt;=7%)</w:t>
            </w:r>
          </w:p>
        </w:tc>
        <w:tc>
          <w:tcPr>
            <w:tcW w:w="4680" w:type="dxa"/>
            <w:vAlign w:val="center"/>
          </w:tcPr>
          <w:p w14:paraId="3C427B9E" w14:textId="77777777" w:rsidR="003726B4" w:rsidRDefault="00000000" w:rsidP="009059CA">
            <w:pPr>
              <w:spacing w:after="0" w:line="240" w:lineRule="auto"/>
              <w:jc w:val="both"/>
            </w:pPr>
            <w:r>
              <w:rPr>
                <w:sz w:val="20"/>
              </w:rPr>
              <w:t>77 (64.2)</w:t>
            </w:r>
          </w:p>
        </w:tc>
      </w:tr>
    </w:tbl>
    <w:p w14:paraId="0E43E9E1" w14:textId="77777777" w:rsidR="003726B4" w:rsidRDefault="00000000" w:rsidP="009059CA">
      <w:pPr>
        <w:spacing w:after="120" w:line="240" w:lineRule="auto"/>
        <w:jc w:val="both"/>
      </w:pPr>
      <w:r>
        <w:t>HbA1c, glycated haemoglobin.</w:t>
      </w:r>
    </w:p>
    <w:p w14:paraId="5E700559" w14:textId="77777777" w:rsidR="003726B4" w:rsidRDefault="00000000" w:rsidP="009059CA">
      <w:pPr>
        <w:spacing w:after="120" w:line="480" w:lineRule="auto"/>
        <w:ind w:firstLine="360"/>
        <w:jc w:val="both"/>
      </w:pPr>
      <w:r>
        <w:lastRenderedPageBreak/>
        <w:t>Patients with uncontrolled glycaemia had higher mean total cholesterol than those with controlled glycaemia (210.86 +/- 51.64 vs 179.23 +/- 43.24 mg/dL; p=0.001). LDL-C was also higher in the uncontrolled group (124.21 +/- 37.63 vs 109.70 +/- 38.67 mg/dL; p=0.047). Median triglycerides were higher among patients with uncontrolled glycaemia (156 [range 57-828] vs 128 [range 49-385] mg/dL; p=0.013). HDL-C was similar between the two groups (47.29 +/- 13.68 vs 45.86 +/- 13.66 mg/dL; p=0.585) (Table 2).</w:t>
      </w:r>
    </w:p>
    <w:p w14:paraId="0A8A1268" w14:textId="77777777" w:rsidR="003726B4" w:rsidRDefault="00000000" w:rsidP="009059CA">
      <w:pPr>
        <w:spacing w:before="160" w:after="80" w:line="360" w:lineRule="auto"/>
        <w:jc w:val="both"/>
      </w:pPr>
      <w:r>
        <w:rPr>
          <w:b/>
        </w:rPr>
        <w:t>Table 2. Lipid profiles according to glycaemic-control status.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872"/>
        <w:gridCol w:w="1872"/>
        <w:gridCol w:w="1872"/>
        <w:gridCol w:w="1872"/>
      </w:tblGrid>
      <w:tr w:rsidR="003726B4" w14:paraId="180DD946" w14:textId="77777777">
        <w:trPr>
          <w:jc w:val="center"/>
        </w:trPr>
        <w:tc>
          <w:tcPr>
            <w:tcW w:w="1872" w:type="dxa"/>
            <w:shd w:val="clear" w:color="auto" w:fill="D9EAF7"/>
            <w:vAlign w:val="center"/>
          </w:tcPr>
          <w:p w14:paraId="6DF0E8E9" w14:textId="77777777" w:rsidR="003726B4" w:rsidRDefault="00000000" w:rsidP="009059CA">
            <w:pPr>
              <w:spacing w:after="0" w:line="240" w:lineRule="auto"/>
              <w:jc w:val="both"/>
            </w:pPr>
            <w:r>
              <w:rPr>
                <w:b/>
                <w:sz w:val="20"/>
              </w:rPr>
              <w:t>Lipid parameter</w:t>
            </w:r>
          </w:p>
        </w:tc>
        <w:tc>
          <w:tcPr>
            <w:tcW w:w="1872" w:type="dxa"/>
            <w:shd w:val="clear" w:color="auto" w:fill="D9EAF7"/>
            <w:vAlign w:val="center"/>
          </w:tcPr>
          <w:p w14:paraId="4E241746" w14:textId="77777777" w:rsidR="003726B4" w:rsidRDefault="00000000" w:rsidP="009059CA">
            <w:pPr>
              <w:spacing w:after="0" w:line="240" w:lineRule="auto"/>
              <w:jc w:val="both"/>
            </w:pPr>
            <w:r>
              <w:rPr>
                <w:b/>
                <w:sz w:val="20"/>
              </w:rPr>
              <w:t>Controlled (n=43)</w:t>
            </w:r>
          </w:p>
        </w:tc>
        <w:tc>
          <w:tcPr>
            <w:tcW w:w="1872" w:type="dxa"/>
            <w:shd w:val="clear" w:color="auto" w:fill="D9EAF7"/>
            <w:vAlign w:val="center"/>
          </w:tcPr>
          <w:p w14:paraId="599DB02B" w14:textId="77777777" w:rsidR="003726B4" w:rsidRDefault="00000000" w:rsidP="009059CA">
            <w:pPr>
              <w:spacing w:after="0" w:line="240" w:lineRule="auto"/>
              <w:jc w:val="both"/>
            </w:pPr>
            <w:r>
              <w:rPr>
                <w:b/>
                <w:sz w:val="20"/>
              </w:rPr>
              <w:t>Uncontrolled (n=77)</w:t>
            </w:r>
          </w:p>
        </w:tc>
        <w:tc>
          <w:tcPr>
            <w:tcW w:w="1872" w:type="dxa"/>
            <w:shd w:val="clear" w:color="auto" w:fill="D9EAF7"/>
            <w:vAlign w:val="center"/>
          </w:tcPr>
          <w:p w14:paraId="117C565D" w14:textId="77777777" w:rsidR="003726B4" w:rsidRDefault="00000000" w:rsidP="009059CA">
            <w:pPr>
              <w:spacing w:after="0" w:line="240" w:lineRule="auto"/>
              <w:jc w:val="both"/>
            </w:pPr>
            <w:r>
              <w:rPr>
                <w:b/>
                <w:sz w:val="20"/>
              </w:rPr>
              <w:t>Difference (95% CI)</w:t>
            </w:r>
          </w:p>
        </w:tc>
        <w:tc>
          <w:tcPr>
            <w:tcW w:w="1872" w:type="dxa"/>
            <w:shd w:val="clear" w:color="auto" w:fill="D9EAF7"/>
            <w:vAlign w:val="center"/>
          </w:tcPr>
          <w:p w14:paraId="6A09E11C" w14:textId="77777777" w:rsidR="003726B4" w:rsidRDefault="00000000" w:rsidP="009059CA">
            <w:pPr>
              <w:spacing w:after="0" w:line="240" w:lineRule="auto"/>
              <w:jc w:val="both"/>
            </w:pPr>
            <w:r>
              <w:rPr>
                <w:b/>
                <w:sz w:val="20"/>
              </w:rPr>
              <w:t>p-value</w:t>
            </w:r>
          </w:p>
        </w:tc>
      </w:tr>
      <w:tr w:rsidR="003726B4" w14:paraId="5FA3FB0E" w14:textId="77777777">
        <w:trPr>
          <w:jc w:val="center"/>
        </w:trPr>
        <w:tc>
          <w:tcPr>
            <w:tcW w:w="1872" w:type="dxa"/>
            <w:vAlign w:val="center"/>
          </w:tcPr>
          <w:p w14:paraId="66550DB2" w14:textId="77777777" w:rsidR="003726B4" w:rsidRDefault="00000000" w:rsidP="009059CA">
            <w:pPr>
              <w:jc w:val="both"/>
            </w:pPr>
            <w:r>
              <w:rPr>
                <w:sz w:val="20"/>
              </w:rPr>
              <w:t>LDL-C, mg/dL</w:t>
            </w:r>
          </w:p>
        </w:tc>
        <w:tc>
          <w:tcPr>
            <w:tcW w:w="1872" w:type="dxa"/>
            <w:vAlign w:val="center"/>
          </w:tcPr>
          <w:p w14:paraId="67FB5980" w14:textId="77777777" w:rsidR="003726B4" w:rsidRDefault="00000000" w:rsidP="009059CA">
            <w:pPr>
              <w:jc w:val="both"/>
            </w:pPr>
            <w:r>
              <w:rPr>
                <w:sz w:val="20"/>
              </w:rPr>
              <w:t>109.70 +/- 38.67</w:t>
            </w:r>
          </w:p>
        </w:tc>
        <w:tc>
          <w:tcPr>
            <w:tcW w:w="1872" w:type="dxa"/>
            <w:vAlign w:val="center"/>
          </w:tcPr>
          <w:p w14:paraId="30A57CA9" w14:textId="77777777" w:rsidR="003726B4" w:rsidRDefault="00000000" w:rsidP="009059CA">
            <w:pPr>
              <w:jc w:val="both"/>
            </w:pPr>
            <w:r>
              <w:rPr>
                <w:sz w:val="20"/>
              </w:rPr>
              <w:t>124.21 +/- 37.63</w:t>
            </w:r>
          </w:p>
        </w:tc>
        <w:tc>
          <w:tcPr>
            <w:tcW w:w="1872" w:type="dxa"/>
            <w:vAlign w:val="center"/>
          </w:tcPr>
          <w:p w14:paraId="57AC2E38" w14:textId="77777777" w:rsidR="003726B4" w:rsidRDefault="00000000" w:rsidP="009059CA">
            <w:pPr>
              <w:jc w:val="both"/>
            </w:pPr>
            <w:r>
              <w:rPr>
                <w:sz w:val="20"/>
              </w:rPr>
              <w:t>14.51 (0.18 to 28.84)</w:t>
            </w:r>
          </w:p>
        </w:tc>
        <w:tc>
          <w:tcPr>
            <w:tcW w:w="1872" w:type="dxa"/>
            <w:vAlign w:val="center"/>
          </w:tcPr>
          <w:p w14:paraId="0375F77C" w14:textId="77777777" w:rsidR="003726B4" w:rsidRDefault="00000000" w:rsidP="009059CA">
            <w:pPr>
              <w:jc w:val="both"/>
            </w:pPr>
            <w:r>
              <w:rPr>
                <w:sz w:val="20"/>
              </w:rPr>
              <w:t>0.047a</w:t>
            </w:r>
          </w:p>
        </w:tc>
      </w:tr>
      <w:tr w:rsidR="003726B4" w14:paraId="0E296EE2" w14:textId="77777777">
        <w:trPr>
          <w:jc w:val="center"/>
        </w:trPr>
        <w:tc>
          <w:tcPr>
            <w:tcW w:w="1872" w:type="dxa"/>
            <w:vAlign w:val="center"/>
          </w:tcPr>
          <w:p w14:paraId="30E32BF7" w14:textId="77777777" w:rsidR="003726B4" w:rsidRDefault="00000000" w:rsidP="009059CA">
            <w:pPr>
              <w:jc w:val="both"/>
            </w:pPr>
            <w:r>
              <w:rPr>
                <w:sz w:val="20"/>
              </w:rPr>
              <w:t>HDL-C, mg/dL</w:t>
            </w:r>
          </w:p>
        </w:tc>
        <w:tc>
          <w:tcPr>
            <w:tcW w:w="1872" w:type="dxa"/>
            <w:vAlign w:val="center"/>
          </w:tcPr>
          <w:p w14:paraId="161A8171" w14:textId="77777777" w:rsidR="003726B4" w:rsidRDefault="00000000" w:rsidP="009059CA">
            <w:pPr>
              <w:jc w:val="both"/>
            </w:pPr>
            <w:r>
              <w:rPr>
                <w:sz w:val="20"/>
              </w:rPr>
              <w:t>45.86 +/- 13.66</w:t>
            </w:r>
          </w:p>
        </w:tc>
        <w:tc>
          <w:tcPr>
            <w:tcW w:w="1872" w:type="dxa"/>
            <w:vAlign w:val="center"/>
          </w:tcPr>
          <w:p w14:paraId="11E4964F" w14:textId="77777777" w:rsidR="003726B4" w:rsidRDefault="00000000" w:rsidP="009059CA">
            <w:pPr>
              <w:jc w:val="both"/>
            </w:pPr>
            <w:r>
              <w:rPr>
                <w:sz w:val="20"/>
              </w:rPr>
              <w:t>47.29 +/- 13.68</w:t>
            </w:r>
          </w:p>
        </w:tc>
        <w:tc>
          <w:tcPr>
            <w:tcW w:w="1872" w:type="dxa"/>
            <w:vAlign w:val="center"/>
          </w:tcPr>
          <w:p w14:paraId="09670867" w14:textId="77777777" w:rsidR="003726B4" w:rsidRDefault="00000000" w:rsidP="009059CA">
            <w:pPr>
              <w:jc w:val="both"/>
            </w:pPr>
            <w:r>
              <w:rPr>
                <w:sz w:val="20"/>
              </w:rPr>
              <w:t>1.43 (-3.73 to 6.59)</w:t>
            </w:r>
          </w:p>
        </w:tc>
        <w:tc>
          <w:tcPr>
            <w:tcW w:w="1872" w:type="dxa"/>
            <w:vAlign w:val="center"/>
          </w:tcPr>
          <w:p w14:paraId="50BA17A1" w14:textId="77777777" w:rsidR="003726B4" w:rsidRDefault="00000000" w:rsidP="009059CA">
            <w:pPr>
              <w:jc w:val="both"/>
            </w:pPr>
            <w:r>
              <w:rPr>
                <w:sz w:val="20"/>
              </w:rPr>
              <w:t>0.585a</w:t>
            </w:r>
          </w:p>
        </w:tc>
      </w:tr>
      <w:tr w:rsidR="003726B4" w14:paraId="5A78921E" w14:textId="77777777">
        <w:trPr>
          <w:jc w:val="center"/>
        </w:trPr>
        <w:tc>
          <w:tcPr>
            <w:tcW w:w="1872" w:type="dxa"/>
            <w:vAlign w:val="center"/>
          </w:tcPr>
          <w:p w14:paraId="668F7D16" w14:textId="77777777" w:rsidR="003726B4" w:rsidRDefault="00000000" w:rsidP="009059CA">
            <w:pPr>
              <w:jc w:val="both"/>
            </w:pPr>
            <w:r>
              <w:rPr>
                <w:sz w:val="20"/>
              </w:rPr>
              <w:t>Total cholesterol, mg/dL</w:t>
            </w:r>
          </w:p>
        </w:tc>
        <w:tc>
          <w:tcPr>
            <w:tcW w:w="1872" w:type="dxa"/>
            <w:vAlign w:val="center"/>
          </w:tcPr>
          <w:p w14:paraId="29BE9C8B" w14:textId="77777777" w:rsidR="003726B4" w:rsidRDefault="00000000" w:rsidP="009059CA">
            <w:pPr>
              <w:jc w:val="both"/>
            </w:pPr>
            <w:r>
              <w:rPr>
                <w:sz w:val="20"/>
              </w:rPr>
              <w:t>179.23 +/- 43.24</w:t>
            </w:r>
          </w:p>
        </w:tc>
        <w:tc>
          <w:tcPr>
            <w:tcW w:w="1872" w:type="dxa"/>
            <w:vAlign w:val="center"/>
          </w:tcPr>
          <w:p w14:paraId="10885B63" w14:textId="77777777" w:rsidR="003726B4" w:rsidRDefault="00000000" w:rsidP="009059CA">
            <w:pPr>
              <w:jc w:val="both"/>
            </w:pPr>
            <w:r>
              <w:rPr>
                <w:sz w:val="20"/>
              </w:rPr>
              <w:t>210.86 +/- 51.64</w:t>
            </w:r>
          </w:p>
        </w:tc>
        <w:tc>
          <w:tcPr>
            <w:tcW w:w="1872" w:type="dxa"/>
            <w:vAlign w:val="center"/>
          </w:tcPr>
          <w:p w14:paraId="5A26A51A" w14:textId="77777777" w:rsidR="003726B4" w:rsidRDefault="00000000" w:rsidP="009059CA">
            <w:pPr>
              <w:jc w:val="both"/>
            </w:pPr>
            <w:r>
              <w:rPr>
                <w:sz w:val="20"/>
              </w:rPr>
              <w:t>31.63 (13.23 to 50.03)</w:t>
            </w:r>
          </w:p>
        </w:tc>
        <w:tc>
          <w:tcPr>
            <w:tcW w:w="1872" w:type="dxa"/>
            <w:vAlign w:val="center"/>
          </w:tcPr>
          <w:p w14:paraId="1798C2DF" w14:textId="77777777" w:rsidR="003726B4" w:rsidRDefault="00000000" w:rsidP="009059CA">
            <w:pPr>
              <w:jc w:val="both"/>
            </w:pPr>
            <w:r>
              <w:rPr>
                <w:sz w:val="20"/>
              </w:rPr>
              <w:t>0.001a</w:t>
            </w:r>
          </w:p>
        </w:tc>
      </w:tr>
      <w:tr w:rsidR="003726B4" w14:paraId="62D31936" w14:textId="77777777">
        <w:trPr>
          <w:jc w:val="center"/>
        </w:trPr>
        <w:tc>
          <w:tcPr>
            <w:tcW w:w="1872" w:type="dxa"/>
            <w:vAlign w:val="center"/>
          </w:tcPr>
          <w:p w14:paraId="5E8A7013" w14:textId="77777777" w:rsidR="003726B4" w:rsidRDefault="00000000" w:rsidP="009059CA">
            <w:pPr>
              <w:jc w:val="both"/>
            </w:pPr>
            <w:r>
              <w:rPr>
                <w:sz w:val="20"/>
              </w:rPr>
              <w:t>Triglycerides, mg/dL</w:t>
            </w:r>
          </w:p>
        </w:tc>
        <w:tc>
          <w:tcPr>
            <w:tcW w:w="1872" w:type="dxa"/>
            <w:vAlign w:val="center"/>
          </w:tcPr>
          <w:p w14:paraId="7FFA674F" w14:textId="77777777" w:rsidR="003726B4" w:rsidRDefault="00000000" w:rsidP="009059CA">
            <w:pPr>
              <w:jc w:val="both"/>
            </w:pPr>
            <w:r>
              <w:rPr>
                <w:sz w:val="20"/>
              </w:rPr>
              <w:t>128 (49-385)</w:t>
            </w:r>
          </w:p>
        </w:tc>
        <w:tc>
          <w:tcPr>
            <w:tcW w:w="1872" w:type="dxa"/>
            <w:vAlign w:val="center"/>
          </w:tcPr>
          <w:p w14:paraId="445A3CCE" w14:textId="77777777" w:rsidR="003726B4" w:rsidRDefault="00000000" w:rsidP="009059CA">
            <w:pPr>
              <w:jc w:val="both"/>
            </w:pPr>
            <w:r>
              <w:rPr>
                <w:sz w:val="20"/>
              </w:rPr>
              <w:t>156 (57-828)</w:t>
            </w:r>
          </w:p>
        </w:tc>
        <w:tc>
          <w:tcPr>
            <w:tcW w:w="1872" w:type="dxa"/>
            <w:vAlign w:val="center"/>
          </w:tcPr>
          <w:p w14:paraId="54DB9575" w14:textId="77777777" w:rsidR="003726B4" w:rsidRDefault="00000000" w:rsidP="009059CA">
            <w:pPr>
              <w:jc w:val="both"/>
            </w:pPr>
            <w:r>
              <w:rPr>
                <w:sz w:val="20"/>
              </w:rPr>
              <w:t>Not applicable</w:t>
            </w:r>
          </w:p>
        </w:tc>
        <w:tc>
          <w:tcPr>
            <w:tcW w:w="1872" w:type="dxa"/>
            <w:vAlign w:val="center"/>
          </w:tcPr>
          <w:p w14:paraId="0701958E" w14:textId="77777777" w:rsidR="003726B4" w:rsidRDefault="00000000" w:rsidP="009059CA">
            <w:pPr>
              <w:jc w:val="both"/>
            </w:pPr>
            <w:r>
              <w:rPr>
                <w:sz w:val="20"/>
              </w:rPr>
              <w:t>0.013b</w:t>
            </w:r>
          </w:p>
        </w:tc>
      </w:tr>
    </w:tbl>
    <w:p w14:paraId="577B2866" w14:textId="77777777" w:rsidR="003726B4" w:rsidRDefault="00000000" w:rsidP="009059CA">
      <w:pPr>
        <w:spacing w:after="120" w:line="240" w:lineRule="auto"/>
        <w:jc w:val="both"/>
      </w:pPr>
      <w:r>
        <w:t>Values are mean +/- SD, except triglycerides, which are median (range). Difference was calculated as uncontrolled minus controlled for normally distributed variables. LDL-C, low-density lipoprotein cholesterol; HDL-C, high-density lipoprotein cholesterol; CI, confidence interval. a Independent-samples t-test. b Mann-Whitney U test.</w:t>
      </w:r>
    </w:p>
    <w:p w14:paraId="2AC9AD98" w14:textId="77777777" w:rsidR="003726B4" w:rsidRDefault="00000000" w:rsidP="009059CA">
      <w:pPr>
        <w:spacing w:before="200" w:after="120" w:line="480" w:lineRule="auto"/>
        <w:jc w:val="both"/>
      </w:pPr>
      <w:r>
        <w:rPr>
          <w:b/>
        </w:rPr>
        <w:t>DISCUSSION</w:t>
      </w:r>
    </w:p>
    <w:p w14:paraId="16156036" w14:textId="77777777" w:rsidR="003726B4" w:rsidRDefault="00000000" w:rsidP="009059CA">
      <w:pPr>
        <w:spacing w:after="120" w:line="480" w:lineRule="auto"/>
        <w:ind w:firstLine="360"/>
        <w:jc w:val="both"/>
      </w:pPr>
      <w:r>
        <w:t>This study showed that adults with uncontrolled T2D had higher total cholesterol, LDL-C and triglyceride levels than adults with controlled glycaemia. HDL-C did not differ significantly between the two groups. These findings indicate clustering of hyperglycaemia with several lipid abnormalities in routine hospital records, although the cross-sectional design does not establish temporality or causation.</w:t>
      </w:r>
    </w:p>
    <w:p w14:paraId="4D18AFBD" w14:textId="77777777" w:rsidR="003726B4" w:rsidRDefault="00000000" w:rsidP="009059CA">
      <w:pPr>
        <w:spacing w:after="120" w:line="480" w:lineRule="auto"/>
        <w:ind w:firstLine="360"/>
        <w:jc w:val="both"/>
      </w:pPr>
      <w:r>
        <w:t xml:space="preserve">The observed pattern is broadly compatible with reports from other clinical settings, where poorer glycaemic control has often been accompanied by higher total cholesterol and triglyceride </w:t>
      </w:r>
      <w:r>
        <w:lastRenderedPageBreak/>
        <w:t>concentrations [12-18]. The significant LDL-C difference in the present study may reflect the exclusion of patients taking lipid-lowering therapy and the focus on routinely measured lipids close to the time of glycaemic assessment. At the same time, between-study variation is expected because lipid profiles are influenced by adiposity, diet, physical activity, diabetes duration, medication exposure and comorbid illness.</w:t>
      </w:r>
    </w:p>
    <w:p w14:paraId="471AC15F" w14:textId="77777777" w:rsidR="003726B4" w:rsidRDefault="00000000" w:rsidP="009059CA">
      <w:pPr>
        <w:spacing w:after="120" w:line="480" w:lineRule="auto"/>
        <w:ind w:firstLine="360"/>
        <w:jc w:val="both"/>
      </w:pPr>
      <w:r>
        <w:t>The higher lipid levels among patients with uncontrolled glycaemia are biologically plausible. Insulin resistance and sustained hyperglycaemia can increase adipose-tissue lipolysis and hepatic very-low-density lipoprotein production, leading to higher triglyceride concentrations and the formation of atherogenic remnant particles. Glycation and oxidative modification of lipoproteins may further alter lipid clearance and vascular risk [3-9].</w:t>
      </w:r>
    </w:p>
    <w:p w14:paraId="68793FF0" w14:textId="77777777" w:rsidR="003726B4" w:rsidRDefault="00000000" w:rsidP="009059CA">
      <w:pPr>
        <w:spacing w:after="120" w:line="480" w:lineRule="auto"/>
        <w:ind w:firstLine="360"/>
        <w:jc w:val="both"/>
      </w:pPr>
      <w:r>
        <w:t>The higher LDL-C level in the uncontrolled group is clinically relevant because LDL-C remains a key treatment target in cardiovascular risk reduction. Nevertheless, LDL-C concentration alone does not capture all atherogenic lipid changes in T2D. Small dense LDL, remnant lipoproteins and triglyceride-rich particles may contribute to residual risk, even when routine lipid values appear only moderately abnormal [6-9]. The absence of an HDL-C difference should also be interpreted cautiously because HDL-C is affected by sex, adiposity, smoking, diet, physical activity and medication exposure.</w:t>
      </w:r>
    </w:p>
    <w:p w14:paraId="0E96BFA5" w14:textId="77777777" w:rsidR="003726B4" w:rsidRDefault="00000000" w:rsidP="009059CA">
      <w:pPr>
        <w:spacing w:after="120" w:line="480" w:lineRule="auto"/>
        <w:ind w:firstLine="360"/>
        <w:jc w:val="both"/>
      </w:pPr>
      <w:r>
        <w:t>From a clinical perspective, the findings support combined review of HbA1c and lipid indices during routine diabetes follow-up. Patients with high HbA1c may also have higher total cholesterol, LDL-C or triglycerides and may therefore need a broader cardiometabolic assessment, including lifestyle counselling and guideline-based cardiovascular risk management. This is particularly important in settings where many patients are managed using routinely available laboratory data.</w:t>
      </w:r>
    </w:p>
    <w:p w14:paraId="4842CE2B" w14:textId="77777777" w:rsidR="003726B4" w:rsidRDefault="00000000" w:rsidP="009059CA">
      <w:pPr>
        <w:spacing w:after="120" w:line="480" w:lineRule="auto"/>
        <w:ind w:firstLine="360"/>
        <w:jc w:val="both"/>
      </w:pPr>
      <w:r>
        <w:lastRenderedPageBreak/>
        <w:t>This study has limitations. The retrospective cross-sectional design prevents assessment of temporality or causality. The study was conducted in a single hospital, which may limit generalisability. The analyses were unadjusted because detailed data on diabetes duration, antihyperglycaemic therapy, family history of dyslipidaemia, dietary intake, physical activity, smoking and socioeconomic factors were not available in the medical records. The timing of HbA1c and lipid measurements was restricted to the same visit or within one month, but residual measurement heterogeneity remains possible. Excluding patients receiving lipid-lowering therapy reduced direct pharmacological influence on lipid concentrations, but it may also limit applicability to the wider population of adults with T2D.</w:t>
      </w:r>
    </w:p>
    <w:p w14:paraId="45EC2E6C" w14:textId="77777777" w:rsidR="003726B4" w:rsidRDefault="00000000" w:rsidP="009059CA">
      <w:pPr>
        <w:spacing w:before="200" w:after="120" w:line="480" w:lineRule="auto"/>
        <w:jc w:val="both"/>
      </w:pPr>
      <w:r>
        <w:rPr>
          <w:b/>
        </w:rPr>
        <w:t>CONCLUSIONS</w:t>
      </w:r>
    </w:p>
    <w:p w14:paraId="10BDC72B" w14:textId="77777777" w:rsidR="003726B4" w:rsidRDefault="00000000" w:rsidP="009059CA">
      <w:pPr>
        <w:spacing w:after="120" w:line="480" w:lineRule="auto"/>
        <w:ind w:firstLine="360"/>
        <w:jc w:val="both"/>
      </w:pPr>
      <w:r>
        <w:t>Among adults with T2D in an Indonesian tertiary-care setting who were not receiving lipid-lowering therapy, uncontrolled glycaemia was associated with higher total cholesterol, LDL-C and triglyceride levels, while HDL-C did not differ significantly. Routine assessment of HbA1c together with lipid parameters may support more complete cardiometabolic risk evaluation. Prospective studies with adjustment for medication use, diabetes duration, lifestyle factors and comorbidities are needed to clarify these relationships.</w:t>
      </w:r>
    </w:p>
    <w:p w14:paraId="5B8E7F9B" w14:textId="77777777" w:rsidR="003726B4" w:rsidRDefault="00000000" w:rsidP="009059CA">
      <w:pPr>
        <w:spacing w:before="200" w:after="120" w:line="480" w:lineRule="auto"/>
        <w:jc w:val="both"/>
      </w:pPr>
      <w:r>
        <w:rPr>
          <w:b/>
        </w:rPr>
        <w:t>CONFLICT OF INTEREST</w:t>
      </w:r>
    </w:p>
    <w:p w14:paraId="04C245FD" w14:textId="77777777" w:rsidR="003726B4" w:rsidRDefault="00000000" w:rsidP="009059CA">
      <w:pPr>
        <w:spacing w:after="120" w:line="480" w:lineRule="auto"/>
        <w:jc w:val="both"/>
      </w:pPr>
      <w:r>
        <w:t>The authors declare no conflict of interest.</w:t>
      </w:r>
    </w:p>
    <w:p w14:paraId="2C03A4DF" w14:textId="77777777" w:rsidR="003726B4" w:rsidRDefault="00000000" w:rsidP="009059CA">
      <w:pPr>
        <w:spacing w:before="200" w:after="120" w:line="480" w:lineRule="auto"/>
        <w:jc w:val="both"/>
      </w:pPr>
      <w:r>
        <w:rPr>
          <w:b/>
        </w:rPr>
        <w:t>FUNDING</w:t>
      </w:r>
    </w:p>
    <w:p w14:paraId="22D8CE10" w14:textId="77777777" w:rsidR="003726B4" w:rsidRDefault="00000000" w:rsidP="009059CA">
      <w:pPr>
        <w:spacing w:after="120" w:line="480" w:lineRule="auto"/>
        <w:jc w:val="both"/>
      </w:pPr>
      <w:r>
        <w:t>No external funding was received for this study.</w:t>
      </w:r>
    </w:p>
    <w:p w14:paraId="7266077D" w14:textId="77777777" w:rsidR="003726B4" w:rsidRDefault="00000000" w:rsidP="009059CA">
      <w:pPr>
        <w:spacing w:before="200" w:after="120" w:line="480" w:lineRule="auto"/>
        <w:jc w:val="both"/>
      </w:pPr>
      <w:r>
        <w:rPr>
          <w:b/>
        </w:rPr>
        <w:t>DATA AVAILABILITY</w:t>
      </w:r>
    </w:p>
    <w:p w14:paraId="4F3A31C8" w14:textId="77777777" w:rsidR="003726B4" w:rsidRDefault="00000000" w:rsidP="009059CA">
      <w:pPr>
        <w:spacing w:after="120" w:line="480" w:lineRule="auto"/>
        <w:jc w:val="both"/>
      </w:pPr>
      <w:r>
        <w:lastRenderedPageBreak/>
        <w:t>The datasets generated and/or analysed during the current study are not publicly available due to patient confidentiality and ethical restrictions related to secondary medical-record data. De-identified data may be made available from the corresponding author upon reasonable request and with permission from the relevant ethics committee and institution.</w:t>
      </w:r>
    </w:p>
    <w:p w14:paraId="0694AABD" w14:textId="77777777" w:rsidR="003726B4" w:rsidRDefault="00000000" w:rsidP="009059CA">
      <w:pPr>
        <w:spacing w:before="200" w:after="120" w:line="480" w:lineRule="auto"/>
        <w:jc w:val="both"/>
      </w:pPr>
      <w:r>
        <w:rPr>
          <w:b/>
        </w:rPr>
        <w:t>REFERENCES</w:t>
      </w:r>
    </w:p>
    <w:p w14:paraId="1066C96A" w14:textId="77777777" w:rsidR="003726B4" w:rsidRDefault="00000000" w:rsidP="009059CA">
      <w:pPr>
        <w:spacing w:after="60" w:line="240" w:lineRule="auto"/>
        <w:ind w:left="360" w:hanging="360"/>
        <w:jc w:val="both"/>
      </w:pPr>
      <w:r>
        <w:t>1. International Diabetes Federation. IDF Diabetes Atlas. 10th ed. Brussels: International Diabetes Federation; 2021. Available from: https://diabetesatlas.org/</w:t>
      </w:r>
    </w:p>
    <w:p w14:paraId="52499630" w14:textId="77777777" w:rsidR="003726B4" w:rsidRDefault="00000000" w:rsidP="009059CA">
      <w:pPr>
        <w:spacing w:after="60" w:line="240" w:lineRule="auto"/>
        <w:ind w:left="360" w:hanging="360"/>
        <w:jc w:val="both"/>
      </w:pPr>
      <w:r>
        <w:t>2. Kementerian Kesehatan Republik Indonesia. Laporan Nasional RISKESDAS 2018. Jakarta: Badan Penelitian dan Pengembangan Kesehatan; 2019. Available from: https://repository.badankebijakan.kemkes.go.id/id/eprint/3514/</w:t>
      </w:r>
    </w:p>
    <w:p w14:paraId="6C138F7E" w14:textId="77777777" w:rsidR="003726B4" w:rsidRDefault="00000000" w:rsidP="009059CA">
      <w:pPr>
        <w:spacing w:after="60" w:line="240" w:lineRule="auto"/>
        <w:ind w:left="360" w:hanging="360"/>
        <w:jc w:val="both"/>
      </w:pPr>
      <w:r>
        <w:t>3. Hirano T. Pathophysiology of diabetic dyslipidemia. J Atheroscler Thromb. 2018;25(9):771-782. doi:10.5551/jat.RV17023.</w:t>
      </w:r>
    </w:p>
    <w:p w14:paraId="4574CFBB" w14:textId="77777777" w:rsidR="003726B4" w:rsidRDefault="00000000" w:rsidP="009059CA">
      <w:pPr>
        <w:spacing w:after="60" w:line="240" w:lineRule="auto"/>
        <w:ind w:left="360" w:hanging="360"/>
        <w:jc w:val="both"/>
      </w:pPr>
      <w:r>
        <w:t>4. Goldberg IJ. Diabetic dyslipidemia: causes and consequences. J Clin Endocrinol Metab. 2001;86(3):965-971. doi:10.1210/jcem.86.3.7304.</w:t>
      </w:r>
    </w:p>
    <w:p w14:paraId="2D52159F" w14:textId="77777777" w:rsidR="003726B4" w:rsidRDefault="00000000" w:rsidP="009059CA">
      <w:pPr>
        <w:spacing w:after="60" w:line="240" w:lineRule="auto"/>
        <w:ind w:left="360" w:hanging="360"/>
        <w:jc w:val="both"/>
      </w:pPr>
      <w:r>
        <w:t>5. Chaudhury D, Aggarwal A. Diabetic dyslipidemia: current concepts in pathophysiology and management. J Clin Diagn Res. 2018;12(1):OE06-OE09. doi:10.7860/JCDR/2018/29009.11090.</w:t>
      </w:r>
    </w:p>
    <w:p w14:paraId="411442B0" w14:textId="77777777" w:rsidR="003726B4" w:rsidRDefault="00000000" w:rsidP="009059CA">
      <w:pPr>
        <w:spacing w:after="60" w:line="240" w:lineRule="auto"/>
        <w:ind w:left="360" w:hanging="360"/>
        <w:jc w:val="both"/>
      </w:pPr>
      <w:r>
        <w:t>6. Schofield JD, Liu Y, Rao-Balakrishna P, Malik RA, Soran H. Diabetes dyslipidemia. Diabetes Ther. 2016;7(2):203-219. doi:10.1007/s13300-016-0167-x.</w:t>
      </w:r>
    </w:p>
    <w:p w14:paraId="414F302E" w14:textId="77777777" w:rsidR="003726B4" w:rsidRDefault="00000000" w:rsidP="009059CA">
      <w:pPr>
        <w:spacing w:after="60" w:line="240" w:lineRule="auto"/>
        <w:ind w:left="360" w:hanging="360"/>
        <w:jc w:val="both"/>
      </w:pPr>
      <w:r>
        <w:t>7. Taskinen MR, Boren J. New insights into the pathophysiology of dyslipidemia in type 2 diabetes. Atherosclerosis. 2015;239(2):483-495. doi:10.1016/j.atherosclerosis.2015.01.039.</w:t>
      </w:r>
    </w:p>
    <w:p w14:paraId="15F8312D" w14:textId="77777777" w:rsidR="003726B4" w:rsidRDefault="00000000" w:rsidP="009059CA">
      <w:pPr>
        <w:spacing w:after="60" w:line="240" w:lineRule="auto"/>
        <w:ind w:left="360" w:hanging="360"/>
        <w:jc w:val="both"/>
      </w:pPr>
      <w:r>
        <w:t>8. Mooradian AD. Dyslipidemia in type 2 diabetes mellitus. Nat Clin Pract Endocrinol Metab. 2009;5(3):150-159. doi:10.1038/ncpendmet1066.</w:t>
      </w:r>
    </w:p>
    <w:p w14:paraId="6D83445E" w14:textId="77777777" w:rsidR="003726B4" w:rsidRDefault="00000000" w:rsidP="009059CA">
      <w:pPr>
        <w:spacing w:after="60" w:line="240" w:lineRule="auto"/>
        <w:ind w:left="360" w:hanging="360"/>
        <w:jc w:val="both"/>
      </w:pPr>
      <w:r>
        <w:t>9. Parhofer KG. Interaction between glucose and lipid metabolism: more than diabetic dyslipidemia. Diabetes Metab J. 2015;39(5):353-362. doi:10.4093/dmj.2015.39.5.353.</w:t>
      </w:r>
    </w:p>
    <w:p w14:paraId="5FE2ACC1" w14:textId="77777777" w:rsidR="003726B4" w:rsidRDefault="00000000" w:rsidP="009059CA">
      <w:pPr>
        <w:spacing w:after="60" w:line="240" w:lineRule="auto"/>
        <w:ind w:left="360" w:hanging="360"/>
        <w:jc w:val="both"/>
      </w:pPr>
      <w:r>
        <w:t>10. American Diabetes Association Professional Practice Committee. Glycemic goals and hypoglycemia: Standards of Care in Diabetes-2025. Diabetes Care. 2025;48(Suppl 1):S128-S145. doi:10.2337/dc25-S006.</w:t>
      </w:r>
    </w:p>
    <w:p w14:paraId="160A4374" w14:textId="77777777" w:rsidR="003726B4" w:rsidRDefault="00000000" w:rsidP="009059CA">
      <w:pPr>
        <w:spacing w:after="60" w:line="240" w:lineRule="auto"/>
        <w:ind w:left="360" w:hanging="360"/>
        <w:jc w:val="both"/>
      </w:pPr>
      <w:r>
        <w:t>11. American Diabetes Association Professional Practice Committee. Cardiovascular disease and risk management: Standards of Care in Diabetes-2025. Diabetes Care. 2025;48(Suppl 1):S207-S238. doi:10.2337/dc25-S010.</w:t>
      </w:r>
    </w:p>
    <w:p w14:paraId="22CA7CBA" w14:textId="77777777" w:rsidR="003726B4" w:rsidRDefault="00000000" w:rsidP="009059CA">
      <w:pPr>
        <w:spacing w:after="60" w:line="240" w:lineRule="auto"/>
        <w:ind w:left="360" w:hanging="360"/>
        <w:jc w:val="both"/>
      </w:pPr>
      <w:r>
        <w:t>12. Nnakenyi ID, Nnakenyi EF, Parker EJ, Uchendu NO, Anaduaka EG, Ezeanyika LU. Relationship between glycaemic control and lipid profile in type 2 diabetes mellitus patients in a low-resource setting. Pan Afr Med J. 2022;41:281. doi:10.11604/pamj.2022.41.281.33802.</w:t>
      </w:r>
    </w:p>
    <w:p w14:paraId="4D1FBF44" w14:textId="77777777" w:rsidR="003726B4" w:rsidRDefault="00000000" w:rsidP="009059CA">
      <w:pPr>
        <w:spacing w:after="60" w:line="240" w:lineRule="auto"/>
        <w:ind w:left="360" w:hanging="360"/>
        <w:jc w:val="both"/>
      </w:pPr>
      <w:r>
        <w:t xml:space="preserve">13. Sharahili AY, Mir SA, AlDosari S, et al. Correlation of HbA1c level with lipid profile in type 2 diabetes mellitus patients visiting a primary healthcare center in Jeddah City, Saudi Arabia: </w:t>
      </w:r>
      <w:r>
        <w:lastRenderedPageBreak/>
        <w:t>a retrospective cross-sectional study. Diseases. 2023;11(4):154. doi:10.3390/diseases11040154.</w:t>
      </w:r>
    </w:p>
    <w:p w14:paraId="55F9696C" w14:textId="77777777" w:rsidR="003726B4" w:rsidRDefault="00000000" w:rsidP="009059CA">
      <w:pPr>
        <w:spacing w:after="60" w:line="240" w:lineRule="auto"/>
        <w:ind w:left="360" w:hanging="360"/>
        <w:jc w:val="both"/>
      </w:pPr>
      <w:r>
        <w:t>14. Awadalla H, Noor SK, Elmadhoun WM, et al. Comparison of serum lipid profile in type 2 diabetes with and without adequate diabetes control in Sudanese population in north of Sudan. Diabetes Metab Syndr. 2018;12(6):961-964. doi:10.1016/j.dsx.2018.06.004.</w:t>
      </w:r>
    </w:p>
    <w:p w14:paraId="5C4E2648" w14:textId="77777777" w:rsidR="003726B4" w:rsidRDefault="00000000" w:rsidP="009059CA">
      <w:pPr>
        <w:spacing w:after="60" w:line="240" w:lineRule="auto"/>
        <w:ind w:left="360" w:hanging="360"/>
        <w:jc w:val="both"/>
      </w:pPr>
      <w:r>
        <w:t>15. Sunjaya AP, Sunjaya AF. Glycated hemoglobin targets and glycemic control: link with lipid, uric acid and kidney profile. Diabetes Metab Syndr. 2018;12(5):743-748. doi:10.1016/j.dsx.2018.04.039.</w:t>
      </w:r>
    </w:p>
    <w:p w14:paraId="3D1F6E06" w14:textId="77777777" w:rsidR="003726B4" w:rsidRDefault="00000000" w:rsidP="009059CA">
      <w:pPr>
        <w:spacing w:after="60" w:line="240" w:lineRule="auto"/>
        <w:ind w:left="360" w:hanging="360"/>
        <w:jc w:val="both"/>
      </w:pPr>
      <w:r>
        <w:t>16. Rusdiana R, Widjaja SS, Savira M. The relation between lipid profile and glycemic control in type 2 diabetes mellitus patients in North Sumatera, Indonesia. Open Access Maced J Med Sci. 2020;8(B):887-891. doi:10.3889/oamjms.2020.5174.</w:t>
      </w:r>
    </w:p>
    <w:p w14:paraId="79CCBC29" w14:textId="77777777" w:rsidR="003726B4" w:rsidRDefault="00000000" w:rsidP="009059CA">
      <w:pPr>
        <w:spacing w:after="60" w:line="240" w:lineRule="auto"/>
        <w:ind w:left="360" w:hanging="360"/>
        <w:jc w:val="both"/>
      </w:pPr>
      <w:r>
        <w:t>17. Hyassat D, Al-Saeksaek S, Naji D, et al. Dyslipidemia among patients with type 2 diabetes in Jordan: prevalence, pattern, and associated factors. Front Public Health. 2022;10:1002466. doi:10.3389/fpubh.2022.1002466.</w:t>
      </w:r>
    </w:p>
    <w:p w14:paraId="3E5B64E2" w14:textId="77777777" w:rsidR="003726B4" w:rsidRDefault="00000000" w:rsidP="009059CA">
      <w:pPr>
        <w:spacing w:after="60" w:line="240" w:lineRule="auto"/>
        <w:ind w:left="360" w:hanging="360"/>
        <w:jc w:val="both"/>
      </w:pPr>
      <w:r>
        <w:t>18. Pradipta S, Wibowo H, Harbuwono DS, Rahajeng E, Larasati RA, Kartika R. Distribution patterns and risk factors of dyslipidemia in patients with type 2 diabetes mellitus: a cross-sectional study in Bogor, Indonesia. Int J Appl Pharm. 2020;12(Special Issue 1):5-8. doi:10.22159/ijap.2020.v12s1.24045.</w:t>
      </w:r>
    </w:p>
    <w:p w14:paraId="533A12D5" w14:textId="77777777" w:rsidR="003726B4" w:rsidRDefault="00000000" w:rsidP="009059CA">
      <w:pPr>
        <w:spacing w:after="60" w:line="240" w:lineRule="auto"/>
        <w:ind w:left="360" w:hanging="360"/>
        <w:jc w:val="both"/>
      </w:pPr>
      <w:r>
        <w:t>19. von Elm E, Altman DG, Egger M, Pocock SJ, Gotzsche PC, Vandenbroucke JP; STROBE Initiative. The Strengthening the Reporting of Observational Studies in Epidemiology (STROBE) statement: guidelines for reporting observational studies. Lancet. 2007;370(9596):1453-1457. doi:10.1016/S0140-6736(07)61602-X.</w:t>
      </w:r>
    </w:p>
    <w:p w14:paraId="75F16252" w14:textId="77777777" w:rsidR="003726B4" w:rsidRDefault="00000000" w:rsidP="009059CA">
      <w:pPr>
        <w:spacing w:after="60" w:line="240" w:lineRule="auto"/>
        <w:ind w:left="360" w:hanging="360"/>
        <w:jc w:val="both"/>
      </w:pPr>
      <w:r>
        <w:t>20. WHO Expert Consultation. Appropriate body-mass index for Asian populations and its implications for policy and intervention strategies. Lancet. 2004;363(9403):157-163. doi:10.1016/S0140-6736(03)15268-3.</w:t>
      </w:r>
    </w:p>
    <w:sectPr w:rsidR="003726B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888228">
    <w:abstractNumId w:val="8"/>
  </w:num>
  <w:num w:numId="2" w16cid:durableId="1527450605">
    <w:abstractNumId w:val="6"/>
  </w:num>
  <w:num w:numId="3" w16cid:durableId="1373185549">
    <w:abstractNumId w:val="5"/>
  </w:num>
  <w:num w:numId="4" w16cid:durableId="1671834099">
    <w:abstractNumId w:val="4"/>
  </w:num>
  <w:num w:numId="5" w16cid:durableId="1486431056">
    <w:abstractNumId w:val="7"/>
  </w:num>
  <w:num w:numId="6" w16cid:durableId="1071927964">
    <w:abstractNumId w:val="3"/>
  </w:num>
  <w:num w:numId="7" w16cid:durableId="1516651770">
    <w:abstractNumId w:val="2"/>
  </w:num>
  <w:num w:numId="8" w16cid:durableId="776945398">
    <w:abstractNumId w:val="1"/>
  </w:num>
  <w:num w:numId="9" w16cid:durableId="1121411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6B4"/>
    <w:rsid w:val="004B19C3"/>
    <w:rsid w:val="008212CF"/>
    <w:rsid w:val="009059CA"/>
    <w:rsid w:val="009C67F2"/>
    <w:rsid w:val="00AA1D8D"/>
    <w:rsid w:val="00B47730"/>
    <w:rsid w:val="00CB0664"/>
    <w:rsid w:val="00F91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58379"/>
  <w14:defaultImageDpi w14:val="300"/>
  <w15:docId w15:val="{779F3459-93D9-4D07-8103-6F2B3DC3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2536</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5</cp:revision>
  <dcterms:created xsi:type="dcterms:W3CDTF">2013-12-23T23:15:00Z</dcterms:created>
  <dcterms:modified xsi:type="dcterms:W3CDTF">2026-09-25T07:02:00Z</dcterms:modified>
  <cp:category/>
</cp:coreProperties>
</file>