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4"/>
        </w:rPr>
        <w:t>Response to Reviewer</w:t>
      </w:r>
    </w:p>
    <w:p>
      <w:r>
        <w:rPr>
          <w:rFonts w:ascii="Times New Roman" w:hAnsi="Times New Roman" w:eastAsia="Times New Roman"/>
          <w:b w:val="0"/>
          <w:i w:val="0"/>
          <w:sz w:val="24"/>
        </w:rPr>
        <w:t>Manuscript title: Maternal Toxoplasma gondii Infection and Adverse Pregnancy Outcomes: A Revised Systematic Review and Meta-analysis</w:t>
      </w:r>
    </w:p>
    <w:p>
      <w:r>
        <w:rPr>
          <w:rFonts w:ascii="Times New Roman" w:hAnsi="Times New Roman" w:eastAsia="Times New Roman"/>
          <w:b w:val="0"/>
          <w:i w:val="0"/>
          <w:sz w:val="24"/>
        </w:rPr>
        <w:t>Manuscript code: JTB-26-0096</w:t>
      </w:r>
    </w:p>
    <w:p>
      <w:pPr>
        <w:pStyle w:val="Heading1"/>
        <w:spacing w:line="480" w:lineRule="auto"/>
      </w:pPr>
      <w:r>
        <w:rPr>
          <w:rFonts w:ascii="Times New Roman" w:hAnsi="Times New Roman" w:eastAsia="Times New Roman"/>
          <w:b/>
          <w:sz w:val="24"/>
        </w:rPr>
        <w:t>General response</w:t>
      </w:r>
    </w:p>
    <w:p>
      <w:r>
        <w:rPr>
          <w:rFonts w:ascii="Times New Roman" w:hAnsi="Times New Roman" w:eastAsia="Times New Roman"/>
          <w:b w:val="0"/>
          <w:i w:val="0"/>
          <w:sz w:val="24"/>
        </w:rPr>
        <w:t>We thank the reviewer for identifying important concerns regarding the validity and reproducibility of the previous quantitative synthesis. We agree that the original dataset contained studies that were not consistently aligned with the stated eligibility criteria and that the pooled estimates could not be adequately reproduced from the information presented. In response, we performed a full-text reassessment of all candidate studies, removed secondary reviews and studies without extractable adverse pregnancy outcome data, added eligible primary studies with comparator data, rebuilt the extraction table, and repeated the meta-analysis by outcome subgroup rather than presenting one overall pooled estimate.</w:t>
      </w:r>
    </w:p>
    <w:p>
      <w:r>
        <w:rPr>
          <w:rFonts w:ascii="Times New Roman" w:hAnsi="Times New Roman" w:eastAsia="Times New Roman"/>
          <w:b/>
          <w:i w:val="0"/>
          <w:sz w:val="24"/>
        </w:rPr>
        <w:t>Concern: Some studies in Table II did not match the stated eligibility criteria.</w:t>
      </w:r>
    </w:p>
    <w:p>
      <w:r>
        <w:rPr>
          <w:rFonts w:ascii="Times New Roman" w:hAnsi="Times New Roman" w:eastAsia="Times New Roman"/>
          <w:b w:val="0"/>
          <w:i w:val="0"/>
          <w:sz w:val="24"/>
        </w:rPr>
        <w:t>Response: We agree. The revised manuscript now excludes secondary reviews, meta-analyses, seroprevalence-only studies, risk-factor studies without adverse pregnancy outcomes, and studies without extractable comparator data from the quantitative synthesis. The revised Table I identifies each retained primary study and its role in the synthesis.</w:t>
      </w:r>
    </w:p>
    <w:p>
      <w:r>
        <w:rPr>
          <w:rFonts w:ascii="Times New Roman" w:hAnsi="Times New Roman" w:eastAsia="Times New Roman"/>
          <w:b/>
          <w:i w:val="0"/>
          <w:sz w:val="24"/>
        </w:rPr>
        <w:t>Concern: Some included articles were outside the stated period or were secondary reviews/meta-analyses.</w:t>
      </w:r>
    </w:p>
    <w:p>
      <w:r>
        <w:rPr>
          <w:rFonts w:ascii="Times New Roman" w:hAnsi="Times New Roman" w:eastAsia="Times New Roman"/>
          <w:b w:val="0"/>
          <w:i w:val="0"/>
          <w:sz w:val="24"/>
        </w:rPr>
        <w:t>Response: We removed secondary reviews/meta-analyses from the quantitative dataset. The revised evidence base is restricted to primary studies with extractable adverse pregnancy outcome data. Studies outside the revised eligibility scope were not used for pooled estimation.</w:t>
      </w:r>
    </w:p>
    <w:p>
      <w:r>
        <w:rPr>
          <w:rFonts w:ascii="Times New Roman" w:hAnsi="Times New Roman" w:eastAsia="Times New Roman"/>
          <w:b/>
          <w:i w:val="0"/>
          <w:sz w:val="24"/>
        </w:rPr>
        <w:t>Concern: Several studies focused on seroprevalence or risk factors rather than adverse pregnancy outcomes.</w:t>
      </w:r>
    </w:p>
    <w:p>
      <w:r>
        <w:rPr>
          <w:rFonts w:ascii="Times New Roman" w:hAnsi="Times New Roman" w:eastAsia="Times New Roman"/>
          <w:b w:val="0"/>
          <w:i w:val="0"/>
          <w:sz w:val="24"/>
        </w:rPr>
        <w:t>Response: Seroprevalence-only and risk-factor-only studies are no longer included in the quantitative synthesis. Only studies that reported pregnancy loss, bad obstetric history, preterm birth, low birth weight or small-for-gestational-age outcomes with comparator data were retained.</w:t>
      </w:r>
    </w:p>
    <w:p>
      <w:r>
        <w:rPr>
          <w:rFonts w:ascii="Times New Roman" w:hAnsi="Times New Roman" w:eastAsia="Times New Roman"/>
          <w:b/>
          <w:i w:val="0"/>
          <w:sz w:val="24"/>
        </w:rPr>
        <w:t>Concern: Pooled ORs were reported without sufficient study-level information.</w:t>
      </w:r>
    </w:p>
    <w:p>
      <w:r>
        <w:rPr>
          <w:rFonts w:ascii="Times New Roman" w:hAnsi="Times New Roman" w:eastAsia="Times New Roman"/>
          <w:b w:val="0"/>
          <w:i w:val="0"/>
          <w:sz w:val="24"/>
        </w:rPr>
        <w:t>Response: The revised manuscript now provides a full extraction table showing the exposed and unexposed event/non-event counts used for each pooled estimate. Forest plots are provided for pregnancy loss/BOH, preterm birth, low birth weight and small-for-gestational-age outcomes.</w:t>
      </w:r>
    </w:p>
    <w:p>
      <w:r>
        <w:rPr>
          <w:rFonts w:ascii="Times New Roman" w:hAnsi="Times New Roman" w:eastAsia="Times New Roman"/>
          <w:b/>
          <w:i w:val="0"/>
          <w:sz w:val="24"/>
        </w:rPr>
        <w:t>Concern: The exact studies contributing to each outcome were unclear.</w:t>
      </w:r>
    </w:p>
    <w:p>
      <w:r>
        <w:rPr>
          <w:rFonts w:ascii="Times New Roman" w:hAnsi="Times New Roman" w:eastAsia="Times New Roman"/>
          <w:b w:val="0"/>
          <w:i w:val="0"/>
          <w:sz w:val="24"/>
        </w:rPr>
        <w:t>Response: The revised Results and Tables II-III now state which studies contributed to each outcome subgroup. The previous single overall adverse-outcome pooled estimate was replaced by outcome-specific subgroup analyses.</w:t>
      </w:r>
    </w:p>
    <w:p>
      <w:r>
        <w:rPr>
          <w:rFonts w:ascii="Times New Roman" w:hAnsi="Times New Roman" w:eastAsia="Times New Roman"/>
          <w:b/>
          <w:i w:val="0"/>
          <w:sz w:val="24"/>
        </w:rPr>
        <w:t>Concern: Re-screening, data re-extraction and reanalysis were required before conclusions could be considered reliable.</w:t>
      </w:r>
    </w:p>
    <w:p>
      <w:r>
        <w:rPr>
          <w:rFonts w:ascii="Times New Roman" w:hAnsi="Times New Roman" w:eastAsia="Times New Roman"/>
          <w:b w:val="0"/>
          <w:i w:val="0"/>
          <w:sz w:val="24"/>
        </w:rPr>
        <w:t>Response: We completed re-screening, data re-extraction and reanalysis. The conclusion was revised to state that evidence is strongest for pregnancy loss-related outcomes, while evidence for preterm birth and low birth weight remains heterogeneous and non-significant in the revised pooled analyses.</w:t>
      </w:r>
    </w:p>
    <w:p>
      <w:pPr>
        <w:pStyle w:val="Heading1"/>
        <w:spacing w:line="480" w:lineRule="auto"/>
      </w:pPr>
      <w:r>
        <w:rPr>
          <w:rFonts w:ascii="Times New Roman" w:hAnsi="Times New Roman" w:eastAsia="Times New Roman"/>
          <w:b/>
          <w:sz w:val="24"/>
        </w:rPr>
        <w:t>Main revisions made</w:t>
      </w:r>
    </w:p>
    <w:p>
      <w:r>
        <w:rPr>
          <w:rFonts w:ascii="Times New Roman" w:hAnsi="Times New Roman" w:eastAsia="Times New Roman"/>
          <w:b w:val="0"/>
          <w:i w:val="0"/>
          <w:sz w:val="24"/>
        </w:rPr>
        <w:t>Rebuilt the included-study dataset to 13 primary studies for qualitative synthesis and 12 studies for quantitative synthesis.</w:t>
      </w:r>
    </w:p>
    <w:p>
      <w:r>
        <w:rPr>
          <w:rFonts w:ascii="Times New Roman" w:hAnsi="Times New Roman" w:eastAsia="Times New Roman"/>
          <w:b w:val="0"/>
          <w:i w:val="0"/>
          <w:sz w:val="24"/>
        </w:rPr>
        <w:t>Removed secondary reviews/meta-analyses and studies without extractable adverse pregnancy outcome comparators from quantitative pooling.</w:t>
      </w:r>
    </w:p>
    <w:p>
      <w:r>
        <w:rPr>
          <w:rFonts w:ascii="Times New Roman" w:hAnsi="Times New Roman" w:eastAsia="Times New Roman"/>
          <w:b w:val="0"/>
          <w:i w:val="0"/>
          <w:sz w:val="24"/>
        </w:rPr>
        <w:t>Added five eligible primary studies with extractable data: Valladares-Garrido et al. (2022), Sarkar et al. (2012), Kamal et al. (2015), Fochi et al. (2015), and Hurt et al. (2024).</w:t>
      </w:r>
    </w:p>
    <w:p>
      <w:r>
        <w:rPr>
          <w:rFonts w:ascii="Times New Roman" w:hAnsi="Times New Roman" w:eastAsia="Times New Roman"/>
          <w:b w:val="0"/>
          <w:i w:val="0"/>
          <w:sz w:val="24"/>
        </w:rPr>
        <w:t>Recalculated all odds ratios from study-level data and presented the exact counts used in the analysis.</w:t>
      </w:r>
    </w:p>
    <w:p>
      <w:r>
        <w:rPr>
          <w:rFonts w:ascii="Times New Roman" w:hAnsi="Times New Roman" w:eastAsia="Times New Roman"/>
          <w:b w:val="0"/>
          <w:i w:val="0"/>
          <w:sz w:val="24"/>
        </w:rPr>
        <w:t>Replaced the previous pooled overall OR with outcome-specific random-effects analyses.</w:t>
      </w:r>
    </w:p>
    <w:p>
      <w:r>
        <w:rPr>
          <w:rFonts w:ascii="Times New Roman" w:hAnsi="Times New Roman" w:eastAsia="Times New Roman"/>
          <w:b w:val="0"/>
          <w:i w:val="0"/>
          <w:sz w:val="24"/>
        </w:rPr>
        <w:t>Updated PRISMA flow, tables, forest plots, abstract, methods, results, discussion and conclusion.</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