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614"/>
        <w:tblW w:w="9729" w:type="dxa"/>
        <w:tblBorders>
          <w:bottom w:val="thickThinSmallGap" w:sz="24" w:space="0" w:color="auto"/>
          <w:insideH w:val="thickThinSmallGap" w:sz="24" w:space="0" w:color="auto"/>
        </w:tblBorders>
        <w:tblLayout w:type="fixed"/>
        <w:tblLook w:val="04A0" w:firstRow="1" w:lastRow="0" w:firstColumn="1" w:lastColumn="0" w:noHBand="0" w:noVBand="1"/>
      </w:tblPr>
      <w:tblGrid>
        <w:gridCol w:w="7597"/>
        <w:gridCol w:w="2132"/>
      </w:tblGrid>
      <w:tr w:rsidR="00093DB4" w:rsidRPr="00863E46" w14:paraId="015FAA27" w14:textId="77777777" w:rsidTr="002B2201">
        <w:trPr>
          <w:trHeight w:val="1499"/>
        </w:trPr>
        <w:tc>
          <w:tcPr>
            <w:tcW w:w="7597" w:type="dxa"/>
          </w:tcPr>
          <w:p w14:paraId="38D89E7A" w14:textId="77777777" w:rsidR="00093DB4" w:rsidRDefault="00093DB4" w:rsidP="002B2201">
            <w:pPr>
              <w:spacing w:after="0" w:line="240" w:lineRule="auto"/>
              <w:jc w:val="center"/>
            </w:pPr>
            <w:r>
              <w:rPr>
                <w:rFonts w:ascii="Times New Roman" w:eastAsia="Times New Roman" w:hAnsi="Times New Roman"/>
                <w:b/>
                <w:sz w:val="40"/>
              </w:rPr>
              <w:t>Indonesian Journal of Global Health Research</w:t>
            </w:r>
            <w:r>
              <w:br/>
            </w:r>
            <w:r>
              <w:rPr>
                <w:rFonts w:ascii="Times New Roman" w:eastAsia="Times New Roman" w:hAnsi="Times New Roman"/>
                <w:sz w:val="28"/>
              </w:rPr>
              <w:t>Volume X Number Y, ......., 2026</w:t>
            </w:r>
            <w:r>
              <w:br/>
            </w:r>
            <w:r>
              <w:rPr>
                <w:rFonts w:ascii="Times New Roman" w:eastAsia="Times New Roman" w:hAnsi="Times New Roman"/>
                <w:sz w:val="26"/>
              </w:rPr>
              <w:t>e-ISSN 2715-1972;   p-ISSN 2714-9749</w:t>
            </w:r>
            <w:r>
              <w:br/>
            </w:r>
            <w:r>
              <w:rPr>
                <w:rFonts w:ascii="Times New Roman" w:eastAsia="Times New Roman" w:hAnsi="Times New Roman"/>
                <w:sz w:val="24"/>
                <w:u w:val="single"/>
              </w:rPr>
              <w:t>http://jurnal.globalhealthsciencegroup.com/index.php/IJGHR</w:t>
            </w:r>
          </w:p>
        </w:tc>
        <w:tc>
          <w:tcPr>
            <w:tcW w:w="2132" w:type="dxa"/>
          </w:tcPr>
          <w:p w14:paraId="69446EE8" w14:textId="77777777" w:rsidR="00093DB4" w:rsidRPr="00863E46" w:rsidRDefault="00093DB4" w:rsidP="002B2201">
            <w:pPr>
              <w:adjustRightInd w:val="0"/>
              <w:snapToGrid w:val="0"/>
              <w:spacing w:after="0" w:line="240" w:lineRule="auto"/>
              <w:jc w:val="center"/>
              <w:rPr>
                <w:rFonts w:ascii="Times New Roman" w:eastAsia="SimSun" w:hAnsi="Times New Roman"/>
                <w:b/>
                <w:sz w:val="32"/>
                <w:szCs w:val="32"/>
              </w:rPr>
            </w:pPr>
            <w:r w:rsidRPr="00863E46">
              <w:rPr>
                <w:rFonts w:ascii="Times New Roman" w:eastAsia="SimSun" w:hAnsi="Times New Roman"/>
                <w:b/>
                <w:noProof/>
                <w:sz w:val="32"/>
                <w:szCs w:val="32"/>
                <w:lang w:eastAsia="id-ID"/>
              </w:rPr>
              <w:drawing>
                <wp:inline distT="0" distB="0" distL="0" distR="0" wp14:anchorId="4E0F54E9" wp14:editId="3D395812">
                  <wp:extent cx="932815" cy="887095"/>
                  <wp:effectExtent l="0" t="0" r="0" b="0"/>
                  <wp:docPr id="1872522138" name="Picture 1" descr="D:\2019 acer\GHSG\INDONESIAN JOURNAL OF GLOBAL HEALTH RESEARCH\ISSN IJGHR CETAK\logo IJGH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19 acer\GHSG\INDONESIAN JOURNAL OF GLOBAL HEALTH RESEARCH\ISSN IJGHR CETAK\logo IJGHR.jpeg"/>
                          <pic:cNvPicPr>
                            <a:picLocks noChangeAspect="1" noChangeArrowheads="1"/>
                          </pic:cNvPicPr>
                        </pic:nvPicPr>
                        <pic:blipFill>
                          <a:blip r:embed="rId7" cstate="print">
                            <a:extLst>
                              <a:ext uri="{28A0092B-C50C-407E-A947-70E740481C1C}">
                                <a14:useLocalDpi xmlns:a14="http://schemas.microsoft.com/office/drawing/2010/main" val="0"/>
                              </a:ext>
                            </a:extLst>
                          </a:blip>
                          <a:srcRect l="10631" t="9721" r="12331" b="17265"/>
                          <a:stretch>
                            <a:fillRect/>
                          </a:stretch>
                        </pic:blipFill>
                        <pic:spPr bwMode="auto">
                          <a:xfrm>
                            <a:off x="0" y="0"/>
                            <a:ext cx="932815" cy="887095"/>
                          </a:xfrm>
                          <a:prstGeom prst="rect">
                            <a:avLst/>
                          </a:prstGeom>
                          <a:noFill/>
                          <a:ln>
                            <a:noFill/>
                          </a:ln>
                        </pic:spPr>
                      </pic:pic>
                    </a:graphicData>
                  </a:graphic>
                </wp:inline>
              </w:drawing>
            </w:r>
          </w:p>
        </w:tc>
      </w:tr>
    </w:tbl>
    <w:p w14:paraId="51FEA2A5" w14:textId="77777777" w:rsidR="009A14BF" w:rsidRDefault="00000000">
      <w:pPr>
        <w:spacing w:after="0" w:line="240" w:lineRule="auto"/>
        <w:jc w:val="center"/>
      </w:pPr>
      <w:r>
        <w:rPr>
          <w:rFonts w:ascii="Times New Roman" w:eastAsia="Times New Roman" w:hAnsi="Times New Roman"/>
          <w:b/>
          <w:sz w:val="24"/>
        </w:rPr>
        <w:t>SNACK CONSUMPTION PATTERNS AMONG RURAL AND URBAN ELEMENTARY STUDENTS IN LHOKSEUMAWE</w:t>
      </w:r>
    </w:p>
    <w:p w14:paraId="30B2743A" w14:textId="77777777" w:rsidR="009A14BF" w:rsidRDefault="00000000">
      <w:pPr>
        <w:spacing w:after="0" w:line="240" w:lineRule="auto"/>
        <w:jc w:val="center"/>
      </w:pPr>
      <w:r>
        <w:rPr>
          <w:rFonts w:ascii="Times New Roman" w:eastAsia="Times New Roman" w:hAnsi="Times New Roman"/>
          <w:sz w:val="24"/>
        </w:rPr>
        <w:t>Said Taufiq</w:t>
      </w:r>
      <w:r>
        <w:rPr>
          <w:rFonts w:ascii="Times New Roman" w:eastAsia="Times New Roman" w:hAnsi="Times New Roman"/>
          <w:sz w:val="24"/>
          <w:vertAlign w:val="superscript"/>
        </w:rPr>
        <w:t>1*</w:t>
      </w:r>
      <w:r>
        <w:rPr>
          <w:rFonts w:ascii="Times New Roman" w:eastAsia="Times New Roman" w:hAnsi="Times New Roman"/>
          <w:sz w:val="24"/>
        </w:rPr>
        <w:t>, Yusnidaryani</w:t>
      </w:r>
      <w:r>
        <w:rPr>
          <w:rFonts w:ascii="Times New Roman" w:eastAsia="Times New Roman" w:hAnsi="Times New Roman"/>
          <w:sz w:val="24"/>
          <w:vertAlign w:val="superscript"/>
        </w:rPr>
        <w:t>2</w:t>
      </w:r>
      <w:r>
        <w:rPr>
          <w:rFonts w:ascii="Times New Roman" w:eastAsia="Times New Roman" w:hAnsi="Times New Roman"/>
          <w:sz w:val="24"/>
        </w:rPr>
        <w:t>, M. Jamil Fauzi</w:t>
      </w:r>
      <w:r>
        <w:rPr>
          <w:rFonts w:ascii="Times New Roman" w:eastAsia="Times New Roman" w:hAnsi="Times New Roman"/>
          <w:sz w:val="24"/>
          <w:vertAlign w:val="superscript"/>
        </w:rPr>
        <w:t>3</w:t>
      </w:r>
    </w:p>
    <w:p w14:paraId="49219835" w14:textId="77777777" w:rsidR="009A14BF" w:rsidRDefault="00000000">
      <w:pPr>
        <w:spacing w:after="0" w:line="240" w:lineRule="auto"/>
        <w:jc w:val="center"/>
      </w:pPr>
      <w:r>
        <w:rPr>
          <w:rFonts w:ascii="Times New Roman" w:eastAsia="Times New Roman" w:hAnsi="Times New Roman"/>
          <w:sz w:val="24"/>
          <w:vertAlign w:val="superscript"/>
        </w:rPr>
        <w:t>1,2,3</w:t>
      </w:r>
      <w:r>
        <w:rPr>
          <w:rFonts w:ascii="Times New Roman" w:eastAsia="Times New Roman" w:hAnsi="Times New Roman"/>
          <w:sz w:val="24"/>
        </w:rPr>
        <w:t xml:space="preserve"> Poltekkes Kemenkes Aceh, Aceh, Indonesia</w:t>
      </w:r>
    </w:p>
    <w:p w14:paraId="28D8F981" w14:textId="31F8D51A" w:rsidR="009A14BF" w:rsidRDefault="00000000">
      <w:pPr>
        <w:spacing w:after="0" w:line="240" w:lineRule="auto"/>
        <w:jc w:val="center"/>
      </w:pPr>
      <w:r>
        <w:rPr>
          <w:rFonts w:ascii="Times New Roman" w:eastAsia="Times New Roman" w:hAnsi="Times New Roman"/>
          <w:sz w:val="24"/>
        </w:rPr>
        <w:t xml:space="preserve">Email: </w:t>
      </w:r>
      <w:hyperlink r:id="rId8" w:history="1">
        <w:r w:rsidR="00093DB4" w:rsidRPr="00080229">
          <w:rPr>
            <w:rStyle w:val="Hyperlink"/>
            <w:rFonts w:ascii="Times New Roman" w:eastAsia="Times New Roman" w:hAnsi="Times New Roman"/>
            <w:sz w:val="24"/>
          </w:rPr>
          <w:t>said.taufiq@poltekkesaceh.ac.id</w:t>
        </w:r>
      </w:hyperlink>
      <w:r w:rsidR="00093DB4">
        <w:rPr>
          <w:rFonts w:ascii="Times New Roman" w:eastAsia="Times New Roman" w:hAnsi="Times New Roman"/>
          <w:sz w:val="24"/>
        </w:rPr>
        <w:t xml:space="preserve"> </w:t>
      </w:r>
      <w:r>
        <w:rPr>
          <w:rFonts w:ascii="Times New Roman" w:eastAsia="Times New Roman" w:hAnsi="Times New Roman"/>
          <w:sz w:val="24"/>
        </w:rPr>
        <w:t>(corresponding author)</w:t>
      </w:r>
    </w:p>
    <w:p w14:paraId="26E891F2" w14:textId="77777777" w:rsidR="009A14BF" w:rsidRDefault="00000000">
      <w:pPr>
        <w:spacing w:after="0" w:line="240" w:lineRule="auto"/>
        <w:jc w:val="center"/>
      </w:pPr>
      <w:r>
        <w:rPr>
          <w:rFonts w:ascii="Times New Roman" w:eastAsia="Times New Roman" w:hAnsi="Times New Roman"/>
          <w:b/>
          <w:sz w:val="24"/>
        </w:rPr>
        <w:t>ABSTRACT</w:t>
      </w:r>
    </w:p>
    <w:p w14:paraId="4333C0B6" w14:textId="77777777" w:rsidR="009A14BF" w:rsidRDefault="00000000">
      <w:pPr>
        <w:spacing w:after="0" w:line="240" w:lineRule="auto"/>
        <w:jc w:val="both"/>
      </w:pPr>
      <w:r>
        <w:rPr>
          <w:rFonts w:ascii="Times New Roman" w:eastAsia="Times New Roman" w:hAnsi="Times New Roman"/>
          <w:sz w:val="24"/>
        </w:rPr>
        <w:t>Background: Snack consumption is common among elementary school children and may either support nutrient intake or increase exposure to foods high in sugar, salt, and fat. Objective: This study compared snack consumption behaviour among elementary school children in rural and urban areas of Lhokseumawe and analysed its association with snacking motivation, snack characteristics, social environment, and snack availability. Method: An observational analytic cross-sectional study was conducted among 141 fourth- and fifth-grade students selected by simple random sampling from SDN 1 Blang Mangat and SDN 1 Banda Sakti. Data were collected using a structured questionnaire that had undergone validity and reliability testing and were analysed using chi-square or Fisher exact tests, odds ratios, and 95% confidence intervals. Result: Poor snack consumption behaviour was more common among rural students (52.8%), whereas good behaviour was more common among urban students (56.5%). In rural areas, no studied variable was significantly associated with snack consumption behaviour. In urban areas, motivation, snack characteristics, social environment, and snack availability were all significantly associated with snack consumption behaviour. Conclusion: Snack consumption behaviour differed between rural and urban students, indicating that school nutrition promotion should be adapted to local food environments.</w:t>
      </w:r>
    </w:p>
    <w:p w14:paraId="3374F11E" w14:textId="77777777" w:rsidR="009A14BF" w:rsidRDefault="00000000">
      <w:pPr>
        <w:spacing w:after="0" w:line="240" w:lineRule="auto"/>
      </w:pPr>
      <w:r>
        <w:rPr>
          <w:rFonts w:ascii="Times New Roman" w:eastAsia="Times New Roman" w:hAnsi="Times New Roman"/>
          <w:sz w:val="24"/>
        </w:rPr>
        <w:t>Keywords: child health, food environment, rural, school health, snacking, urban</w:t>
      </w:r>
    </w:p>
    <w:p w14:paraId="2852CE10" w14:textId="77777777" w:rsidR="009A14BF" w:rsidRDefault="00000000">
      <w:pPr>
        <w:spacing w:before="120" w:after="0" w:line="240" w:lineRule="auto"/>
      </w:pPr>
      <w:r>
        <w:rPr>
          <w:rFonts w:ascii="Times New Roman" w:eastAsia="Times New Roman" w:hAnsi="Times New Roman"/>
          <w:b/>
          <w:sz w:val="24"/>
        </w:rPr>
        <w:t>Introduction</w:t>
      </w:r>
    </w:p>
    <w:p w14:paraId="0BB7FE34" w14:textId="77777777" w:rsidR="009A14BF" w:rsidRDefault="00000000">
      <w:pPr>
        <w:spacing w:after="0" w:line="240" w:lineRule="auto"/>
        <w:ind w:firstLine="283"/>
        <w:jc w:val="both"/>
      </w:pPr>
      <w:r>
        <w:rPr>
          <w:rFonts w:ascii="Times New Roman" w:eastAsia="Times New Roman" w:hAnsi="Times New Roman"/>
          <w:sz w:val="24"/>
        </w:rPr>
        <w:t>Snack consumption is a routine part of the daily diet of school-aged children. It may contribute to energy and nutrient intake when available foods are safe and nutritionally adequate, but it may also increase exposure to foods and beverages high in sugar, salt, and fat. This issue is important because elementary school children are in a period of growth and habit formation while beginning to have more autonomy in choosing food. Recent studies show that children's snack behaviour is shaped by school food availability, snack safety, breakfast and snack regularity, and multidimensional snack preferences such as taste, nutrient claims, purchase location, and social influence (Alcaire et al., 2021; Hosseinzadegan et al., 2023; Khomsan et al., 2023; Li et al., 2026).</w:t>
      </w:r>
    </w:p>
    <w:p w14:paraId="2C9FC1D2" w14:textId="77777777" w:rsidR="009A14BF" w:rsidRDefault="00000000">
      <w:pPr>
        <w:spacing w:after="0" w:line="240" w:lineRule="auto"/>
        <w:ind w:firstLine="283"/>
        <w:jc w:val="both"/>
      </w:pPr>
      <w:r>
        <w:rPr>
          <w:rFonts w:ascii="Times New Roman" w:eastAsia="Times New Roman" w:hAnsi="Times New Roman"/>
          <w:sz w:val="24"/>
        </w:rPr>
        <w:t>Children's snack choices are not only individual decisions. Children may buy snacks because they are hungry, attracted by taste, colour, texture, packaging, or character-based marketing, influenced by friends, or because food is affordable and easy to obtain near school. Recent evidence on children's food packaging and ultra-processed snack marketing shows that visual and marketing elements on packages can shape children's preferences and food choices, while Indonesian experimental evidence demonstrates that peer influence may strongly affect children's snack choice (Arraztio-Cordoba et al., 2022; Mecheva et al., 2021; Sato et al., 2022).</w:t>
      </w:r>
    </w:p>
    <w:p w14:paraId="07DB6039" w14:textId="77777777" w:rsidR="009A14BF" w:rsidRDefault="00000000">
      <w:pPr>
        <w:spacing w:after="0" w:line="240" w:lineRule="auto"/>
        <w:ind w:firstLine="283"/>
        <w:jc w:val="both"/>
      </w:pPr>
      <w:r>
        <w:rPr>
          <w:rFonts w:ascii="Times New Roman" w:eastAsia="Times New Roman" w:hAnsi="Times New Roman"/>
          <w:sz w:val="24"/>
        </w:rPr>
        <w:t xml:space="preserve">Rural and urban settings may create different snack consumption patterns, but this comparison must be interpreted carefully because local school conditions, family socioeconomic characteristics, and food access can overlap with area classification. Urban environments generally </w:t>
      </w:r>
      <w:r>
        <w:rPr>
          <w:rFonts w:ascii="Times New Roman" w:eastAsia="Times New Roman" w:hAnsi="Times New Roman"/>
          <w:sz w:val="24"/>
        </w:rPr>
        <w:lastRenderedPageBreak/>
        <w:t>provide wider access to packaged foods, sugar-sweetened beverages, fast food, small shops, and vendors, whereas rural settings may have more limited food options and stronger household routines. Studies on school food environments in Indonesia, Kenya, Tanzania, and Nigeria indicate that food availability in and around schools, vendor practices, canteen management, and neighbourhood food outlets can influence children's food access and consumption patterns (Gewa et al., 2021; Hadi et al., 2022; Makori et al., 2025; Otinwa et al., 2023).</w:t>
      </w:r>
    </w:p>
    <w:p w14:paraId="06071066" w14:textId="77777777" w:rsidR="009A14BF" w:rsidRDefault="00000000">
      <w:pPr>
        <w:spacing w:after="0" w:line="240" w:lineRule="auto"/>
        <w:ind w:firstLine="283"/>
        <w:jc w:val="both"/>
      </w:pPr>
      <w:r>
        <w:rPr>
          <w:rFonts w:ascii="Times New Roman" w:eastAsia="Times New Roman" w:hAnsi="Times New Roman"/>
          <w:sz w:val="24"/>
        </w:rPr>
        <w:t>Snack consumption behaviour is influenced by biological, psychological, social, and environmental factors. Biologically, children may buy snacks because they need energy between main meals. Psychologically, they often choose foods based on sweet taste, colour, aroma, texture, packaging, and pleasure. Socially, children may imitate friends or follow group norms. Environmentally, children are more likely to choose foods that are visible, available, affordable, and easy to access. Recent studies of snack preferences, packaging elements, peer influence, and school food environments support the need to analyse individual motivation together with the surrounding food environment (Arraztio-Cordoba et al., 2022; Li et al., 2026; Makori et al., 2025; Mecheva et al., 2021; Sato et al., 2022).</w:t>
      </w:r>
    </w:p>
    <w:p w14:paraId="580CDA8A" w14:textId="77777777" w:rsidR="009A14BF" w:rsidRDefault="00000000">
      <w:pPr>
        <w:spacing w:after="0" w:line="240" w:lineRule="auto"/>
        <w:ind w:firstLine="283"/>
        <w:jc w:val="both"/>
      </w:pPr>
      <w:r>
        <w:rPr>
          <w:rFonts w:ascii="Times New Roman" w:eastAsia="Times New Roman" w:hAnsi="Times New Roman"/>
          <w:sz w:val="24"/>
        </w:rPr>
        <w:t>The social environment also plays an important role. Families influence food choice through meal preparation, pocket money, breakfast habits, and supervision. Peers influence children through imitation, sharing food, and group purchasing behaviour. Teachers, schools, and vendors influence children through canteen rules, nutrition education, and the types of foods available during school time. Recent studies from Indonesia, Ghana, and Thailand describe the roles of peers, parents, teachers, school vendors, and school-based health promotion in shaping children's snack-related decisions (Mecheva et al., 2021; Nguyen et al., 2026; Pudsa et al., 2026; Tandoh et al., 2025).</w:t>
      </w:r>
    </w:p>
    <w:p w14:paraId="0028D6E6" w14:textId="77777777" w:rsidR="009A14BF" w:rsidRDefault="00000000">
      <w:pPr>
        <w:spacing w:after="0" w:line="240" w:lineRule="auto"/>
        <w:ind w:firstLine="283"/>
        <w:jc w:val="both"/>
      </w:pPr>
      <w:r>
        <w:rPr>
          <w:rFonts w:ascii="Times New Roman" w:eastAsia="Times New Roman" w:hAnsi="Times New Roman"/>
          <w:sz w:val="24"/>
        </w:rPr>
        <w:t>Lhokseumawe City has areas with rural and urban characteristics, making it possible to examine whether elementary school children's snack consumption behaviour differs by setting. This information is useful for schools, health centres, education offices, and parents because snack-related interventions cannot always be implemented uniformly. Evidence from nutrition policy reviews and school-based interventions indicates that education is more effective when accompanied by supportive canteen management, healthier food availability, and school food environment improvements (Cohen, Hecht, Hager, et al., 2021; Grigsby-Duffy et al., 2022; Teo et al., 2021). This study aimed to compare snack consumption behaviour among elementary school children in rural and urban areas of Lhokseumawe and to analyse the association of snacking motivation, snack characteristics, social environment, and snack availability with snack consumption behaviour in each setting.</w:t>
      </w:r>
    </w:p>
    <w:p w14:paraId="39C8E536" w14:textId="77777777" w:rsidR="009A14BF" w:rsidRDefault="00000000">
      <w:pPr>
        <w:spacing w:before="120" w:after="0" w:line="240" w:lineRule="auto"/>
      </w:pPr>
      <w:r>
        <w:rPr>
          <w:rFonts w:ascii="Times New Roman" w:eastAsia="Times New Roman" w:hAnsi="Times New Roman"/>
          <w:b/>
          <w:sz w:val="24"/>
        </w:rPr>
        <w:t>Method</w:t>
      </w:r>
    </w:p>
    <w:p w14:paraId="6B0E102C" w14:textId="77777777" w:rsidR="009A14BF" w:rsidRDefault="00000000">
      <w:pPr>
        <w:spacing w:after="0" w:line="240" w:lineRule="auto"/>
        <w:ind w:firstLine="283"/>
        <w:jc w:val="both"/>
      </w:pPr>
      <w:r>
        <w:rPr>
          <w:rFonts w:ascii="Times New Roman" w:eastAsia="Times New Roman" w:hAnsi="Times New Roman"/>
          <w:sz w:val="24"/>
        </w:rPr>
        <w:t>This observational analytic study used a cross-sectional design. The study compared snack consumption behaviour among elementary school children in rural and urban areas of Lhokseumawe City, Aceh Province. The rural area was represented by Blang Mangat District and the urban area was represented by Banda Sakti District. The study was conducted from January to June 2026 at SDN 1 Blang Mangat in Gampong Keude Punteuet and SDN 1 Banda Sakti in Gampong Jawa Lama.</w:t>
      </w:r>
    </w:p>
    <w:p w14:paraId="158F621F" w14:textId="77777777" w:rsidR="009A14BF" w:rsidRDefault="00000000">
      <w:pPr>
        <w:spacing w:after="0" w:line="240" w:lineRule="auto"/>
        <w:ind w:firstLine="283"/>
        <w:jc w:val="both"/>
      </w:pPr>
      <w:r>
        <w:rPr>
          <w:rFonts w:ascii="Times New Roman" w:eastAsia="Times New Roman" w:hAnsi="Times New Roman"/>
          <w:sz w:val="24"/>
        </w:rPr>
        <w:t xml:space="preserve">The study population consisted of fourth- and fifth-grade students who were considered able to communicate and complete the questionnaire. The sample size was determined by considering the population of both schools using the Slovin formula at a 95% confidence level. The population of SDN 1 Banda Sakti was 83 students, and 69 students were selected. The population of SDN 1 Blang Mangat was 88 students, and 72 students were selected. Therefore, the total sample was 141 </w:t>
      </w:r>
      <w:r>
        <w:rPr>
          <w:rFonts w:ascii="Times New Roman" w:eastAsia="Times New Roman" w:hAnsi="Times New Roman"/>
          <w:sz w:val="24"/>
        </w:rPr>
        <w:lastRenderedPageBreak/>
        <w:t>students. The samples were selected using simple random sampling from grades IV and V in each school.</w:t>
      </w:r>
    </w:p>
    <w:p w14:paraId="38B3F5BC" w14:textId="77777777" w:rsidR="009A14BF" w:rsidRDefault="00000000">
      <w:pPr>
        <w:spacing w:after="0" w:line="240" w:lineRule="auto"/>
        <w:ind w:firstLine="283"/>
        <w:jc w:val="both"/>
      </w:pPr>
      <w:r>
        <w:rPr>
          <w:rFonts w:ascii="Times New Roman" w:eastAsia="Times New Roman" w:hAnsi="Times New Roman"/>
          <w:sz w:val="24"/>
        </w:rPr>
        <w:t>The dependent variable was snack consumption behaviour, which included the type, frequency, and timing of snack consumption. The independent variables were snacking motivation, snack characteristics, social environment, and snack availability. Data were collected using a structured questionnaire developed for the study variables. The questionnaire covered respondent characteristics, snack consumption behaviour, snacking motivation, snack characteristics, social environment, and snack availability. Content validity was reviewed before field use, and item validity and internal consistency reliability were tested before the final questionnaire was used for data collection. Variable scores were grouped into good or poor behaviour, strong or weak motivation, healthy or unhealthy snack characteristics, supportive or not supportive social environment, and healthy or unhealthy snack availability according to the scoring results of the instrument.</w:t>
      </w:r>
    </w:p>
    <w:p w14:paraId="6AE70928" w14:textId="77777777" w:rsidR="009A14BF" w:rsidRDefault="00000000">
      <w:pPr>
        <w:spacing w:after="0" w:line="240" w:lineRule="auto"/>
        <w:ind w:firstLine="283"/>
        <w:jc w:val="both"/>
      </w:pPr>
      <w:r>
        <w:rPr>
          <w:rFonts w:ascii="Times New Roman" w:eastAsia="Times New Roman" w:hAnsi="Times New Roman"/>
          <w:sz w:val="24"/>
        </w:rPr>
        <w:t>Ethical approval was obtained from the Research Ethics Committee of the Health Polytechnic of the Ministry of Health, Aceh (Komisi Etik Penelitian Kesehatan Poltekkes Kemenkes Aceh) with approval number DP.04.03/12.7/246/2026. Because the respondents were elementary school children, parental or guardian consent and school permission were obtained before data collection.</w:t>
      </w:r>
    </w:p>
    <w:p w14:paraId="3C5737E5" w14:textId="77777777" w:rsidR="009A14BF" w:rsidRDefault="00000000">
      <w:pPr>
        <w:spacing w:after="0" w:line="240" w:lineRule="auto"/>
        <w:ind w:firstLine="283"/>
        <w:jc w:val="both"/>
      </w:pPr>
      <w:r>
        <w:rPr>
          <w:rFonts w:ascii="Times New Roman" w:eastAsia="Times New Roman" w:hAnsi="Times New Roman"/>
          <w:sz w:val="24"/>
        </w:rPr>
        <w:t>Data were analysed descriptively and analytically. Univariate analysis was used to describe respondent characteristics and the distribution of study variables. Bivariate analysis was conducted using the chi-square test or Fisher exact test when appropriate. The level of significance was set at 5% with a 95% confidence interval. Odds ratios were calculated to estimate the strength of association between each independent variable and snack consumption behaviour. Because this study used one school to represent each area and analysed associations separately by area, the findings were interpreted as setting-specific exploratory patterns rather than as a formal test of rural-urban effect modification.</w:t>
      </w:r>
    </w:p>
    <w:p w14:paraId="79082979" w14:textId="77777777" w:rsidR="009A14BF" w:rsidRDefault="00000000">
      <w:pPr>
        <w:spacing w:before="120" w:after="0" w:line="240" w:lineRule="auto"/>
      </w:pPr>
      <w:r>
        <w:rPr>
          <w:rFonts w:ascii="Times New Roman" w:eastAsia="Times New Roman" w:hAnsi="Times New Roman"/>
          <w:b/>
          <w:sz w:val="24"/>
        </w:rPr>
        <w:t>Result</w:t>
      </w:r>
    </w:p>
    <w:p w14:paraId="492C0CA1" w14:textId="77777777" w:rsidR="009A14BF" w:rsidRDefault="00000000">
      <w:pPr>
        <w:spacing w:after="0" w:line="240" w:lineRule="auto"/>
        <w:ind w:firstLine="283"/>
        <w:jc w:val="both"/>
      </w:pPr>
      <w:r>
        <w:rPr>
          <w:rFonts w:ascii="Times New Roman" w:eastAsia="Times New Roman" w:hAnsi="Times New Roman"/>
          <w:sz w:val="24"/>
        </w:rPr>
        <w:t>A total of 141 elementary school students participated in this study, consisting of 72 students from the rural school and 69 students from the urban school. Respondent characteristics are presented in Table 1. Most rural students were 11 years old (48.6%), male (51.4%), and in grade IV (54.2%). In the urban school, most students were 11 years old (43.5%), female (56.5%), and in grade IV (58.0%). Parental socioeconomic characteristics differed between settings, with higher proportions of higher family income and civil servant, military, or police parental occupation in the urban group.</w:t>
      </w:r>
    </w:p>
    <w:p w14:paraId="491EC294" w14:textId="77777777" w:rsidR="00093DB4" w:rsidRDefault="00000000" w:rsidP="00093DB4">
      <w:pPr>
        <w:spacing w:before="120" w:after="0" w:line="240" w:lineRule="auto"/>
        <w:jc w:val="center"/>
        <w:rPr>
          <w:rFonts w:ascii="Times New Roman" w:eastAsia="Times New Roman" w:hAnsi="Times New Roman"/>
          <w:sz w:val="24"/>
          <w:szCs w:val="24"/>
        </w:rPr>
      </w:pPr>
      <w:r w:rsidRPr="00093DB4">
        <w:rPr>
          <w:rFonts w:ascii="Times New Roman" w:eastAsia="Times New Roman" w:hAnsi="Times New Roman"/>
          <w:sz w:val="24"/>
          <w:szCs w:val="24"/>
        </w:rPr>
        <w:t xml:space="preserve">Table 1. </w:t>
      </w:r>
    </w:p>
    <w:p w14:paraId="39ED5820" w14:textId="32142010"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Respondent characteristics by study area</w:t>
      </w:r>
    </w:p>
    <w:tbl>
      <w:tblPr>
        <w:tblW w:w="0" w:type="auto"/>
        <w:jc w:val="center"/>
        <w:tblLook w:val="04A0" w:firstRow="1" w:lastRow="0" w:firstColumn="1" w:lastColumn="0" w:noHBand="0" w:noVBand="1"/>
      </w:tblPr>
      <w:tblGrid>
        <w:gridCol w:w="2390"/>
        <w:gridCol w:w="1748"/>
        <w:gridCol w:w="1748"/>
        <w:gridCol w:w="1760"/>
        <w:gridCol w:w="1760"/>
      </w:tblGrid>
      <w:tr w:rsidR="009A14BF" w:rsidRPr="00093DB4" w14:paraId="7DBABA27" w14:textId="77777777" w:rsidTr="00093DB4">
        <w:trPr>
          <w:tblHeader/>
          <w:jc w:val="center"/>
        </w:trPr>
        <w:tc>
          <w:tcPr>
            <w:tcW w:w="1960" w:type="dxa"/>
            <w:tcBorders>
              <w:top w:val="single" w:sz="4" w:space="0" w:color="000000"/>
              <w:left w:val="nil"/>
              <w:bottom w:val="single" w:sz="4" w:space="0" w:color="000000"/>
              <w:right w:val="nil"/>
            </w:tcBorders>
            <w:vAlign w:val="center"/>
          </w:tcPr>
          <w:p w14:paraId="615AA315"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Characteristic</w:t>
            </w:r>
          </w:p>
        </w:tc>
        <w:tc>
          <w:tcPr>
            <w:tcW w:w="1960" w:type="dxa"/>
            <w:tcBorders>
              <w:top w:val="single" w:sz="4" w:space="0" w:color="000000"/>
              <w:left w:val="nil"/>
              <w:bottom w:val="single" w:sz="4" w:space="0" w:color="000000"/>
              <w:right w:val="nil"/>
            </w:tcBorders>
            <w:vAlign w:val="center"/>
          </w:tcPr>
          <w:p w14:paraId="6D2F4633"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Rural n</w:t>
            </w:r>
          </w:p>
        </w:tc>
        <w:tc>
          <w:tcPr>
            <w:tcW w:w="1960" w:type="dxa"/>
            <w:tcBorders>
              <w:top w:val="single" w:sz="4" w:space="0" w:color="000000"/>
              <w:left w:val="nil"/>
              <w:bottom w:val="single" w:sz="4" w:space="0" w:color="000000"/>
              <w:right w:val="nil"/>
            </w:tcBorders>
            <w:vAlign w:val="center"/>
          </w:tcPr>
          <w:p w14:paraId="49A5101B"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Rural %</w:t>
            </w:r>
          </w:p>
        </w:tc>
        <w:tc>
          <w:tcPr>
            <w:tcW w:w="1960" w:type="dxa"/>
            <w:tcBorders>
              <w:top w:val="single" w:sz="4" w:space="0" w:color="000000"/>
              <w:left w:val="nil"/>
              <w:bottom w:val="single" w:sz="4" w:space="0" w:color="000000"/>
              <w:right w:val="nil"/>
            </w:tcBorders>
            <w:vAlign w:val="center"/>
          </w:tcPr>
          <w:p w14:paraId="5C67C621"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Urban n</w:t>
            </w:r>
          </w:p>
        </w:tc>
        <w:tc>
          <w:tcPr>
            <w:tcW w:w="1960" w:type="dxa"/>
            <w:tcBorders>
              <w:top w:val="single" w:sz="4" w:space="0" w:color="000000"/>
              <w:left w:val="nil"/>
              <w:bottom w:val="single" w:sz="4" w:space="0" w:color="000000"/>
              <w:right w:val="nil"/>
            </w:tcBorders>
            <w:vAlign w:val="center"/>
          </w:tcPr>
          <w:p w14:paraId="1428D687"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Urban %</w:t>
            </w:r>
          </w:p>
        </w:tc>
      </w:tr>
      <w:tr w:rsidR="009A14BF" w:rsidRPr="00093DB4" w14:paraId="405FDD8C" w14:textId="77777777" w:rsidTr="00093DB4">
        <w:trPr>
          <w:jc w:val="center"/>
        </w:trPr>
        <w:tc>
          <w:tcPr>
            <w:tcW w:w="1960" w:type="dxa"/>
            <w:tcBorders>
              <w:top w:val="single" w:sz="4" w:space="0" w:color="000000"/>
              <w:left w:val="nil"/>
              <w:bottom w:val="single" w:sz="4" w:space="0" w:color="000000"/>
              <w:right w:val="nil"/>
            </w:tcBorders>
            <w:vAlign w:val="center"/>
          </w:tcPr>
          <w:p w14:paraId="7F846473"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Age</w:t>
            </w:r>
          </w:p>
        </w:tc>
        <w:tc>
          <w:tcPr>
            <w:tcW w:w="1960" w:type="dxa"/>
            <w:tcBorders>
              <w:top w:val="single" w:sz="4" w:space="0" w:color="000000"/>
              <w:left w:val="nil"/>
              <w:bottom w:val="single" w:sz="4" w:space="0" w:color="000000"/>
              <w:right w:val="nil"/>
            </w:tcBorders>
            <w:vAlign w:val="center"/>
          </w:tcPr>
          <w:p w14:paraId="150E7A67" w14:textId="77777777" w:rsidR="009A14BF" w:rsidRPr="00093DB4" w:rsidRDefault="009A14B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677A872D" w14:textId="77777777" w:rsidR="009A14BF" w:rsidRPr="00093DB4" w:rsidRDefault="009A14B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62A0A74E" w14:textId="77777777" w:rsidR="009A14BF" w:rsidRPr="00093DB4" w:rsidRDefault="009A14B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483F52FF" w14:textId="77777777" w:rsidR="009A14BF" w:rsidRPr="00093DB4" w:rsidRDefault="009A14BF">
            <w:pPr>
              <w:spacing w:after="0" w:line="240" w:lineRule="auto"/>
              <w:rPr>
                <w:sz w:val="24"/>
                <w:szCs w:val="24"/>
              </w:rPr>
            </w:pPr>
          </w:p>
        </w:tc>
      </w:tr>
      <w:tr w:rsidR="009A14BF" w:rsidRPr="00093DB4" w14:paraId="4667447E" w14:textId="77777777" w:rsidTr="00093DB4">
        <w:trPr>
          <w:jc w:val="center"/>
        </w:trPr>
        <w:tc>
          <w:tcPr>
            <w:tcW w:w="1960" w:type="dxa"/>
            <w:tcBorders>
              <w:top w:val="single" w:sz="4" w:space="0" w:color="000000"/>
              <w:left w:val="nil"/>
              <w:bottom w:val="single" w:sz="4" w:space="0" w:color="000000"/>
              <w:right w:val="nil"/>
            </w:tcBorders>
            <w:vAlign w:val="center"/>
          </w:tcPr>
          <w:p w14:paraId="38C326B1"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9 years</w:t>
            </w:r>
          </w:p>
        </w:tc>
        <w:tc>
          <w:tcPr>
            <w:tcW w:w="1960" w:type="dxa"/>
            <w:tcBorders>
              <w:top w:val="single" w:sz="4" w:space="0" w:color="000000"/>
              <w:left w:val="nil"/>
              <w:bottom w:val="single" w:sz="4" w:space="0" w:color="000000"/>
              <w:right w:val="nil"/>
            </w:tcBorders>
            <w:vAlign w:val="center"/>
          </w:tcPr>
          <w:p w14:paraId="31B01E2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w:t>
            </w:r>
          </w:p>
        </w:tc>
        <w:tc>
          <w:tcPr>
            <w:tcW w:w="1960" w:type="dxa"/>
            <w:tcBorders>
              <w:top w:val="single" w:sz="4" w:space="0" w:color="000000"/>
              <w:left w:val="nil"/>
              <w:bottom w:val="single" w:sz="4" w:space="0" w:color="000000"/>
              <w:right w:val="nil"/>
            </w:tcBorders>
            <w:vAlign w:val="center"/>
          </w:tcPr>
          <w:p w14:paraId="4C82A84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1.4</w:t>
            </w:r>
          </w:p>
        </w:tc>
        <w:tc>
          <w:tcPr>
            <w:tcW w:w="1960" w:type="dxa"/>
            <w:tcBorders>
              <w:top w:val="single" w:sz="4" w:space="0" w:color="000000"/>
              <w:left w:val="nil"/>
              <w:bottom w:val="single" w:sz="4" w:space="0" w:color="000000"/>
              <w:right w:val="nil"/>
            </w:tcBorders>
            <w:vAlign w:val="center"/>
          </w:tcPr>
          <w:p w14:paraId="4B7F406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12</w:t>
            </w:r>
          </w:p>
        </w:tc>
        <w:tc>
          <w:tcPr>
            <w:tcW w:w="1960" w:type="dxa"/>
            <w:tcBorders>
              <w:top w:val="single" w:sz="4" w:space="0" w:color="000000"/>
              <w:left w:val="nil"/>
              <w:bottom w:val="single" w:sz="4" w:space="0" w:color="000000"/>
              <w:right w:val="nil"/>
            </w:tcBorders>
            <w:vAlign w:val="center"/>
          </w:tcPr>
          <w:p w14:paraId="6BD7871D"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17.4</w:t>
            </w:r>
          </w:p>
        </w:tc>
      </w:tr>
      <w:tr w:rsidR="009A14BF" w:rsidRPr="00093DB4" w14:paraId="4C96D7B1" w14:textId="77777777" w:rsidTr="00093DB4">
        <w:trPr>
          <w:jc w:val="center"/>
        </w:trPr>
        <w:tc>
          <w:tcPr>
            <w:tcW w:w="1960" w:type="dxa"/>
            <w:tcBorders>
              <w:top w:val="single" w:sz="4" w:space="0" w:color="000000"/>
              <w:left w:val="nil"/>
              <w:bottom w:val="single" w:sz="4" w:space="0" w:color="000000"/>
              <w:right w:val="nil"/>
            </w:tcBorders>
            <w:vAlign w:val="center"/>
          </w:tcPr>
          <w:p w14:paraId="02BB716A"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10 years</w:t>
            </w:r>
          </w:p>
        </w:tc>
        <w:tc>
          <w:tcPr>
            <w:tcW w:w="1960" w:type="dxa"/>
            <w:tcBorders>
              <w:top w:val="single" w:sz="4" w:space="0" w:color="000000"/>
              <w:left w:val="nil"/>
              <w:bottom w:val="single" w:sz="4" w:space="0" w:color="000000"/>
              <w:right w:val="nil"/>
            </w:tcBorders>
            <w:vAlign w:val="center"/>
          </w:tcPr>
          <w:p w14:paraId="6BFAA89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31</w:t>
            </w:r>
          </w:p>
        </w:tc>
        <w:tc>
          <w:tcPr>
            <w:tcW w:w="1960" w:type="dxa"/>
            <w:tcBorders>
              <w:top w:val="single" w:sz="4" w:space="0" w:color="000000"/>
              <w:left w:val="nil"/>
              <w:bottom w:val="single" w:sz="4" w:space="0" w:color="000000"/>
              <w:right w:val="nil"/>
            </w:tcBorders>
            <w:vAlign w:val="center"/>
          </w:tcPr>
          <w:p w14:paraId="0A23058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43.1</w:t>
            </w:r>
          </w:p>
        </w:tc>
        <w:tc>
          <w:tcPr>
            <w:tcW w:w="1960" w:type="dxa"/>
            <w:tcBorders>
              <w:top w:val="single" w:sz="4" w:space="0" w:color="000000"/>
              <w:left w:val="nil"/>
              <w:bottom w:val="single" w:sz="4" w:space="0" w:color="000000"/>
              <w:right w:val="nil"/>
            </w:tcBorders>
            <w:vAlign w:val="center"/>
          </w:tcPr>
          <w:p w14:paraId="7C97AD8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61E9420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36.2</w:t>
            </w:r>
          </w:p>
        </w:tc>
      </w:tr>
      <w:tr w:rsidR="009A14BF" w:rsidRPr="00093DB4" w14:paraId="22617FE7" w14:textId="77777777" w:rsidTr="00093DB4">
        <w:trPr>
          <w:jc w:val="center"/>
        </w:trPr>
        <w:tc>
          <w:tcPr>
            <w:tcW w:w="1960" w:type="dxa"/>
            <w:tcBorders>
              <w:top w:val="single" w:sz="4" w:space="0" w:color="000000"/>
              <w:left w:val="nil"/>
              <w:bottom w:val="single" w:sz="4" w:space="0" w:color="000000"/>
              <w:right w:val="nil"/>
            </w:tcBorders>
            <w:vAlign w:val="center"/>
          </w:tcPr>
          <w:p w14:paraId="51DD7046"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11 years</w:t>
            </w:r>
          </w:p>
        </w:tc>
        <w:tc>
          <w:tcPr>
            <w:tcW w:w="1960" w:type="dxa"/>
            <w:tcBorders>
              <w:top w:val="single" w:sz="4" w:space="0" w:color="000000"/>
              <w:left w:val="nil"/>
              <w:bottom w:val="single" w:sz="4" w:space="0" w:color="000000"/>
              <w:right w:val="nil"/>
            </w:tcBorders>
            <w:vAlign w:val="center"/>
          </w:tcPr>
          <w:p w14:paraId="37291881"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35</w:t>
            </w:r>
          </w:p>
        </w:tc>
        <w:tc>
          <w:tcPr>
            <w:tcW w:w="1960" w:type="dxa"/>
            <w:tcBorders>
              <w:top w:val="single" w:sz="4" w:space="0" w:color="000000"/>
              <w:left w:val="nil"/>
              <w:bottom w:val="single" w:sz="4" w:space="0" w:color="000000"/>
              <w:right w:val="nil"/>
            </w:tcBorders>
            <w:vAlign w:val="center"/>
          </w:tcPr>
          <w:p w14:paraId="3E9DD5F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48.6</w:t>
            </w:r>
          </w:p>
        </w:tc>
        <w:tc>
          <w:tcPr>
            <w:tcW w:w="1960" w:type="dxa"/>
            <w:tcBorders>
              <w:top w:val="single" w:sz="4" w:space="0" w:color="000000"/>
              <w:left w:val="nil"/>
              <w:bottom w:val="single" w:sz="4" w:space="0" w:color="000000"/>
              <w:right w:val="nil"/>
            </w:tcBorders>
            <w:vAlign w:val="center"/>
          </w:tcPr>
          <w:p w14:paraId="482755E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30</w:t>
            </w:r>
          </w:p>
        </w:tc>
        <w:tc>
          <w:tcPr>
            <w:tcW w:w="1960" w:type="dxa"/>
            <w:tcBorders>
              <w:top w:val="single" w:sz="4" w:space="0" w:color="000000"/>
              <w:left w:val="nil"/>
              <w:bottom w:val="single" w:sz="4" w:space="0" w:color="000000"/>
              <w:right w:val="nil"/>
            </w:tcBorders>
            <w:vAlign w:val="center"/>
          </w:tcPr>
          <w:p w14:paraId="2817569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43.5</w:t>
            </w:r>
          </w:p>
        </w:tc>
      </w:tr>
      <w:tr w:rsidR="009A14BF" w:rsidRPr="00093DB4" w14:paraId="4A77BC8D" w14:textId="77777777" w:rsidTr="00093DB4">
        <w:trPr>
          <w:jc w:val="center"/>
        </w:trPr>
        <w:tc>
          <w:tcPr>
            <w:tcW w:w="1960" w:type="dxa"/>
            <w:tcBorders>
              <w:top w:val="single" w:sz="4" w:space="0" w:color="000000"/>
              <w:left w:val="nil"/>
              <w:bottom w:val="single" w:sz="4" w:space="0" w:color="000000"/>
              <w:right w:val="nil"/>
            </w:tcBorders>
            <w:vAlign w:val="center"/>
          </w:tcPr>
          <w:p w14:paraId="1174785E"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12 years</w:t>
            </w:r>
          </w:p>
        </w:tc>
        <w:tc>
          <w:tcPr>
            <w:tcW w:w="1960" w:type="dxa"/>
            <w:tcBorders>
              <w:top w:val="single" w:sz="4" w:space="0" w:color="000000"/>
              <w:left w:val="nil"/>
              <w:bottom w:val="single" w:sz="4" w:space="0" w:color="000000"/>
              <w:right w:val="nil"/>
            </w:tcBorders>
            <w:vAlign w:val="center"/>
          </w:tcPr>
          <w:p w14:paraId="3C3A718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w:t>
            </w:r>
          </w:p>
        </w:tc>
        <w:tc>
          <w:tcPr>
            <w:tcW w:w="1960" w:type="dxa"/>
            <w:tcBorders>
              <w:top w:val="single" w:sz="4" w:space="0" w:color="000000"/>
              <w:left w:val="nil"/>
              <w:bottom w:val="single" w:sz="4" w:space="0" w:color="000000"/>
              <w:right w:val="nil"/>
            </w:tcBorders>
            <w:vAlign w:val="center"/>
          </w:tcPr>
          <w:p w14:paraId="29216D6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6.9</w:t>
            </w:r>
          </w:p>
        </w:tc>
        <w:tc>
          <w:tcPr>
            <w:tcW w:w="1960" w:type="dxa"/>
            <w:tcBorders>
              <w:top w:val="single" w:sz="4" w:space="0" w:color="000000"/>
              <w:left w:val="nil"/>
              <w:bottom w:val="single" w:sz="4" w:space="0" w:color="000000"/>
              <w:right w:val="nil"/>
            </w:tcBorders>
            <w:vAlign w:val="center"/>
          </w:tcPr>
          <w:p w14:paraId="026E045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w:t>
            </w:r>
          </w:p>
        </w:tc>
        <w:tc>
          <w:tcPr>
            <w:tcW w:w="1960" w:type="dxa"/>
            <w:tcBorders>
              <w:top w:val="single" w:sz="4" w:space="0" w:color="000000"/>
              <w:left w:val="nil"/>
              <w:bottom w:val="single" w:sz="4" w:space="0" w:color="000000"/>
              <w:right w:val="nil"/>
            </w:tcBorders>
            <w:vAlign w:val="center"/>
          </w:tcPr>
          <w:p w14:paraId="51A88EB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2.9</w:t>
            </w:r>
          </w:p>
        </w:tc>
      </w:tr>
      <w:tr w:rsidR="009A14BF" w:rsidRPr="00093DB4" w14:paraId="1B68270C" w14:textId="77777777" w:rsidTr="00093DB4">
        <w:trPr>
          <w:jc w:val="center"/>
        </w:trPr>
        <w:tc>
          <w:tcPr>
            <w:tcW w:w="1960" w:type="dxa"/>
            <w:tcBorders>
              <w:top w:val="single" w:sz="4" w:space="0" w:color="000000"/>
              <w:left w:val="nil"/>
              <w:bottom w:val="single" w:sz="4" w:space="0" w:color="000000"/>
              <w:right w:val="nil"/>
            </w:tcBorders>
            <w:vAlign w:val="center"/>
          </w:tcPr>
          <w:p w14:paraId="6E89554C"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Gender</w:t>
            </w:r>
          </w:p>
        </w:tc>
        <w:tc>
          <w:tcPr>
            <w:tcW w:w="1960" w:type="dxa"/>
            <w:tcBorders>
              <w:top w:val="single" w:sz="4" w:space="0" w:color="000000"/>
              <w:left w:val="nil"/>
              <w:bottom w:val="single" w:sz="4" w:space="0" w:color="000000"/>
              <w:right w:val="nil"/>
            </w:tcBorders>
            <w:vAlign w:val="center"/>
          </w:tcPr>
          <w:p w14:paraId="259A29EA"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2646BFAA"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0333A571"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6F5E9ADE" w14:textId="77777777" w:rsidR="009A14BF" w:rsidRPr="00093DB4" w:rsidRDefault="009A14BF" w:rsidP="00093DB4">
            <w:pPr>
              <w:spacing w:after="0" w:line="240" w:lineRule="auto"/>
              <w:jc w:val="center"/>
              <w:rPr>
                <w:sz w:val="24"/>
                <w:szCs w:val="24"/>
              </w:rPr>
            </w:pPr>
          </w:p>
        </w:tc>
      </w:tr>
      <w:tr w:rsidR="009A14BF" w:rsidRPr="00093DB4" w14:paraId="65C1A220" w14:textId="77777777" w:rsidTr="00093DB4">
        <w:trPr>
          <w:jc w:val="center"/>
        </w:trPr>
        <w:tc>
          <w:tcPr>
            <w:tcW w:w="1960" w:type="dxa"/>
            <w:tcBorders>
              <w:top w:val="single" w:sz="4" w:space="0" w:color="000000"/>
              <w:left w:val="nil"/>
              <w:bottom w:val="single" w:sz="4" w:space="0" w:color="000000"/>
              <w:right w:val="nil"/>
            </w:tcBorders>
            <w:vAlign w:val="center"/>
          </w:tcPr>
          <w:p w14:paraId="05AEAD3D"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Male</w:t>
            </w:r>
          </w:p>
        </w:tc>
        <w:tc>
          <w:tcPr>
            <w:tcW w:w="1960" w:type="dxa"/>
            <w:tcBorders>
              <w:top w:val="single" w:sz="4" w:space="0" w:color="000000"/>
              <w:left w:val="nil"/>
              <w:bottom w:val="single" w:sz="4" w:space="0" w:color="000000"/>
              <w:right w:val="nil"/>
            </w:tcBorders>
            <w:vAlign w:val="center"/>
          </w:tcPr>
          <w:p w14:paraId="1938A14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37</w:t>
            </w:r>
          </w:p>
        </w:tc>
        <w:tc>
          <w:tcPr>
            <w:tcW w:w="1960" w:type="dxa"/>
            <w:tcBorders>
              <w:top w:val="single" w:sz="4" w:space="0" w:color="000000"/>
              <w:left w:val="nil"/>
              <w:bottom w:val="single" w:sz="4" w:space="0" w:color="000000"/>
              <w:right w:val="nil"/>
            </w:tcBorders>
            <w:vAlign w:val="center"/>
          </w:tcPr>
          <w:p w14:paraId="2C8FE96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51.4</w:t>
            </w:r>
          </w:p>
        </w:tc>
        <w:tc>
          <w:tcPr>
            <w:tcW w:w="1960" w:type="dxa"/>
            <w:tcBorders>
              <w:top w:val="single" w:sz="4" w:space="0" w:color="000000"/>
              <w:left w:val="nil"/>
              <w:bottom w:val="single" w:sz="4" w:space="0" w:color="000000"/>
              <w:right w:val="nil"/>
            </w:tcBorders>
            <w:vAlign w:val="center"/>
          </w:tcPr>
          <w:p w14:paraId="27F9C84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30</w:t>
            </w:r>
          </w:p>
        </w:tc>
        <w:tc>
          <w:tcPr>
            <w:tcW w:w="1960" w:type="dxa"/>
            <w:tcBorders>
              <w:top w:val="single" w:sz="4" w:space="0" w:color="000000"/>
              <w:left w:val="nil"/>
              <w:bottom w:val="single" w:sz="4" w:space="0" w:color="000000"/>
              <w:right w:val="nil"/>
            </w:tcBorders>
            <w:vAlign w:val="center"/>
          </w:tcPr>
          <w:p w14:paraId="3484CD3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43.5</w:t>
            </w:r>
          </w:p>
        </w:tc>
      </w:tr>
      <w:tr w:rsidR="009A14BF" w:rsidRPr="00093DB4" w14:paraId="06383070" w14:textId="77777777" w:rsidTr="00093DB4">
        <w:trPr>
          <w:jc w:val="center"/>
        </w:trPr>
        <w:tc>
          <w:tcPr>
            <w:tcW w:w="1960" w:type="dxa"/>
            <w:tcBorders>
              <w:top w:val="single" w:sz="4" w:space="0" w:color="000000"/>
              <w:left w:val="nil"/>
              <w:bottom w:val="single" w:sz="4" w:space="0" w:color="000000"/>
              <w:right w:val="nil"/>
            </w:tcBorders>
            <w:vAlign w:val="center"/>
          </w:tcPr>
          <w:p w14:paraId="50759C16"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Female</w:t>
            </w:r>
          </w:p>
        </w:tc>
        <w:tc>
          <w:tcPr>
            <w:tcW w:w="1960" w:type="dxa"/>
            <w:tcBorders>
              <w:top w:val="single" w:sz="4" w:space="0" w:color="000000"/>
              <w:left w:val="nil"/>
              <w:bottom w:val="single" w:sz="4" w:space="0" w:color="000000"/>
              <w:right w:val="nil"/>
            </w:tcBorders>
            <w:vAlign w:val="center"/>
          </w:tcPr>
          <w:p w14:paraId="4AF1D88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35</w:t>
            </w:r>
          </w:p>
        </w:tc>
        <w:tc>
          <w:tcPr>
            <w:tcW w:w="1960" w:type="dxa"/>
            <w:tcBorders>
              <w:top w:val="single" w:sz="4" w:space="0" w:color="000000"/>
              <w:left w:val="nil"/>
              <w:bottom w:val="single" w:sz="4" w:space="0" w:color="000000"/>
              <w:right w:val="nil"/>
            </w:tcBorders>
            <w:vAlign w:val="center"/>
          </w:tcPr>
          <w:p w14:paraId="3B0B7E8B"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48.6</w:t>
            </w:r>
          </w:p>
        </w:tc>
        <w:tc>
          <w:tcPr>
            <w:tcW w:w="1960" w:type="dxa"/>
            <w:tcBorders>
              <w:top w:val="single" w:sz="4" w:space="0" w:color="000000"/>
              <w:left w:val="nil"/>
              <w:bottom w:val="single" w:sz="4" w:space="0" w:color="000000"/>
              <w:right w:val="nil"/>
            </w:tcBorders>
            <w:vAlign w:val="center"/>
          </w:tcPr>
          <w:p w14:paraId="43025E6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39</w:t>
            </w:r>
          </w:p>
        </w:tc>
        <w:tc>
          <w:tcPr>
            <w:tcW w:w="1960" w:type="dxa"/>
            <w:tcBorders>
              <w:top w:val="single" w:sz="4" w:space="0" w:color="000000"/>
              <w:left w:val="nil"/>
              <w:bottom w:val="single" w:sz="4" w:space="0" w:color="000000"/>
              <w:right w:val="nil"/>
            </w:tcBorders>
            <w:vAlign w:val="center"/>
          </w:tcPr>
          <w:p w14:paraId="4CEB9EC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56.5</w:t>
            </w:r>
          </w:p>
        </w:tc>
      </w:tr>
      <w:tr w:rsidR="009A14BF" w:rsidRPr="00093DB4" w14:paraId="21C3F40C" w14:textId="77777777" w:rsidTr="00093DB4">
        <w:trPr>
          <w:jc w:val="center"/>
        </w:trPr>
        <w:tc>
          <w:tcPr>
            <w:tcW w:w="1960" w:type="dxa"/>
            <w:tcBorders>
              <w:top w:val="single" w:sz="4" w:space="0" w:color="000000"/>
              <w:left w:val="nil"/>
              <w:bottom w:val="single" w:sz="4" w:space="0" w:color="000000"/>
              <w:right w:val="nil"/>
            </w:tcBorders>
            <w:vAlign w:val="center"/>
          </w:tcPr>
          <w:p w14:paraId="34A6E5DF"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Class</w:t>
            </w:r>
          </w:p>
        </w:tc>
        <w:tc>
          <w:tcPr>
            <w:tcW w:w="1960" w:type="dxa"/>
            <w:tcBorders>
              <w:top w:val="single" w:sz="4" w:space="0" w:color="000000"/>
              <w:left w:val="nil"/>
              <w:bottom w:val="single" w:sz="4" w:space="0" w:color="000000"/>
              <w:right w:val="nil"/>
            </w:tcBorders>
            <w:vAlign w:val="center"/>
          </w:tcPr>
          <w:p w14:paraId="01CD63CC"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3F7A3D09"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4F845764"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23196EFF" w14:textId="77777777" w:rsidR="009A14BF" w:rsidRPr="00093DB4" w:rsidRDefault="009A14BF" w:rsidP="00093DB4">
            <w:pPr>
              <w:spacing w:after="0" w:line="240" w:lineRule="auto"/>
              <w:jc w:val="center"/>
              <w:rPr>
                <w:sz w:val="24"/>
                <w:szCs w:val="24"/>
              </w:rPr>
            </w:pPr>
          </w:p>
        </w:tc>
      </w:tr>
      <w:tr w:rsidR="009A14BF" w:rsidRPr="00093DB4" w14:paraId="0FF8745F" w14:textId="77777777" w:rsidTr="00093DB4">
        <w:trPr>
          <w:jc w:val="center"/>
        </w:trPr>
        <w:tc>
          <w:tcPr>
            <w:tcW w:w="1960" w:type="dxa"/>
            <w:tcBorders>
              <w:top w:val="single" w:sz="4" w:space="0" w:color="000000"/>
              <w:left w:val="nil"/>
              <w:bottom w:val="single" w:sz="4" w:space="0" w:color="000000"/>
              <w:right w:val="nil"/>
            </w:tcBorders>
            <w:vAlign w:val="center"/>
          </w:tcPr>
          <w:p w14:paraId="757627CE"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lastRenderedPageBreak/>
              <w:t>Grade IV</w:t>
            </w:r>
          </w:p>
        </w:tc>
        <w:tc>
          <w:tcPr>
            <w:tcW w:w="1960" w:type="dxa"/>
            <w:tcBorders>
              <w:top w:val="single" w:sz="4" w:space="0" w:color="000000"/>
              <w:left w:val="nil"/>
              <w:bottom w:val="single" w:sz="4" w:space="0" w:color="000000"/>
              <w:right w:val="nil"/>
            </w:tcBorders>
            <w:vAlign w:val="center"/>
          </w:tcPr>
          <w:p w14:paraId="50E1F38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39</w:t>
            </w:r>
          </w:p>
        </w:tc>
        <w:tc>
          <w:tcPr>
            <w:tcW w:w="1960" w:type="dxa"/>
            <w:tcBorders>
              <w:top w:val="single" w:sz="4" w:space="0" w:color="000000"/>
              <w:left w:val="nil"/>
              <w:bottom w:val="single" w:sz="4" w:space="0" w:color="000000"/>
              <w:right w:val="nil"/>
            </w:tcBorders>
            <w:vAlign w:val="center"/>
          </w:tcPr>
          <w:p w14:paraId="07499A2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54.2</w:t>
            </w:r>
          </w:p>
        </w:tc>
        <w:tc>
          <w:tcPr>
            <w:tcW w:w="1960" w:type="dxa"/>
            <w:tcBorders>
              <w:top w:val="single" w:sz="4" w:space="0" w:color="000000"/>
              <w:left w:val="nil"/>
              <w:bottom w:val="single" w:sz="4" w:space="0" w:color="000000"/>
              <w:right w:val="nil"/>
            </w:tcBorders>
            <w:vAlign w:val="center"/>
          </w:tcPr>
          <w:p w14:paraId="2DAC996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40</w:t>
            </w:r>
          </w:p>
        </w:tc>
        <w:tc>
          <w:tcPr>
            <w:tcW w:w="1960" w:type="dxa"/>
            <w:tcBorders>
              <w:top w:val="single" w:sz="4" w:space="0" w:color="000000"/>
              <w:left w:val="nil"/>
              <w:bottom w:val="single" w:sz="4" w:space="0" w:color="000000"/>
              <w:right w:val="nil"/>
            </w:tcBorders>
            <w:vAlign w:val="center"/>
          </w:tcPr>
          <w:p w14:paraId="5185AADB"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58.0</w:t>
            </w:r>
          </w:p>
        </w:tc>
      </w:tr>
      <w:tr w:rsidR="009A14BF" w:rsidRPr="00093DB4" w14:paraId="56C6CF76" w14:textId="77777777" w:rsidTr="00093DB4">
        <w:trPr>
          <w:jc w:val="center"/>
        </w:trPr>
        <w:tc>
          <w:tcPr>
            <w:tcW w:w="1960" w:type="dxa"/>
            <w:tcBorders>
              <w:top w:val="single" w:sz="4" w:space="0" w:color="000000"/>
              <w:left w:val="nil"/>
              <w:bottom w:val="single" w:sz="4" w:space="0" w:color="000000"/>
              <w:right w:val="nil"/>
            </w:tcBorders>
            <w:vAlign w:val="center"/>
          </w:tcPr>
          <w:p w14:paraId="499507B3"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Grade V</w:t>
            </w:r>
          </w:p>
        </w:tc>
        <w:tc>
          <w:tcPr>
            <w:tcW w:w="1960" w:type="dxa"/>
            <w:tcBorders>
              <w:top w:val="single" w:sz="4" w:space="0" w:color="000000"/>
              <w:left w:val="nil"/>
              <w:bottom w:val="single" w:sz="4" w:space="0" w:color="000000"/>
              <w:right w:val="nil"/>
            </w:tcBorders>
            <w:vAlign w:val="center"/>
          </w:tcPr>
          <w:p w14:paraId="755537C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33</w:t>
            </w:r>
          </w:p>
        </w:tc>
        <w:tc>
          <w:tcPr>
            <w:tcW w:w="1960" w:type="dxa"/>
            <w:tcBorders>
              <w:top w:val="single" w:sz="4" w:space="0" w:color="000000"/>
              <w:left w:val="nil"/>
              <w:bottom w:val="single" w:sz="4" w:space="0" w:color="000000"/>
              <w:right w:val="nil"/>
            </w:tcBorders>
            <w:vAlign w:val="center"/>
          </w:tcPr>
          <w:p w14:paraId="614A317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45.8</w:t>
            </w:r>
          </w:p>
        </w:tc>
        <w:tc>
          <w:tcPr>
            <w:tcW w:w="1960" w:type="dxa"/>
            <w:tcBorders>
              <w:top w:val="single" w:sz="4" w:space="0" w:color="000000"/>
              <w:left w:val="nil"/>
              <w:bottom w:val="single" w:sz="4" w:space="0" w:color="000000"/>
              <w:right w:val="nil"/>
            </w:tcBorders>
            <w:vAlign w:val="center"/>
          </w:tcPr>
          <w:p w14:paraId="7657E65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29</w:t>
            </w:r>
          </w:p>
        </w:tc>
        <w:tc>
          <w:tcPr>
            <w:tcW w:w="1960" w:type="dxa"/>
            <w:tcBorders>
              <w:top w:val="single" w:sz="4" w:space="0" w:color="000000"/>
              <w:left w:val="nil"/>
              <w:bottom w:val="single" w:sz="4" w:space="0" w:color="000000"/>
              <w:right w:val="nil"/>
            </w:tcBorders>
            <w:vAlign w:val="center"/>
          </w:tcPr>
          <w:p w14:paraId="252D529B"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42.0</w:t>
            </w:r>
          </w:p>
        </w:tc>
      </w:tr>
      <w:tr w:rsidR="009A14BF" w:rsidRPr="00093DB4" w14:paraId="2F987BAF" w14:textId="77777777" w:rsidTr="00093DB4">
        <w:trPr>
          <w:jc w:val="center"/>
        </w:trPr>
        <w:tc>
          <w:tcPr>
            <w:tcW w:w="1960" w:type="dxa"/>
            <w:tcBorders>
              <w:top w:val="single" w:sz="4" w:space="0" w:color="000000"/>
              <w:left w:val="nil"/>
              <w:bottom w:val="single" w:sz="4" w:space="0" w:color="000000"/>
              <w:right w:val="nil"/>
            </w:tcBorders>
            <w:vAlign w:val="center"/>
          </w:tcPr>
          <w:p w14:paraId="2411C2D4"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Parental education</w:t>
            </w:r>
          </w:p>
        </w:tc>
        <w:tc>
          <w:tcPr>
            <w:tcW w:w="1960" w:type="dxa"/>
            <w:tcBorders>
              <w:top w:val="single" w:sz="4" w:space="0" w:color="000000"/>
              <w:left w:val="nil"/>
              <w:bottom w:val="single" w:sz="4" w:space="0" w:color="000000"/>
              <w:right w:val="nil"/>
            </w:tcBorders>
            <w:vAlign w:val="center"/>
          </w:tcPr>
          <w:p w14:paraId="586BF423"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4081DA9A"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50AC1166"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74244C85" w14:textId="77777777" w:rsidR="009A14BF" w:rsidRPr="00093DB4" w:rsidRDefault="009A14BF" w:rsidP="00093DB4">
            <w:pPr>
              <w:spacing w:after="0" w:line="240" w:lineRule="auto"/>
              <w:jc w:val="center"/>
              <w:rPr>
                <w:sz w:val="24"/>
                <w:szCs w:val="24"/>
              </w:rPr>
            </w:pPr>
          </w:p>
        </w:tc>
      </w:tr>
      <w:tr w:rsidR="009A14BF" w:rsidRPr="00093DB4" w14:paraId="39FDAD73" w14:textId="77777777" w:rsidTr="00093DB4">
        <w:trPr>
          <w:jc w:val="center"/>
        </w:trPr>
        <w:tc>
          <w:tcPr>
            <w:tcW w:w="1960" w:type="dxa"/>
            <w:tcBorders>
              <w:top w:val="single" w:sz="4" w:space="0" w:color="000000"/>
              <w:left w:val="nil"/>
              <w:bottom w:val="single" w:sz="4" w:space="0" w:color="000000"/>
              <w:right w:val="nil"/>
            </w:tcBorders>
            <w:vAlign w:val="center"/>
          </w:tcPr>
          <w:p w14:paraId="07CDBBAC"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Elementary school</w:t>
            </w:r>
          </w:p>
        </w:tc>
        <w:tc>
          <w:tcPr>
            <w:tcW w:w="1960" w:type="dxa"/>
            <w:tcBorders>
              <w:top w:val="single" w:sz="4" w:space="0" w:color="000000"/>
              <w:left w:val="nil"/>
              <w:bottom w:val="single" w:sz="4" w:space="0" w:color="000000"/>
              <w:right w:val="nil"/>
            </w:tcBorders>
            <w:vAlign w:val="center"/>
          </w:tcPr>
          <w:p w14:paraId="7AA579D1"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10</w:t>
            </w:r>
          </w:p>
        </w:tc>
        <w:tc>
          <w:tcPr>
            <w:tcW w:w="1960" w:type="dxa"/>
            <w:tcBorders>
              <w:top w:val="single" w:sz="4" w:space="0" w:color="000000"/>
              <w:left w:val="nil"/>
              <w:bottom w:val="single" w:sz="4" w:space="0" w:color="000000"/>
              <w:right w:val="nil"/>
            </w:tcBorders>
            <w:vAlign w:val="center"/>
          </w:tcPr>
          <w:p w14:paraId="393F39F1"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13.9</w:t>
            </w:r>
          </w:p>
        </w:tc>
        <w:tc>
          <w:tcPr>
            <w:tcW w:w="1960" w:type="dxa"/>
            <w:tcBorders>
              <w:top w:val="single" w:sz="4" w:space="0" w:color="000000"/>
              <w:left w:val="nil"/>
              <w:bottom w:val="single" w:sz="4" w:space="0" w:color="000000"/>
              <w:right w:val="nil"/>
            </w:tcBorders>
            <w:vAlign w:val="center"/>
          </w:tcPr>
          <w:p w14:paraId="499EA57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7</w:t>
            </w:r>
          </w:p>
        </w:tc>
        <w:tc>
          <w:tcPr>
            <w:tcW w:w="1960" w:type="dxa"/>
            <w:tcBorders>
              <w:top w:val="single" w:sz="4" w:space="0" w:color="000000"/>
              <w:left w:val="nil"/>
              <w:bottom w:val="single" w:sz="4" w:space="0" w:color="000000"/>
              <w:right w:val="nil"/>
            </w:tcBorders>
            <w:vAlign w:val="center"/>
          </w:tcPr>
          <w:p w14:paraId="663FD5E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10.1</w:t>
            </w:r>
          </w:p>
        </w:tc>
      </w:tr>
      <w:tr w:rsidR="009A14BF" w:rsidRPr="00093DB4" w14:paraId="65AAF9EA" w14:textId="77777777" w:rsidTr="00093DB4">
        <w:trPr>
          <w:jc w:val="center"/>
        </w:trPr>
        <w:tc>
          <w:tcPr>
            <w:tcW w:w="1960" w:type="dxa"/>
            <w:tcBorders>
              <w:top w:val="single" w:sz="4" w:space="0" w:color="000000"/>
              <w:left w:val="nil"/>
              <w:bottom w:val="single" w:sz="4" w:space="0" w:color="000000"/>
              <w:right w:val="nil"/>
            </w:tcBorders>
            <w:vAlign w:val="center"/>
          </w:tcPr>
          <w:p w14:paraId="53F3E6E6"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Junior high school</w:t>
            </w:r>
          </w:p>
        </w:tc>
        <w:tc>
          <w:tcPr>
            <w:tcW w:w="1960" w:type="dxa"/>
            <w:tcBorders>
              <w:top w:val="single" w:sz="4" w:space="0" w:color="000000"/>
              <w:left w:val="nil"/>
              <w:bottom w:val="single" w:sz="4" w:space="0" w:color="000000"/>
              <w:right w:val="nil"/>
            </w:tcBorders>
            <w:vAlign w:val="center"/>
          </w:tcPr>
          <w:p w14:paraId="4EEDE264"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w:t>
            </w:r>
          </w:p>
        </w:tc>
        <w:tc>
          <w:tcPr>
            <w:tcW w:w="1960" w:type="dxa"/>
            <w:tcBorders>
              <w:top w:val="single" w:sz="4" w:space="0" w:color="000000"/>
              <w:left w:val="nil"/>
              <w:bottom w:val="single" w:sz="4" w:space="0" w:color="000000"/>
              <w:right w:val="nil"/>
            </w:tcBorders>
            <w:vAlign w:val="center"/>
          </w:tcPr>
          <w:p w14:paraId="1712F231"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5.6</w:t>
            </w:r>
          </w:p>
        </w:tc>
        <w:tc>
          <w:tcPr>
            <w:tcW w:w="1960" w:type="dxa"/>
            <w:tcBorders>
              <w:top w:val="single" w:sz="4" w:space="0" w:color="000000"/>
              <w:left w:val="nil"/>
              <w:bottom w:val="single" w:sz="4" w:space="0" w:color="000000"/>
              <w:right w:val="nil"/>
            </w:tcBorders>
            <w:vAlign w:val="center"/>
          </w:tcPr>
          <w:p w14:paraId="4CE20FCD"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12</w:t>
            </w:r>
          </w:p>
        </w:tc>
        <w:tc>
          <w:tcPr>
            <w:tcW w:w="1960" w:type="dxa"/>
            <w:tcBorders>
              <w:top w:val="single" w:sz="4" w:space="0" w:color="000000"/>
              <w:left w:val="nil"/>
              <w:bottom w:val="single" w:sz="4" w:space="0" w:color="000000"/>
              <w:right w:val="nil"/>
            </w:tcBorders>
            <w:vAlign w:val="center"/>
          </w:tcPr>
          <w:p w14:paraId="178508B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17.4</w:t>
            </w:r>
          </w:p>
        </w:tc>
      </w:tr>
      <w:tr w:rsidR="009A14BF" w:rsidRPr="00093DB4" w14:paraId="6FD16C99" w14:textId="77777777" w:rsidTr="00093DB4">
        <w:trPr>
          <w:jc w:val="center"/>
        </w:trPr>
        <w:tc>
          <w:tcPr>
            <w:tcW w:w="1960" w:type="dxa"/>
            <w:tcBorders>
              <w:top w:val="single" w:sz="4" w:space="0" w:color="000000"/>
              <w:left w:val="nil"/>
              <w:bottom w:val="single" w:sz="4" w:space="0" w:color="000000"/>
              <w:right w:val="nil"/>
            </w:tcBorders>
            <w:vAlign w:val="center"/>
          </w:tcPr>
          <w:p w14:paraId="6B4265C4"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Senior high school</w:t>
            </w:r>
          </w:p>
        </w:tc>
        <w:tc>
          <w:tcPr>
            <w:tcW w:w="1960" w:type="dxa"/>
            <w:tcBorders>
              <w:top w:val="single" w:sz="4" w:space="0" w:color="000000"/>
              <w:left w:val="nil"/>
              <w:bottom w:val="single" w:sz="4" w:space="0" w:color="000000"/>
              <w:right w:val="nil"/>
            </w:tcBorders>
            <w:vAlign w:val="center"/>
          </w:tcPr>
          <w:p w14:paraId="6D46EF4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30</w:t>
            </w:r>
          </w:p>
        </w:tc>
        <w:tc>
          <w:tcPr>
            <w:tcW w:w="1960" w:type="dxa"/>
            <w:tcBorders>
              <w:top w:val="single" w:sz="4" w:space="0" w:color="000000"/>
              <w:left w:val="nil"/>
              <w:bottom w:val="single" w:sz="4" w:space="0" w:color="000000"/>
              <w:right w:val="nil"/>
            </w:tcBorders>
            <w:vAlign w:val="center"/>
          </w:tcPr>
          <w:p w14:paraId="5556B0B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41.7</w:t>
            </w:r>
          </w:p>
        </w:tc>
        <w:tc>
          <w:tcPr>
            <w:tcW w:w="1960" w:type="dxa"/>
            <w:tcBorders>
              <w:top w:val="single" w:sz="4" w:space="0" w:color="000000"/>
              <w:left w:val="nil"/>
              <w:bottom w:val="single" w:sz="4" w:space="0" w:color="000000"/>
              <w:right w:val="nil"/>
            </w:tcBorders>
            <w:vAlign w:val="center"/>
          </w:tcPr>
          <w:p w14:paraId="79C542CD"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1FA09DC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36.2</w:t>
            </w:r>
          </w:p>
        </w:tc>
      </w:tr>
      <w:tr w:rsidR="009A14BF" w:rsidRPr="00093DB4" w14:paraId="53EE71CA" w14:textId="77777777" w:rsidTr="00093DB4">
        <w:trPr>
          <w:jc w:val="center"/>
        </w:trPr>
        <w:tc>
          <w:tcPr>
            <w:tcW w:w="1960" w:type="dxa"/>
            <w:tcBorders>
              <w:top w:val="single" w:sz="4" w:space="0" w:color="000000"/>
              <w:left w:val="nil"/>
              <w:bottom w:val="single" w:sz="4" w:space="0" w:color="000000"/>
              <w:right w:val="nil"/>
            </w:tcBorders>
            <w:vAlign w:val="center"/>
          </w:tcPr>
          <w:p w14:paraId="50402836"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Higher education</w:t>
            </w:r>
          </w:p>
        </w:tc>
        <w:tc>
          <w:tcPr>
            <w:tcW w:w="1960" w:type="dxa"/>
            <w:tcBorders>
              <w:top w:val="single" w:sz="4" w:space="0" w:color="000000"/>
              <w:left w:val="nil"/>
              <w:bottom w:val="single" w:sz="4" w:space="0" w:color="000000"/>
              <w:right w:val="nil"/>
            </w:tcBorders>
            <w:vAlign w:val="center"/>
          </w:tcPr>
          <w:p w14:paraId="4853788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28</w:t>
            </w:r>
          </w:p>
        </w:tc>
        <w:tc>
          <w:tcPr>
            <w:tcW w:w="1960" w:type="dxa"/>
            <w:tcBorders>
              <w:top w:val="single" w:sz="4" w:space="0" w:color="000000"/>
              <w:left w:val="nil"/>
              <w:bottom w:val="single" w:sz="4" w:space="0" w:color="000000"/>
              <w:right w:val="nil"/>
            </w:tcBorders>
            <w:vAlign w:val="center"/>
          </w:tcPr>
          <w:p w14:paraId="4544D0B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38.9</w:t>
            </w:r>
          </w:p>
        </w:tc>
        <w:tc>
          <w:tcPr>
            <w:tcW w:w="1960" w:type="dxa"/>
            <w:tcBorders>
              <w:top w:val="single" w:sz="4" w:space="0" w:color="000000"/>
              <w:left w:val="nil"/>
              <w:bottom w:val="single" w:sz="4" w:space="0" w:color="000000"/>
              <w:right w:val="nil"/>
            </w:tcBorders>
            <w:vAlign w:val="center"/>
          </w:tcPr>
          <w:p w14:paraId="7C08540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668D407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36.2</w:t>
            </w:r>
          </w:p>
        </w:tc>
      </w:tr>
      <w:tr w:rsidR="009A14BF" w:rsidRPr="00093DB4" w14:paraId="30864EF5" w14:textId="77777777" w:rsidTr="00093DB4">
        <w:trPr>
          <w:jc w:val="center"/>
        </w:trPr>
        <w:tc>
          <w:tcPr>
            <w:tcW w:w="1960" w:type="dxa"/>
            <w:tcBorders>
              <w:top w:val="single" w:sz="4" w:space="0" w:color="000000"/>
              <w:left w:val="nil"/>
              <w:bottom w:val="single" w:sz="4" w:space="0" w:color="000000"/>
              <w:right w:val="nil"/>
            </w:tcBorders>
            <w:vAlign w:val="center"/>
          </w:tcPr>
          <w:p w14:paraId="7D902F71"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Parental occupation</w:t>
            </w:r>
          </w:p>
        </w:tc>
        <w:tc>
          <w:tcPr>
            <w:tcW w:w="1960" w:type="dxa"/>
            <w:tcBorders>
              <w:top w:val="single" w:sz="4" w:space="0" w:color="000000"/>
              <w:left w:val="nil"/>
              <w:bottom w:val="single" w:sz="4" w:space="0" w:color="000000"/>
              <w:right w:val="nil"/>
            </w:tcBorders>
            <w:vAlign w:val="center"/>
          </w:tcPr>
          <w:p w14:paraId="1F78F2D2"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7E0823FF"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1959F94E"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2BBDEEFE" w14:textId="77777777" w:rsidR="009A14BF" w:rsidRPr="00093DB4" w:rsidRDefault="009A14BF" w:rsidP="00093DB4">
            <w:pPr>
              <w:spacing w:after="0" w:line="240" w:lineRule="auto"/>
              <w:jc w:val="center"/>
              <w:rPr>
                <w:sz w:val="24"/>
                <w:szCs w:val="24"/>
              </w:rPr>
            </w:pPr>
          </w:p>
        </w:tc>
      </w:tr>
      <w:tr w:rsidR="009A14BF" w:rsidRPr="00093DB4" w14:paraId="088B17B6" w14:textId="77777777" w:rsidTr="00093DB4">
        <w:trPr>
          <w:jc w:val="center"/>
        </w:trPr>
        <w:tc>
          <w:tcPr>
            <w:tcW w:w="1960" w:type="dxa"/>
            <w:tcBorders>
              <w:top w:val="single" w:sz="4" w:space="0" w:color="000000"/>
              <w:left w:val="nil"/>
              <w:bottom w:val="single" w:sz="4" w:space="0" w:color="000000"/>
              <w:right w:val="nil"/>
            </w:tcBorders>
            <w:vAlign w:val="center"/>
          </w:tcPr>
          <w:p w14:paraId="2B8FC7D3"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Civil servant/military/police</w:t>
            </w:r>
          </w:p>
        </w:tc>
        <w:tc>
          <w:tcPr>
            <w:tcW w:w="1960" w:type="dxa"/>
            <w:tcBorders>
              <w:top w:val="single" w:sz="4" w:space="0" w:color="000000"/>
              <w:left w:val="nil"/>
              <w:bottom w:val="single" w:sz="4" w:space="0" w:color="000000"/>
              <w:right w:val="nil"/>
            </w:tcBorders>
            <w:vAlign w:val="center"/>
          </w:tcPr>
          <w:p w14:paraId="45F1B3A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648705BB"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34.7</w:t>
            </w:r>
          </w:p>
        </w:tc>
        <w:tc>
          <w:tcPr>
            <w:tcW w:w="1960" w:type="dxa"/>
            <w:tcBorders>
              <w:top w:val="single" w:sz="4" w:space="0" w:color="000000"/>
              <w:left w:val="nil"/>
              <w:bottom w:val="single" w:sz="4" w:space="0" w:color="000000"/>
              <w:right w:val="nil"/>
            </w:tcBorders>
            <w:vAlign w:val="center"/>
          </w:tcPr>
          <w:p w14:paraId="2AF3C9E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35</w:t>
            </w:r>
          </w:p>
        </w:tc>
        <w:tc>
          <w:tcPr>
            <w:tcW w:w="1960" w:type="dxa"/>
            <w:tcBorders>
              <w:top w:val="single" w:sz="4" w:space="0" w:color="000000"/>
              <w:left w:val="nil"/>
              <w:bottom w:val="single" w:sz="4" w:space="0" w:color="000000"/>
              <w:right w:val="nil"/>
            </w:tcBorders>
            <w:vAlign w:val="center"/>
          </w:tcPr>
          <w:p w14:paraId="6594624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50.7</w:t>
            </w:r>
          </w:p>
        </w:tc>
      </w:tr>
      <w:tr w:rsidR="009A14BF" w:rsidRPr="00093DB4" w14:paraId="4D21211C" w14:textId="77777777" w:rsidTr="00093DB4">
        <w:trPr>
          <w:jc w:val="center"/>
        </w:trPr>
        <w:tc>
          <w:tcPr>
            <w:tcW w:w="1960" w:type="dxa"/>
            <w:tcBorders>
              <w:top w:val="single" w:sz="4" w:space="0" w:color="000000"/>
              <w:left w:val="nil"/>
              <w:bottom w:val="single" w:sz="4" w:space="0" w:color="000000"/>
              <w:right w:val="nil"/>
            </w:tcBorders>
            <w:vAlign w:val="center"/>
          </w:tcPr>
          <w:p w14:paraId="5B195365"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Farmer/trader</w:t>
            </w:r>
          </w:p>
        </w:tc>
        <w:tc>
          <w:tcPr>
            <w:tcW w:w="1960" w:type="dxa"/>
            <w:tcBorders>
              <w:top w:val="single" w:sz="4" w:space="0" w:color="000000"/>
              <w:left w:val="nil"/>
              <w:bottom w:val="single" w:sz="4" w:space="0" w:color="000000"/>
              <w:right w:val="nil"/>
            </w:tcBorders>
            <w:vAlign w:val="center"/>
          </w:tcPr>
          <w:p w14:paraId="75A11EF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21</w:t>
            </w:r>
          </w:p>
        </w:tc>
        <w:tc>
          <w:tcPr>
            <w:tcW w:w="1960" w:type="dxa"/>
            <w:tcBorders>
              <w:top w:val="single" w:sz="4" w:space="0" w:color="000000"/>
              <w:left w:val="nil"/>
              <w:bottom w:val="single" w:sz="4" w:space="0" w:color="000000"/>
              <w:right w:val="nil"/>
            </w:tcBorders>
            <w:vAlign w:val="center"/>
          </w:tcPr>
          <w:p w14:paraId="412D91F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29.2</w:t>
            </w:r>
          </w:p>
        </w:tc>
        <w:tc>
          <w:tcPr>
            <w:tcW w:w="1960" w:type="dxa"/>
            <w:tcBorders>
              <w:top w:val="single" w:sz="4" w:space="0" w:color="000000"/>
              <w:left w:val="nil"/>
              <w:bottom w:val="single" w:sz="4" w:space="0" w:color="000000"/>
              <w:right w:val="nil"/>
            </w:tcBorders>
            <w:vAlign w:val="center"/>
          </w:tcPr>
          <w:p w14:paraId="0C459F6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12</w:t>
            </w:r>
          </w:p>
        </w:tc>
        <w:tc>
          <w:tcPr>
            <w:tcW w:w="1960" w:type="dxa"/>
            <w:tcBorders>
              <w:top w:val="single" w:sz="4" w:space="0" w:color="000000"/>
              <w:left w:val="nil"/>
              <w:bottom w:val="single" w:sz="4" w:space="0" w:color="000000"/>
              <w:right w:val="nil"/>
            </w:tcBorders>
            <w:vAlign w:val="center"/>
          </w:tcPr>
          <w:p w14:paraId="6600F0C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17.4</w:t>
            </w:r>
          </w:p>
        </w:tc>
      </w:tr>
      <w:tr w:rsidR="009A14BF" w:rsidRPr="00093DB4" w14:paraId="2255A60B" w14:textId="77777777" w:rsidTr="00093DB4">
        <w:trPr>
          <w:jc w:val="center"/>
        </w:trPr>
        <w:tc>
          <w:tcPr>
            <w:tcW w:w="1960" w:type="dxa"/>
            <w:tcBorders>
              <w:top w:val="single" w:sz="4" w:space="0" w:color="000000"/>
              <w:left w:val="nil"/>
              <w:bottom w:val="single" w:sz="4" w:space="0" w:color="000000"/>
              <w:right w:val="nil"/>
            </w:tcBorders>
            <w:vAlign w:val="center"/>
          </w:tcPr>
          <w:p w14:paraId="0B0018D3"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Others</w:t>
            </w:r>
          </w:p>
        </w:tc>
        <w:tc>
          <w:tcPr>
            <w:tcW w:w="1960" w:type="dxa"/>
            <w:tcBorders>
              <w:top w:val="single" w:sz="4" w:space="0" w:color="000000"/>
              <w:left w:val="nil"/>
              <w:bottom w:val="single" w:sz="4" w:space="0" w:color="000000"/>
              <w:right w:val="nil"/>
            </w:tcBorders>
            <w:vAlign w:val="center"/>
          </w:tcPr>
          <w:p w14:paraId="1DC50E7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26</w:t>
            </w:r>
          </w:p>
        </w:tc>
        <w:tc>
          <w:tcPr>
            <w:tcW w:w="1960" w:type="dxa"/>
            <w:tcBorders>
              <w:top w:val="single" w:sz="4" w:space="0" w:color="000000"/>
              <w:left w:val="nil"/>
              <w:bottom w:val="single" w:sz="4" w:space="0" w:color="000000"/>
              <w:right w:val="nil"/>
            </w:tcBorders>
            <w:vAlign w:val="center"/>
          </w:tcPr>
          <w:p w14:paraId="2BC91E2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36.1</w:t>
            </w:r>
          </w:p>
        </w:tc>
        <w:tc>
          <w:tcPr>
            <w:tcW w:w="1960" w:type="dxa"/>
            <w:tcBorders>
              <w:top w:val="single" w:sz="4" w:space="0" w:color="000000"/>
              <w:left w:val="nil"/>
              <w:bottom w:val="single" w:sz="4" w:space="0" w:color="000000"/>
              <w:right w:val="nil"/>
            </w:tcBorders>
            <w:vAlign w:val="center"/>
          </w:tcPr>
          <w:p w14:paraId="5D96DB71"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7F6D620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31.9</w:t>
            </w:r>
          </w:p>
        </w:tc>
      </w:tr>
      <w:tr w:rsidR="009A14BF" w:rsidRPr="00093DB4" w14:paraId="5FB232B5" w14:textId="77777777" w:rsidTr="00093DB4">
        <w:trPr>
          <w:jc w:val="center"/>
        </w:trPr>
        <w:tc>
          <w:tcPr>
            <w:tcW w:w="1960" w:type="dxa"/>
            <w:tcBorders>
              <w:top w:val="single" w:sz="4" w:space="0" w:color="000000"/>
              <w:left w:val="nil"/>
              <w:bottom w:val="single" w:sz="4" w:space="0" w:color="000000"/>
              <w:right w:val="nil"/>
            </w:tcBorders>
            <w:vAlign w:val="center"/>
          </w:tcPr>
          <w:p w14:paraId="4ACFBA34"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Family income</w:t>
            </w:r>
          </w:p>
        </w:tc>
        <w:tc>
          <w:tcPr>
            <w:tcW w:w="1960" w:type="dxa"/>
            <w:tcBorders>
              <w:top w:val="single" w:sz="4" w:space="0" w:color="000000"/>
              <w:left w:val="nil"/>
              <w:bottom w:val="single" w:sz="4" w:space="0" w:color="000000"/>
              <w:right w:val="nil"/>
            </w:tcBorders>
            <w:vAlign w:val="center"/>
          </w:tcPr>
          <w:p w14:paraId="1E273E4D"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628DC88B"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74535BA7" w14:textId="77777777" w:rsidR="009A14BF" w:rsidRPr="00093DB4" w:rsidRDefault="009A14BF" w:rsidP="00093DB4">
            <w:pPr>
              <w:spacing w:after="0" w:line="240" w:lineRule="auto"/>
              <w:jc w:val="center"/>
              <w:rPr>
                <w:sz w:val="24"/>
                <w:szCs w:val="24"/>
              </w:rPr>
            </w:pPr>
          </w:p>
        </w:tc>
        <w:tc>
          <w:tcPr>
            <w:tcW w:w="1960" w:type="dxa"/>
            <w:tcBorders>
              <w:top w:val="single" w:sz="4" w:space="0" w:color="000000"/>
              <w:left w:val="nil"/>
              <w:bottom w:val="single" w:sz="4" w:space="0" w:color="000000"/>
              <w:right w:val="nil"/>
            </w:tcBorders>
            <w:vAlign w:val="center"/>
          </w:tcPr>
          <w:p w14:paraId="3CF009BB" w14:textId="77777777" w:rsidR="009A14BF" w:rsidRPr="00093DB4" w:rsidRDefault="009A14BF" w:rsidP="00093DB4">
            <w:pPr>
              <w:spacing w:after="0" w:line="240" w:lineRule="auto"/>
              <w:jc w:val="center"/>
              <w:rPr>
                <w:sz w:val="24"/>
                <w:szCs w:val="24"/>
              </w:rPr>
            </w:pPr>
          </w:p>
        </w:tc>
      </w:tr>
      <w:tr w:rsidR="009A14BF" w:rsidRPr="00093DB4" w14:paraId="120B1C50" w14:textId="77777777" w:rsidTr="00093DB4">
        <w:trPr>
          <w:jc w:val="center"/>
        </w:trPr>
        <w:tc>
          <w:tcPr>
            <w:tcW w:w="1960" w:type="dxa"/>
            <w:tcBorders>
              <w:top w:val="single" w:sz="4" w:space="0" w:color="000000"/>
              <w:left w:val="nil"/>
              <w:bottom w:val="single" w:sz="4" w:space="0" w:color="000000"/>
              <w:right w:val="nil"/>
            </w:tcBorders>
            <w:vAlign w:val="center"/>
          </w:tcPr>
          <w:p w14:paraId="5250398C"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&lt; IDR 2 million</w:t>
            </w:r>
          </w:p>
        </w:tc>
        <w:tc>
          <w:tcPr>
            <w:tcW w:w="1960" w:type="dxa"/>
            <w:tcBorders>
              <w:top w:val="single" w:sz="4" w:space="0" w:color="000000"/>
              <w:left w:val="nil"/>
              <w:bottom w:val="single" w:sz="4" w:space="0" w:color="000000"/>
              <w:right w:val="nil"/>
            </w:tcBorders>
            <w:vAlign w:val="center"/>
          </w:tcPr>
          <w:p w14:paraId="6ABC89F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5E06E92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30.6</w:t>
            </w:r>
          </w:p>
        </w:tc>
        <w:tc>
          <w:tcPr>
            <w:tcW w:w="1960" w:type="dxa"/>
            <w:tcBorders>
              <w:top w:val="single" w:sz="4" w:space="0" w:color="000000"/>
              <w:left w:val="nil"/>
              <w:bottom w:val="single" w:sz="4" w:space="0" w:color="000000"/>
              <w:right w:val="nil"/>
            </w:tcBorders>
            <w:vAlign w:val="center"/>
          </w:tcPr>
          <w:p w14:paraId="4A2C78FB"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8</w:t>
            </w:r>
          </w:p>
        </w:tc>
        <w:tc>
          <w:tcPr>
            <w:tcW w:w="1960" w:type="dxa"/>
            <w:tcBorders>
              <w:top w:val="single" w:sz="4" w:space="0" w:color="000000"/>
              <w:left w:val="nil"/>
              <w:bottom w:val="single" w:sz="4" w:space="0" w:color="000000"/>
              <w:right w:val="nil"/>
            </w:tcBorders>
            <w:vAlign w:val="center"/>
          </w:tcPr>
          <w:p w14:paraId="272A04E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11.6</w:t>
            </w:r>
          </w:p>
        </w:tc>
      </w:tr>
      <w:tr w:rsidR="009A14BF" w:rsidRPr="00093DB4" w14:paraId="6EC4F226" w14:textId="77777777" w:rsidTr="00093DB4">
        <w:trPr>
          <w:jc w:val="center"/>
        </w:trPr>
        <w:tc>
          <w:tcPr>
            <w:tcW w:w="1960" w:type="dxa"/>
            <w:tcBorders>
              <w:top w:val="single" w:sz="4" w:space="0" w:color="000000"/>
              <w:left w:val="nil"/>
              <w:bottom w:val="single" w:sz="4" w:space="0" w:color="000000"/>
              <w:right w:val="nil"/>
            </w:tcBorders>
            <w:vAlign w:val="center"/>
          </w:tcPr>
          <w:p w14:paraId="4F49EF58"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IDR 2-4 million</w:t>
            </w:r>
          </w:p>
        </w:tc>
        <w:tc>
          <w:tcPr>
            <w:tcW w:w="1960" w:type="dxa"/>
            <w:tcBorders>
              <w:top w:val="single" w:sz="4" w:space="0" w:color="000000"/>
              <w:left w:val="nil"/>
              <w:bottom w:val="single" w:sz="4" w:space="0" w:color="000000"/>
              <w:right w:val="nil"/>
            </w:tcBorders>
            <w:vAlign w:val="center"/>
          </w:tcPr>
          <w:p w14:paraId="626FEB5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28</w:t>
            </w:r>
          </w:p>
        </w:tc>
        <w:tc>
          <w:tcPr>
            <w:tcW w:w="1960" w:type="dxa"/>
            <w:tcBorders>
              <w:top w:val="single" w:sz="4" w:space="0" w:color="000000"/>
              <w:left w:val="nil"/>
              <w:bottom w:val="single" w:sz="4" w:space="0" w:color="000000"/>
              <w:right w:val="nil"/>
            </w:tcBorders>
            <w:vAlign w:val="center"/>
          </w:tcPr>
          <w:p w14:paraId="7AA469C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38.9</w:t>
            </w:r>
          </w:p>
        </w:tc>
        <w:tc>
          <w:tcPr>
            <w:tcW w:w="1960" w:type="dxa"/>
            <w:tcBorders>
              <w:top w:val="single" w:sz="4" w:space="0" w:color="000000"/>
              <w:left w:val="nil"/>
              <w:bottom w:val="single" w:sz="4" w:space="0" w:color="000000"/>
              <w:right w:val="nil"/>
            </w:tcBorders>
            <w:vAlign w:val="center"/>
          </w:tcPr>
          <w:p w14:paraId="107AFD31"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59500B0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31.9</w:t>
            </w:r>
          </w:p>
        </w:tc>
      </w:tr>
      <w:tr w:rsidR="009A14BF" w:rsidRPr="00093DB4" w14:paraId="059F503A" w14:textId="77777777" w:rsidTr="00093DB4">
        <w:trPr>
          <w:jc w:val="center"/>
        </w:trPr>
        <w:tc>
          <w:tcPr>
            <w:tcW w:w="1960" w:type="dxa"/>
            <w:tcBorders>
              <w:top w:val="single" w:sz="4" w:space="0" w:color="000000"/>
              <w:left w:val="nil"/>
              <w:bottom w:val="single" w:sz="4" w:space="0" w:color="000000"/>
              <w:right w:val="nil"/>
            </w:tcBorders>
            <w:vAlign w:val="center"/>
          </w:tcPr>
          <w:p w14:paraId="148A8262" w14:textId="77777777" w:rsidR="009A14BF" w:rsidRPr="00093DB4" w:rsidRDefault="00000000">
            <w:pPr>
              <w:spacing w:after="0" w:line="240" w:lineRule="auto"/>
              <w:rPr>
                <w:sz w:val="24"/>
                <w:szCs w:val="24"/>
              </w:rPr>
            </w:pPr>
            <w:r w:rsidRPr="00093DB4">
              <w:rPr>
                <w:rFonts w:ascii="Times New Roman" w:eastAsia="Times New Roman" w:hAnsi="Times New Roman"/>
                <w:sz w:val="24"/>
                <w:szCs w:val="24"/>
              </w:rPr>
              <w:t>&gt; IDR 4 million</w:t>
            </w:r>
          </w:p>
        </w:tc>
        <w:tc>
          <w:tcPr>
            <w:tcW w:w="1960" w:type="dxa"/>
            <w:tcBorders>
              <w:top w:val="single" w:sz="4" w:space="0" w:color="000000"/>
              <w:left w:val="nil"/>
              <w:bottom w:val="single" w:sz="4" w:space="0" w:color="000000"/>
              <w:right w:val="nil"/>
            </w:tcBorders>
            <w:vAlign w:val="center"/>
          </w:tcPr>
          <w:p w14:paraId="20B8B6B4"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6945EDB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30.6</w:t>
            </w:r>
          </w:p>
        </w:tc>
        <w:tc>
          <w:tcPr>
            <w:tcW w:w="1960" w:type="dxa"/>
            <w:tcBorders>
              <w:top w:val="single" w:sz="4" w:space="0" w:color="000000"/>
              <w:left w:val="nil"/>
              <w:bottom w:val="single" w:sz="4" w:space="0" w:color="000000"/>
              <w:right w:val="nil"/>
            </w:tcBorders>
            <w:vAlign w:val="center"/>
          </w:tcPr>
          <w:p w14:paraId="3ABD1C2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39</w:t>
            </w:r>
          </w:p>
        </w:tc>
        <w:tc>
          <w:tcPr>
            <w:tcW w:w="1960" w:type="dxa"/>
            <w:tcBorders>
              <w:top w:val="single" w:sz="4" w:space="0" w:color="000000"/>
              <w:left w:val="nil"/>
              <w:bottom w:val="single" w:sz="4" w:space="0" w:color="000000"/>
              <w:right w:val="nil"/>
            </w:tcBorders>
            <w:vAlign w:val="center"/>
          </w:tcPr>
          <w:p w14:paraId="03EF125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56.5</w:t>
            </w:r>
          </w:p>
        </w:tc>
      </w:tr>
    </w:tbl>
    <w:p w14:paraId="4BD57286" w14:textId="77777777" w:rsidR="009A14BF" w:rsidRDefault="009A14BF">
      <w:pPr>
        <w:spacing w:after="0" w:line="240" w:lineRule="auto"/>
        <w:jc w:val="both"/>
      </w:pPr>
    </w:p>
    <w:p w14:paraId="56975406" w14:textId="77777777" w:rsidR="009A14BF" w:rsidRDefault="00000000" w:rsidP="00093DB4">
      <w:pPr>
        <w:spacing w:after="0" w:line="240" w:lineRule="auto"/>
        <w:ind w:firstLine="284"/>
        <w:jc w:val="both"/>
      </w:pPr>
      <w:r>
        <w:rPr>
          <w:rFonts w:ascii="Times New Roman" w:eastAsia="Times New Roman" w:hAnsi="Times New Roman"/>
          <w:sz w:val="24"/>
        </w:rPr>
        <w:t>Table 2 shows the distribution of snack consumption behaviour and related factors in the rural school. Poor snack consumption behaviour was found in 52.8% of rural students. Most rural students had weak motivation for healthy snacking (65.3%), an unsupportive social environment (66.7%), and unhealthy snack availability around the school (70.8%).</w:t>
      </w:r>
    </w:p>
    <w:p w14:paraId="0F5CA134" w14:textId="77777777" w:rsidR="00093DB4" w:rsidRPr="00093DB4" w:rsidRDefault="00000000" w:rsidP="00093DB4">
      <w:pPr>
        <w:spacing w:before="120" w:after="0" w:line="240" w:lineRule="auto"/>
        <w:jc w:val="center"/>
        <w:rPr>
          <w:rFonts w:ascii="Times New Roman" w:eastAsia="Times New Roman" w:hAnsi="Times New Roman"/>
          <w:sz w:val="24"/>
          <w:szCs w:val="24"/>
        </w:rPr>
      </w:pPr>
      <w:r w:rsidRPr="00093DB4">
        <w:rPr>
          <w:rFonts w:ascii="Times New Roman" w:eastAsia="Times New Roman" w:hAnsi="Times New Roman"/>
          <w:sz w:val="24"/>
          <w:szCs w:val="24"/>
        </w:rPr>
        <w:t>Table 2.</w:t>
      </w:r>
    </w:p>
    <w:p w14:paraId="067F3FC0" w14:textId="6FA0F632"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Distribution of snack consumption variables in the rural area (n=72)</w:t>
      </w:r>
    </w:p>
    <w:tbl>
      <w:tblPr>
        <w:tblW w:w="0" w:type="auto"/>
        <w:jc w:val="center"/>
        <w:tblLook w:val="04A0" w:firstRow="1" w:lastRow="0" w:firstColumn="1" w:lastColumn="0" w:noHBand="0" w:noVBand="1"/>
      </w:tblPr>
      <w:tblGrid>
        <w:gridCol w:w="2399"/>
        <w:gridCol w:w="2369"/>
        <w:gridCol w:w="2313"/>
        <w:gridCol w:w="2325"/>
      </w:tblGrid>
      <w:tr w:rsidR="009A14BF" w:rsidRPr="00093DB4" w14:paraId="38C2B41E" w14:textId="77777777" w:rsidTr="00093DB4">
        <w:trPr>
          <w:tblHeader/>
          <w:jc w:val="center"/>
        </w:trPr>
        <w:tc>
          <w:tcPr>
            <w:tcW w:w="2450" w:type="dxa"/>
            <w:tcBorders>
              <w:top w:val="single" w:sz="4" w:space="0" w:color="000000"/>
              <w:left w:val="nil"/>
              <w:bottom w:val="single" w:sz="4" w:space="0" w:color="000000"/>
              <w:right w:val="nil"/>
            </w:tcBorders>
            <w:vAlign w:val="center"/>
          </w:tcPr>
          <w:p w14:paraId="5ABD6CDC"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Variable</w:t>
            </w:r>
          </w:p>
        </w:tc>
        <w:tc>
          <w:tcPr>
            <w:tcW w:w="2450" w:type="dxa"/>
            <w:tcBorders>
              <w:top w:val="single" w:sz="4" w:space="0" w:color="000000"/>
              <w:left w:val="nil"/>
              <w:bottom w:val="single" w:sz="4" w:space="0" w:color="000000"/>
              <w:right w:val="nil"/>
            </w:tcBorders>
            <w:vAlign w:val="center"/>
          </w:tcPr>
          <w:p w14:paraId="3006120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b/>
                <w:sz w:val="24"/>
                <w:szCs w:val="24"/>
              </w:rPr>
              <w:t>Category</w:t>
            </w:r>
          </w:p>
        </w:tc>
        <w:tc>
          <w:tcPr>
            <w:tcW w:w="2450" w:type="dxa"/>
            <w:tcBorders>
              <w:top w:val="single" w:sz="4" w:space="0" w:color="000000"/>
              <w:left w:val="nil"/>
              <w:bottom w:val="single" w:sz="4" w:space="0" w:color="000000"/>
              <w:right w:val="nil"/>
            </w:tcBorders>
            <w:vAlign w:val="center"/>
          </w:tcPr>
          <w:p w14:paraId="73EE9C2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b/>
                <w:sz w:val="24"/>
                <w:szCs w:val="24"/>
              </w:rPr>
              <w:t>n</w:t>
            </w:r>
          </w:p>
        </w:tc>
        <w:tc>
          <w:tcPr>
            <w:tcW w:w="2450" w:type="dxa"/>
            <w:tcBorders>
              <w:top w:val="single" w:sz="4" w:space="0" w:color="000000"/>
              <w:left w:val="nil"/>
              <w:bottom w:val="single" w:sz="4" w:space="0" w:color="000000"/>
              <w:right w:val="nil"/>
            </w:tcBorders>
            <w:vAlign w:val="center"/>
          </w:tcPr>
          <w:p w14:paraId="23E8E5C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b/>
                <w:sz w:val="24"/>
                <w:szCs w:val="24"/>
              </w:rPr>
              <w:t>%</w:t>
            </w:r>
          </w:p>
        </w:tc>
      </w:tr>
      <w:tr w:rsidR="009A14BF" w:rsidRPr="00093DB4" w14:paraId="20BCA45A" w14:textId="77777777" w:rsidTr="00093DB4">
        <w:trPr>
          <w:jc w:val="center"/>
        </w:trPr>
        <w:tc>
          <w:tcPr>
            <w:tcW w:w="2450" w:type="dxa"/>
            <w:tcBorders>
              <w:top w:val="single" w:sz="4" w:space="0" w:color="000000"/>
              <w:left w:val="nil"/>
              <w:bottom w:val="single" w:sz="4" w:space="0" w:color="000000"/>
              <w:right w:val="nil"/>
            </w:tcBorders>
            <w:vAlign w:val="center"/>
          </w:tcPr>
          <w:p w14:paraId="2084B3AC"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 consumption behaviour</w:t>
            </w:r>
          </w:p>
        </w:tc>
        <w:tc>
          <w:tcPr>
            <w:tcW w:w="2450" w:type="dxa"/>
            <w:tcBorders>
              <w:top w:val="single" w:sz="4" w:space="0" w:color="000000"/>
              <w:left w:val="nil"/>
              <w:bottom w:val="single" w:sz="4" w:space="0" w:color="000000"/>
              <w:right w:val="nil"/>
            </w:tcBorders>
            <w:vAlign w:val="center"/>
          </w:tcPr>
          <w:p w14:paraId="1DED9FF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Good</w:t>
            </w:r>
          </w:p>
        </w:tc>
        <w:tc>
          <w:tcPr>
            <w:tcW w:w="2450" w:type="dxa"/>
            <w:tcBorders>
              <w:top w:val="single" w:sz="4" w:space="0" w:color="000000"/>
              <w:left w:val="nil"/>
              <w:bottom w:val="single" w:sz="4" w:space="0" w:color="000000"/>
              <w:right w:val="nil"/>
            </w:tcBorders>
            <w:vAlign w:val="center"/>
          </w:tcPr>
          <w:p w14:paraId="401F398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34</w:t>
            </w:r>
          </w:p>
        </w:tc>
        <w:tc>
          <w:tcPr>
            <w:tcW w:w="2450" w:type="dxa"/>
            <w:tcBorders>
              <w:top w:val="single" w:sz="4" w:space="0" w:color="000000"/>
              <w:left w:val="nil"/>
              <w:bottom w:val="single" w:sz="4" w:space="0" w:color="000000"/>
              <w:right w:val="nil"/>
            </w:tcBorders>
            <w:vAlign w:val="center"/>
          </w:tcPr>
          <w:p w14:paraId="08EDAAC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47.2</w:t>
            </w:r>
          </w:p>
        </w:tc>
      </w:tr>
      <w:tr w:rsidR="009A14BF" w:rsidRPr="00093DB4" w14:paraId="2AFA0F70" w14:textId="77777777" w:rsidTr="00093DB4">
        <w:trPr>
          <w:jc w:val="center"/>
        </w:trPr>
        <w:tc>
          <w:tcPr>
            <w:tcW w:w="2450" w:type="dxa"/>
            <w:tcBorders>
              <w:top w:val="single" w:sz="4" w:space="0" w:color="000000"/>
              <w:left w:val="nil"/>
              <w:bottom w:val="single" w:sz="4" w:space="0" w:color="000000"/>
              <w:right w:val="nil"/>
            </w:tcBorders>
            <w:vAlign w:val="center"/>
          </w:tcPr>
          <w:p w14:paraId="7FF9DC4B" w14:textId="77777777" w:rsidR="009A14BF" w:rsidRPr="00093DB4" w:rsidRDefault="009A14BF">
            <w:pPr>
              <w:spacing w:after="0" w:line="240" w:lineRule="auto"/>
              <w:rPr>
                <w:sz w:val="24"/>
                <w:szCs w:val="24"/>
              </w:rPr>
            </w:pPr>
          </w:p>
        </w:tc>
        <w:tc>
          <w:tcPr>
            <w:tcW w:w="2450" w:type="dxa"/>
            <w:tcBorders>
              <w:top w:val="single" w:sz="4" w:space="0" w:color="000000"/>
              <w:left w:val="nil"/>
              <w:bottom w:val="single" w:sz="4" w:space="0" w:color="000000"/>
              <w:right w:val="nil"/>
            </w:tcBorders>
            <w:vAlign w:val="center"/>
          </w:tcPr>
          <w:p w14:paraId="2F853404"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Poor</w:t>
            </w:r>
          </w:p>
        </w:tc>
        <w:tc>
          <w:tcPr>
            <w:tcW w:w="2450" w:type="dxa"/>
            <w:tcBorders>
              <w:top w:val="single" w:sz="4" w:space="0" w:color="000000"/>
              <w:left w:val="nil"/>
              <w:bottom w:val="single" w:sz="4" w:space="0" w:color="000000"/>
              <w:right w:val="nil"/>
            </w:tcBorders>
            <w:vAlign w:val="center"/>
          </w:tcPr>
          <w:p w14:paraId="2429403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38</w:t>
            </w:r>
          </w:p>
        </w:tc>
        <w:tc>
          <w:tcPr>
            <w:tcW w:w="2450" w:type="dxa"/>
            <w:tcBorders>
              <w:top w:val="single" w:sz="4" w:space="0" w:color="000000"/>
              <w:left w:val="nil"/>
              <w:bottom w:val="single" w:sz="4" w:space="0" w:color="000000"/>
              <w:right w:val="nil"/>
            </w:tcBorders>
            <w:vAlign w:val="center"/>
          </w:tcPr>
          <w:p w14:paraId="5D9151C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52.8</w:t>
            </w:r>
          </w:p>
        </w:tc>
      </w:tr>
      <w:tr w:rsidR="009A14BF" w:rsidRPr="00093DB4" w14:paraId="6CE86F51" w14:textId="77777777" w:rsidTr="00093DB4">
        <w:trPr>
          <w:jc w:val="center"/>
        </w:trPr>
        <w:tc>
          <w:tcPr>
            <w:tcW w:w="2450" w:type="dxa"/>
            <w:tcBorders>
              <w:top w:val="single" w:sz="4" w:space="0" w:color="000000"/>
              <w:left w:val="nil"/>
              <w:bottom w:val="single" w:sz="4" w:space="0" w:color="000000"/>
              <w:right w:val="nil"/>
            </w:tcBorders>
            <w:vAlign w:val="center"/>
          </w:tcPr>
          <w:p w14:paraId="562F099D"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Snacking motivation</w:t>
            </w:r>
          </w:p>
        </w:tc>
        <w:tc>
          <w:tcPr>
            <w:tcW w:w="2450" w:type="dxa"/>
            <w:tcBorders>
              <w:top w:val="single" w:sz="4" w:space="0" w:color="000000"/>
              <w:left w:val="nil"/>
              <w:bottom w:val="single" w:sz="4" w:space="0" w:color="000000"/>
              <w:right w:val="nil"/>
            </w:tcBorders>
            <w:vAlign w:val="center"/>
          </w:tcPr>
          <w:p w14:paraId="6590A24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Strong</w:t>
            </w:r>
          </w:p>
        </w:tc>
        <w:tc>
          <w:tcPr>
            <w:tcW w:w="2450" w:type="dxa"/>
            <w:tcBorders>
              <w:top w:val="single" w:sz="4" w:space="0" w:color="000000"/>
              <w:left w:val="nil"/>
              <w:bottom w:val="single" w:sz="4" w:space="0" w:color="000000"/>
              <w:right w:val="nil"/>
            </w:tcBorders>
            <w:vAlign w:val="center"/>
          </w:tcPr>
          <w:p w14:paraId="78AE5A4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25</w:t>
            </w:r>
          </w:p>
        </w:tc>
        <w:tc>
          <w:tcPr>
            <w:tcW w:w="2450" w:type="dxa"/>
            <w:tcBorders>
              <w:top w:val="single" w:sz="4" w:space="0" w:color="000000"/>
              <w:left w:val="nil"/>
              <w:bottom w:val="single" w:sz="4" w:space="0" w:color="000000"/>
              <w:right w:val="nil"/>
            </w:tcBorders>
            <w:vAlign w:val="center"/>
          </w:tcPr>
          <w:p w14:paraId="53C94EF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34.7</w:t>
            </w:r>
          </w:p>
        </w:tc>
      </w:tr>
      <w:tr w:rsidR="009A14BF" w:rsidRPr="00093DB4" w14:paraId="5BD342E9" w14:textId="77777777" w:rsidTr="00093DB4">
        <w:trPr>
          <w:jc w:val="center"/>
        </w:trPr>
        <w:tc>
          <w:tcPr>
            <w:tcW w:w="2450" w:type="dxa"/>
            <w:tcBorders>
              <w:top w:val="single" w:sz="4" w:space="0" w:color="000000"/>
              <w:left w:val="nil"/>
              <w:bottom w:val="single" w:sz="4" w:space="0" w:color="000000"/>
              <w:right w:val="nil"/>
            </w:tcBorders>
            <w:vAlign w:val="center"/>
          </w:tcPr>
          <w:p w14:paraId="2C0358BC" w14:textId="77777777" w:rsidR="009A14BF" w:rsidRPr="00093DB4" w:rsidRDefault="009A14BF">
            <w:pPr>
              <w:spacing w:after="0" w:line="240" w:lineRule="auto"/>
              <w:rPr>
                <w:sz w:val="24"/>
                <w:szCs w:val="24"/>
              </w:rPr>
            </w:pPr>
          </w:p>
        </w:tc>
        <w:tc>
          <w:tcPr>
            <w:tcW w:w="2450" w:type="dxa"/>
            <w:tcBorders>
              <w:top w:val="single" w:sz="4" w:space="0" w:color="000000"/>
              <w:left w:val="nil"/>
              <w:bottom w:val="single" w:sz="4" w:space="0" w:color="000000"/>
              <w:right w:val="nil"/>
            </w:tcBorders>
            <w:vAlign w:val="center"/>
          </w:tcPr>
          <w:p w14:paraId="176FE3C4"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Weak</w:t>
            </w:r>
          </w:p>
        </w:tc>
        <w:tc>
          <w:tcPr>
            <w:tcW w:w="2450" w:type="dxa"/>
            <w:tcBorders>
              <w:top w:val="single" w:sz="4" w:space="0" w:color="000000"/>
              <w:left w:val="nil"/>
              <w:bottom w:val="single" w:sz="4" w:space="0" w:color="000000"/>
              <w:right w:val="nil"/>
            </w:tcBorders>
            <w:vAlign w:val="center"/>
          </w:tcPr>
          <w:p w14:paraId="3A8183E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47</w:t>
            </w:r>
          </w:p>
        </w:tc>
        <w:tc>
          <w:tcPr>
            <w:tcW w:w="2450" w:type="dxa"/>
            <w:tcBorders>
              <w:top w:val="single" w:sz="4" w:space="0" w:color="000000"/>
              <w:left w:val="nil"/>
              <w:bottom w:val="single" w:sz="4" w:space="0" w:color="000000"/>
              <w:right w:val="nil"/>
            </w:tcBorders>
            <w:vAlign w:val="center"/>
          </w:tcPr>
          <w:p w14:paraId="15AE53D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65.3</w:t>
            </w:r>
          </w:p>
        </w:tc>
      </w:tr>
      <w:tr w:rsidR="009A14BF" w:rsidRPr="00093DB4" w14:paraId="4156279A" w14:textId="77777777" w:rsidTr="00093DB4">
        <w:trPr>
          <w:jc w:val="center"/>
        </w:trPr>
        <w:tc>
          <w:tcPr>
            <w:tcW w:w="2450" w:type="dxa"/>
            <w:tcBorders>
              <w:top w:val="single" w:sz="4" w:space="0" w:color="000000"/>
              <w:left w:val="nil"/>
              <w:bottom w:val="single" w:sz="4" w:space="0" w:color="000000"/>
              <w:right w:val="nil"/>
            </w:tcBorders>
            <w:vAlign w:val="center"/>
          </w:tcPr>
          <w:p w14:paraId="52BABC62"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 characteristics</w:t>
            </w:r>
          </w:p>
        </w:tc>
        <w:tc>
          <w:tcPr>
            <w:tcW w:w="2450" w:type="dxa"/>
            <w:tcBorders>
              <w:top w:val="single" w:sz="4" w:space="0" w:color="000000"/>
              <w:left w:val="nil"/>
              <w:bottom w:val="single" w:sz="4" w:space="0" w:color="000000"/>
              <w:right w:val="nil"/>
            </w:tcBorders>
            <w:vAlign w:val="center"/>
          </w:tcPr>
          <w:p w14:paraId="60D9F05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Healthy</w:t>
            </w:r>
          </w:p>
        </w:tc>
        <w:tc>
          <w:tcPr>
            <w:tcW w:w="2450" w:type="dxa"/>
            <w:tcBorders>
              <w:top w:val="single" w:sz="4" w:space="0" w:color="000000"/>
              <w:left w:val="nil"/>
              <w:bottom w:val="single" w:sz="4" w:space="0" w:color="000000"/>
              <w:right w:val="nil"/>
            </w:tcBorders>
            <w:vAlign w:val="center"/>
          </w:tcPr>
          <w:p w14:paraId="23E6134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48</w:t>
            </w:r>
          </w:p>
        </w:tc>
        <w:tc>
          <w:tcPr>
            <w:tcW w:w="2450" w:type="dxa"/>
            <w:tcBorders>
              <w:top w:val="single" w:sz="4" w:space="0" w:color="000000"/>
              <w:left w:val="nil"/>
              <w:bottom w:val="single" w:sz="4" w:space="0" w:color="000000"/>
              <w:right w:val="nil"/>
            </w:tcBorders>
            <w:vAlign w:val="center"/>
          </w:tcPr>
          <w:p w14:paraId="4C7F0E5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66.7</w:t>
            </w:r>
          </w:p>
        </w:tc>
      </w:tr>
      <w:tr w:rsidR="009A14BF" w:rsidRPr="00093DB4" w14:paraId="30B099EA" w14:textId="77777777" w:rsidTr="00093DB4">
        <w:trPr>
          <w:jc w:val="center"/>
        </w:trPr>
        <w:tc>
          <w:tcPr>
            <w:tcW w:w="2450" w:type="dxa"/>
            <w:tcBorders>
              <w:top w:val="single" w:sz="4" w:space="0" w:color="000000"/>
              <w:left w:val="nil"/>
              <w:bottom w:val="single" w:sz="4" w:space="0" w:color="000000"/>
              <w:right w:val="nil"/>
            </w:tcBorders>
            <w:vAlign w:val="center"/>
          </w:tcPr>
          <w:p w14:paraId="213A0C6C" w14:textId="77777777" w:rsidR="009A14BF" w:rsidRPr="00093DB4" w:rsidRDefault="009A14BF">
            <w:pPr>
              <w:spacing w:after="0" w:line="240" w:lineRule="auto"/>
              <w:rPr>
                <w:sz w:val="24"/>
                <w:szCs w:val="24"/>
              </w:rPr>
            </w:pPr>
          </w:p>
        </w:tc>
        <w:tc>
          <w:tcPr>
            <w:tcW w:w="2450" w:type="dxa"/>
            <w:tcBorders>
              <w:top w:val="single" w:sz="4" w:space="0" w:color="000000"/>
              <w:left w:val="nil"/>
              <w:bottom w:val="single" w:sz="4" w:space="0" w:color="000000"/>
              <w:right w:val="nil"/>
            </w:tcBorders>
            <w:vAlign w:val="center"/>
          </w:tcPr>
          <w:p w14:paraId="4AFB5E0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Unhealthy</w:t>
            </w:r>
          </w:p>
        </w:tc>
        <w:tc>
          <w:tcPr>
            <w:tcW w:w="2450" w:type="dxa"/>
            <w:tcBorders>
              <w:top w:val="single" w:sz="4" w:space="0" w:color="000000"/>
              <w:left w:val="nil"/>
              <w:bottom w:val="single" w:sz="4" w:space="0" w:color="000000"/>
              <w:right w:val="nil"/>
            </w:tcBorders>
            <w:vAlign w:val="center"/>
          </w:tcPr>
          <w:p w14:paraId="285327B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24</w:t>
            </w:r>
          </w:p>
        </w:tc>
        <w:tc>
          <w:tcPr>
            <w:tcW w:w="2450" w:type="dxa"/>
            <w:tcBorders>
              <w:top w:val="single" w:sz="4" w:space="0" w:color="000000"/>
              <w:left w:val="nil"/>
              <w:bottom w:val="single" w:sz="4" w:space="0" w:color="000000"/>
              <w:right w:val="nil"/>
            </w:tcBorders>
            <w:vAlign w:val="center"/>
          </w:tcPr>
          <w:p w14:paraId="19280E1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33.3</w:t>
            </w:r>
          </w:p>
        </w:tc>
      </w:tr>
      <w:tr w:rsidR="009A14BF" w:rsidRPr="00093DB4" w14:paraId="355E74AD" w14:textId="77777777" w:rsidTr="00093DB4">
        <w:trPr>
          <w:jc w:val="center"/>
        </w:trPr>
        <w:tc>
          <w:tcPr>
            <w:tcW w:w="2450" w:type="dxa"/>
            <w:tcBorders>
              <w:top w:val="single" w:sz="4" w:space="0" w:color="000000"/>
              <w:left w:val="nil"/>
              <w:bottom w:val="single" w:sz="4" w:space="0" w:color="000000"/>
              <w:right w:val="nil"/>
            </w:tcBorders>
            <w:vAlign w:val="center"/>
          </w:tcPr>
          <w:p w14:paraId="020D6387"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Social environment</w:t>
            </w:r>
          </w:p>
        </w:tc>
        <w:tc>
          <w:tcPr>
            <w:tcW w:w="2450" w:type="dxa"/>
            <w:tcBorders>
              <w:top w:val="single" w:sz="4" w:space="0" w:color="000000"/>
              <w:left w:val="nil"/>
              <w:bottom w:val="single" w:sz="4" w:space="0" w:color="000000"/>
              <w:right w:val="nil"/>
            </w:tcBorders>
            <w:vAlign w:val="center"/>
          </w:tcPr>
          <w:p w14:paraId="56AFEA6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Supportive</w:t>
            </w:r>
          </w:p>
        </w:tc>
        <w:tc>
          <w:tcPr>
            <w:tcW w:w="2450" w:type="dxa"/>
            <w:tcBorders>
              <w:top w:val="single" w:sz="4" w:space="0" w:color="000000"/>
              <w:left w:val="nil"/>
              <w:bottom w:val="single" w:sz="4" w:space="0" w:color="000000"/>
              <w:right w:val="nil"/>
            </w:tcBorders>
            <w:vAlign w:val="center"/>
          </w:tcPr>
          <w:p w14:paraId="35BFC89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24</w:t>
            </w:r>
          </w:p>
        </w:tc>
        <w:tc>
          <w:tcPr>
            <w:tcW w:w="2450" w:type="dxa"/>
            <w:tcBorders>
              <w:top w:val="single" w:sz="4" w:space="0" w:color="000000"/>
              <w:left w:val="nil"/>
              <w:bottom w:val="single" w:sz="4" w:space="0" w:color="000000"/>
              <w:right w:val="nil"/>
            </w:tcBorders>
            <w:vAlign w:val="center"/>
          </w:tcPr>
          <w:p w14:paraId="197EED3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33.3</w:t>
            </w:r>
          </w:p>
        </w:tc>
      </w:tr>
      <w:tr w:rsidR="009A14BF" w:rsidRPr="00093DB4" w14:paraId="0C081D59" w14:textId="77777777" w:rsidTr="00093DB4">
        <w:trPr>
          <w:jc w:val="center"/>
        </w:trPr>
        <w:tc>
          <w:tcPr>
            <w:tcW w:w="2450" w:type="dxa"/>
            <w:tcBorders>
              <w:top w:val="single" w:sz="4" w:space="0" w:color="000000"/>
              <w:left w:val="nil"/>
              <w:bottom w:val="single" w:sz="4" w:space="0" w:color="000000"/>
              <w:right w:val="nil"/>
            </w:tcBorders>
            <w:vAlign w:val="center"/>
          </w:tcPr>
          <w:p w14:paraId="03AEDEB4" w14:textId="77777777" w:rsidR="009A14BF" w:rsidRPr="00093DB4" w:rsidRDefault="009A14BF">
            <w:pPr>
              <w:spacing w:after="0" w:line="240" w:lineRule="auto"/>
              <w:rPr>
                <w:sz w:val="24"/>
                <w:szCs w:val="24"/>
              </w:rPr>
            </w:pPr>
          </w:p>
        </w:tc>
        <w:tc>
          <w:tcPr>
            <w:tcW w:w="2450" w:type="dxa"/>
            <w:tcBorders>
              <w:top w:val="single" w:sz="4" w:space="0" w:color="000000"/>
              <w:left w:val="nil"/>
              <w:bottom w:val="single" w:sz="4" w:space="0" w:color="000000"/>
              <w:right w:val="nil"/>
            </w:tcBorders>
            <w:vAlign w:val="center"/>
          </w:tcPr>
          <w:p w14:paraId="66A2484D"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Not supportive</w:t>
            </w:r>
          </w:p>
        </w:tc>
        <w:tc>
          <w:tcPr>
            <w:tcW w:w="2450" w:type="dxa"/>
            <w:tcBorders>
              <w:top w:val="single" w:sz="4" w:space="0" w:color="000000"/>
              <w:left w:val="nil"/>
              <w:bottom w:val="single" w:sz="4" w:space="0" w:color="000000"/>
              <w:right w:val="nil"/>
            </w:tcBorders>
            <w:vAlign w:val="center"/>
          </w:tcPr>
          <w:p w14:paraId="7ABC928D"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48</w:t>
            </w:r>
          </w:p>
        </w:tc>
        <w:tc>
          <w:tcPr>
            <w:tcW w:w="2450" w:type="dxa"/>
            <w:tcBorders>
              <w:top w:val="single" w:sz="4" w:space="0" w:color="000000"/>
              <w:left w:val="nil"/>
              <w:bottom w:val="single" w:sz="4" w:space="0" w:color="000000"/>
              <w:right w:val="nil"/>
            </w:tcBorders>
            <w:vAlign w:val="center"/>
          </w:tcPr>
          <w:p w14:paraId="2F4F309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66.7</w:t>
            </w:r>
          </w:p>
        </w:tc>
      </w:tr>
      <w:tr w:rsidR="009A14BF" w:rsidRPr="00093DB4" w14:paraId="360FA08C" w14:textId="77777777" w:rsidTr="00093DB4">
        <w:trPr>
          <w:jc w:val="center"/>
        </w:trPr>
        <w:tc>
          <w:tcPr>
            <w:tcW w:w="2450" w:type="dxa"/>
            <w:tcBorders>
              <w:top w:val="single" w:sz="4" w:space="0" w:color="000000"/>
              <w:left w:val="nil"/>
              <w:bottom w:val="single" w:sz="4" w:space="0" w:color="000000"/>
              <w:right w:val="nil"/>
            </w:tcBorders>
            <w:vAlign w:val="center"/>
          </w:tcPr>
          <w:p w14:paraId="2E5AA8EA"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 availability</w:t>
            </w:r>
          </w:p>
        </w:tc>
        <w:tc>
          <w:tcPr>
            <w:tcW w:w="2450" w:type="dxa"/>
            <w:tcBorders>
              <w:top w:val="single" w:sz="4" w:space="0" w:color="000000"/>
              <w:left w:val="nil"/>
              <w:bottom w:val="single" w:sz="4" w:space="0" w:color="000000"/>
              <w:right w:val="nil"/>
            </w:tcBorders>
            <w:vAlign w:val="center"/>
          </w:tcPr>
          <w:p w14:paraId="670EDAB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Healthy</w:t>
            </w:r>
          </w:p>
        </w:tc>
        <w:tc>
          <w:tcPr>
            <w:tcW w:w="2450" w:type="dxa"/>
            <w:tcBorders>
              <w:top w:val="single" w:sz="4" w:space="0" w:color="000000"/>
              <w:left w:val="nil"/>
              <w:bottom w:val="single" w:sz="4" w:space="0" w:color="000000"/>
              <w:right w:val="nil"/>
            </w:tcBorders>
            <w:vAlign w:val="center"/>
          </w:tcPr>
          <w:p w14:paraId="3FE9AA2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21</w:t>
            </w:r>
          </w:p>
        </w:tc>
        <w:tc>
          <w:tcPr>
            <w:tcW w:w="2450" w:type="dxa"/>
            <w:tcBorders>
              <w:top w:val="single" w:sz="4" w:space="0" w:color="000000"/>
              <w:left w:val="nil"/>
              <w:bottom w:val="single" w:sz="4" w:space="0" w:color="000000"/>
              <w:right w:val="nil"/>
            </w:tcBorders>
            <w:vAlign w:val="center"/>
          </w:tcPr>
          <w:p w14:paraId="02313D7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29.2</w:t>
            </w:r>
          </w:p>
        </w:tc>
      </w:tr>
      <w:tr w:rsidR="009A14BF" w:rsidRPr="00093DB4" w14:paraId="5F74BA3E" w14:textId="77777777" w:rsidTr="00093DB4">
        <w:trPr>
          <w:jc w:val="center"/>
        </w:trPr>
        <w:tc>
          <w:tcPr>
            <w:tcW w:w="2450" w:type="dxa"/>
            <w:tcBorders>
              <w:top w:val="single" w:sz="4" w:space="0" w:color="000000"/>
              <w:left w:val="nil"/>
              <w:bottom w:val="single" w:sz="4" w:space="0" w:color="000000"/>
              <w:right w:val="nil"/>
            </w:tcBorders>
            <w:vAlign w:val="center"/>
          </w:tcPr>
          <w:p w14:paraId="108EFC0C" w14:textId="77777777" w:rsidR="009A14BF" w:rsidRPr="00093DB4" w:rsidRDefault="009A14BF">
            <w:pPr>
              <w:spacing w:after="0" w:line="240" w:lineRule="auto"/>
              <w:rPr>
                <w:sz w:val="24"/>
                <w:szCs w:val="24"/>
              </w:rPr>
            </w:pPr>
          </w:p>
        </w:tc>
        <w:tc>
          <w:tcPr>
            <w:tcW w:w="2450" w:type="dxa"/>
            <w:tcBorders>
              <w:top w:val="single" w:sz="4" w:space="0" w:color="000000"/>
              <w:left w:val="nil"/>
              <w:bottom w:val="single" w:sz="4" w:space="0" w:color="000000"/>
              <w:right w:val="nil"/>
            </w:tcBorders>
            <w:vAlign w:val="center"/>
          </w:tcPr>
          <w:p w14:paraId="5868130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Unhealthy</w:t>
            </w:r>
          </w:p>
        </w:tc>
        <w:tc>
          <w:tcPr>
            <w:tcW w:w="2450" w:type="dxa"/>
            <w:tcBorders>
              <w:top w:val="single" w:sz="4" w:space="0" w:color="000000"/>
              <w:left w:val="nil"/>
              <w:bottom w:val="single" w:sz="4" w:space="0" w:color="000000"/>
              <w:right w:val="nil"/>
            </w:tcBorders>
            <w:vAlign w:val="center"/>
          </w:tcPr>
          <w:p w14:paraId="2BAED60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51</w:t>
            </w:r>
          </w:p>
        </w:tc>
        <w:tc>
          <w:tcPr>
            <w:tcW w:w="2450" w:type="dxa"/>
            <w:tcBorders>
              <w:top w:val="single" w:sz="4" w:space="0" w:color="000000"/>
              <w:left w:val="nil"/>
              <w:bottom w:val="single" w:sz="4" w:space="0" w:color="000000"/>
              <w:right w:val="nil"/>
            </w:tcBorders>
            <w:vAlign w:val="center"/>
          </w:tcPr>
          <w:p w14:paraId="6D548B6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70.8</w:t>
            </w:r>
          </w:p>
        </w:tc>
      </w:tr>
    </w:tbl>
    <w:p w14:paraId="1C19D5D6" w14:textId="77777777" w:rsidR="009A14BF" w:rsidRDefault="00000000">
      <w:pPr>
        <w:spacing w:after="0" w:line="240" w:lineRule="auto"/>
        <w:ind w:firstLine="283"/>
        <w:jc w:val="both"/>
        <w:rPr>
          <w:rFonts w:ascii="Times New Roman" w:eastAsia="Times New Roman" w:hAnsi="Times New Roman"/>
          <w:sz w:val="24"/>
        </w:rPr>
      </w:pPr>
      <w:r>
        <w:rPr>
          <w:rFonts w:ascii="Times New Roman" w:eastAsia="Times New Roman" w:hAnsi="Times New Roman"/>
          <w:sz w:val="24"/>
        </w:rPr>
        <w:t>The urban group showed a different distribution (Table 3). Good snack consumption behaviour was found in 56.5% of urban students. Most urban students had strong motivation for choosing healthy snacks (55.1%), consumed snacks with healthy characteristics (66.7%), had a supportive social environment (65.2%), and had healthy snack availability around school (66.7%).</w:t>
      </w:r>
    </w:p>
    <w:p w14:paraId="0467DA2E" w14:textId="77777777" w:rsidR="00093DB4" w:rsidRDefault="00093DB4">
      <w:pPr>
        <w:spacing w:after="0" w:line="240" w:lineRule="auto"/>
        <w:ind w:firstLine="283"/>
        <w:jc w:val="both"/>
        <w:rPr>
          <w:rFonts w:ascii="Times New Roman" w:eastAsia="Times New Roman" w:hAnsi="Times New Roman"/>
          <w:sz w:val="24"/>
        </w:rPr>
      </w:pPr>
    </w:p>
    <w:p w14:paraId="1E9803A2" w14:textId="77777777" w:rsidR="00093DB4" w:rsidRDefault="00093DB4">
      <w:pPr>
        <w:spacing w:after="0" w:line="240" w:lineRule="auto"/>
        <w:ind w:firstLine="283"/>
        <w:jc w:val="both"/>
        <w:rPr>
          <w:rFonts w:ascii="Times New Roman" w:eastAsia="Times New Roman" w:hAnsi="Times New Roman"/>
          <w:sz w:val="24"/>
        </w:rPr>
      </w:pPr>
    </w:p>
    <w:p w14:paraId="7329BEAF" w14:textId="77777777" w:rsidR="00093DB4" w:rsidRDefault="00093DB4">
      <w:pPr>
        <w:spacing w:after="0" w:line="240" w:lineRule="auto"/>
        <w:ind w:firstLine="283"/>
        <w:jc w:val="both"/>
        <w:rPr>
          <w:rFonts w:ascii="Times New Roman" w:eastAsia="Times New Roman" w:hAnsi="Times New Roman"/>
          <w:sz w:val="24"/>
        </w:rPr>
      </w:pPr>
    </w:p>
    <w:p w14:paraId="45E1B599" w14:textId="77777777" w:rsidR="00093DB4" w:rsidRDefault="00093DB4">
      <w:pPr>
        <w:spacing w:after="0" w:line="240" w:lineRule="auto"/>
        <w:ind w:firstLine="283"/>
        <w:jc w:val="both"/>
      </w:pPr>
    </w:p>
    <w:p w14:paraId="6D7D53A7" w14:textId="77777777" w:rsidR="00093DB4" w:rsidRDefault="00000000" w:rsidP="00093DB4">
      <w:pPr>
        <w:spacing w:before="120" w:after="0" w:line="240" w:lineRule="auto"/>
        <w:jc w:val="center"/>
        <w:rPr>
          <w:rFonts w:ascii="Times New Roman" w:eastAsia="Times New Roman" w:hAnsi="Times New Roman"/>
          <w:sz w:val="24"/>
          <w:szCs w:val="24"/>
        </w:rPr>
      </w:pPr>
      <w:r w:rsidRPr="00093DB4">
        <w:rPr>
          <w:rFonts w:ascii="Times New Roman" w:eastAsia="Times New Roman" w:hAnsi="Times New Roman"/>
          <w:sz w:val="24"/>
          <w:szCs w:val="24"/>
        </w:rPr>
        <w:lastRenderedPageBreak/>
        <w:t xml:space="preserve">Table 3. </w:t>
      </w:r>
    </w:p>
    <w:p w14:paraId="262D2924" w14:textId="43E619EC"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Distribution of snack consumption variables in the urban area (n=69)</w:t>
      </w:r>
    </w:p>
    <w:tbl>
      <w:tblPr>
        <w:tblW w:w="0" w:type="auto"/>
        <w:jc w:val="center"/>
        <w:tblLook w:val="04A0" w:firstRow="1" w:lastRow="0" w:firstColumn="1" w:lastColumn="0" w:noHBand="0" w:noVBand="1"/>
      </w:tblPr>
      <w:tblGrid>
        <w:gridCol w:w="2399"/>
        <w:gridCol w:w="2369"/>
        <w:gridCol w:w="2313"/>
        <w:gridCol w:w="2325"/>
      </w:tblGrid>
      <w:tr w:rsidR="009A14BF" w:rsidRPr="00093DB4" w14:paraId="16DDA85A" w14:textId="77777777" w:rsidTr="00093DB4">
        <w:trPr>
          <w:tblHeader/>
          <w:jc w:val="center"/>
        </w:trPr>
        <w:tc>
          <w:tcPr>
            <w:tcW w:w="2450" w:type="dxa"/>
            <w:tcBorders>
              <w:top w:val="single" w:sz="4" w:space="0" w:color="000000"/>
              <w:left w:val="nil"/>
              <w:bottom w:val="single" w:sz="4" w:space="0" w:color="000000"/>
              <w:right w:val="nil"/>
            </w:tcBorders>
            <w:vAlign w:val="center"/>
          </w:tcPr>
          <w:p w14:paraId="2D901EF9"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Variable</w:t>
            </w:r>
          </w:p>
        </w:tc>
        <w:tc>
          <w:tcPr>
            <w:tcW w:w="2450" w:type="dxa"/>
            <w:tcBorders>
              <w:top w:val="single" w:sz="4" w:space="0" w:color="000000"/>
              <w:left w:val="nil"/>
              <w:bottom w:val="single" w:sz="4" w:space="0" w:color="000000"/>
              <w:right w:val="nil"/>
            </w:tcBorders>
            <w:vAlign w:val="center"/>
          </w:tcPr>
          <w:p w14:paraId="0D010895"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Category</w:t>
            </w:r>
          </w:p>
        </w:tc>
        <w:tc>
          <w:tcPr>
            <w:tcW w:w="2450" w:type="dxa"/>
            <w:tcBorders>
              <w:top w:val="single" w:sz="4" w:space="0" w:color="000000"/>
              <w:left w:val="nil"/>
              <w:bottom w:val="single" w:sz="4" w:space="0" w:color="000000"/>
              <w:right w:val="nil"/>
            </w:tcBorders>
            <w:vAlign w:val="center"/>
          </w:tcPr>
          <w:p w14:paraId="7BB2F299"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n</w:t>
            </w:r>
          </w:p>
        </w:tc>
        <w:tc>
          <w:tcPr>
            <w:tcW w:w="2450" w:type="dxa"/>
            <w:tcBorders>
              <w:top w:val="single" w:sz="4" w:space="0" w:color="000000"/>
              <w:left w:val="nil"/>
              <w:bottom w:val="single" w:sz="4" w:space="0" w:color="000000"/>
              <w:right w:val="nil"/>
            </w:tcBorders>
            <w:vAlign w:val="center"/>
          </w:tcPr>
          <w:p w14:paraId="1B11D9CF"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w:t>
            </w:r>
          </w:p>
        </w:tc>
      </w:tr>
      <w:tr w:rsidR="009A14BF" w:rsidRPr="00093DB4" w14:paraId="234E34DC" w14:textId="77777777" w:rsidTr="00093DB4">
        <w:trPr>
          <w:jc w:val="center"/>
        </w:trPr>
        <w:tc>
          <w:tcPr>
            <w:tcW w:w="2450" w:type="dxa"/>
            <w:tcBorders>
              <w:top w:val="single" w:sz="4" w:space="0" w:color="000000"/>
              <w:left w:val="nil"/>
              <w:bottom w:val="single" w:sz="4" w:space="0" w:color="000000"/>
              <w:right w:val="nil"/>
            </w:tcBorders>
            <w:vAlign w:val="center"/>
          </w:tcPr>
          <w:p w14:paraId="5090497B"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 consumption behaviour</w:t>
            </w:r>
          </w:p>
        </w:tc>
        <w:tc>
          <w:tcPr>
            <w:tcW w:w="2450" w:type="dxa"/>
            <w:tcBorders>
              <w:top w:val="single" w:sz="4" w:space="0" w:color="000000"/>
              <w:left w:val="nil"/>
              <w:bottom w:val="single" w:sz="4" w:space="0" w:color="000000"/>
              <w:right w:val="nil"/>
            </w:tcBorders>
            <w:vAlign w:val="center"/>
          </w:tcPr>
          <w:p w14:paraId="4A5FC3C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Good</w:t>
            </w:r>
          </w:p>
        </w:tc>
        <w:tc>
          <w:tcPr>
            <w:tcW w:w="2450" w:type="dxa"/>
            <w:tcBorders>
              <w:top w:val="single" w:sz="4" w:space="0" w:color="000000"/>
              <w:left w:val="nil"/>
              <w:bottom w:val="single" w:sz="4" w:space="0" w:color="000000"/>
              <w:right w:val="nil"/>
            </w:tcBorders>
            <w:vAlign w:val="center"/>
          </w:tcPr>
          <w:p w14:paraId="56E6B02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39</w:t>
            </w:r>
          </w:p>
        </w:tc>
        <w:tc>
          <w:tcPr>
            <w:tcW w:w="2450" w:type="dxa"/>
            <w:tcBorders>
              <w:top w:val="single" w:sz="4" w:space="0" w:color="000000"/>
              <w:left w:val="nil"/>
              <w:bottom w:val="single" w:sz="4" w:space="0" w:color="000000"/>
              <w:right w:val="nil"/>
            </w:tcBorders>
            <w:vAlign w:val="center"/>
          </w:tcPr>
          <w:p w14:paraId="6B01134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56.5</w:t>
            </w:r>
          </w:p>
        </w:tc>
      </w:tr>
      <w:tr w:rsidR="009A14BF" w:rsidRPr="00093DB4" w14:paraId="655F12B7" w14:textId="77777777" w:rsidTr="00093DB4">
        <w:trPr>
          <w:jc w:val="center"/>
        </w:trPr>
        <w:tc>
          <w:tcPr>
            <w:tcW w:w="2450" w:type="dxa"/>
            <w:tcBorders>
              <w:top w:val="single" w:sz="4" w:space="0" w:color="000000"/>
              <w:left w:val="nil"/>
              <w:bottom w:val="single" w:sz="4" w:space="0" w:color="000000"/>
              <w:right w:val="nil"/>
            </w:tcBorders>
            <w:vAlign w:val="center"/>
          </w:tcPr>
          <w:p w14:paraId="0A4EA548" w14:textId="77777777" w:rsidR="009A14BF" w:rsidRPr="00093DB4" w:rsidRDefault="009A14BF">
            <w:pPr>
              <w:spacing w:after="0" w:line="240" w:lineRule="auto"/>
              <w:rPr>
                <w:sz w:val="24"/>
                <w:szCs w:val="24"/>
              </w:rPr>
            </w:pPr>
          </w:p>
        </w:tc>
        <w:tc>
          <w:tcPr>
            <w:tcW w:w="2450" w:type="dxa"/>
            <w:tcBorders>
              <w:top w:val="single" w:sz="4" w:space="0" w:color="000000"/>
              <w:left w:val="nil"/>
              <w:bottom w:val="single" w:sz="4" w:space="0" w:color="000000"/>
              <w:right w:val="nil"/>
            </w:tcBorders>
            <w:vAlign w:val="center"/>
          </w:tcPr>
          <w:p w14:paraId="062767F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Poor</w:t>
            </w:r>
          </w:p>
        </w:tc>
        <w:tc>
          <w:tcPr>
            <w:tcW w:w="2450" w:type="dxa"/>
            <w:tcBorders>
              <w:top w:val="single" w:sz="4" w:space="0" w:color="000000"/>
              <w:left w:val="nil"/>
              <w:bottom w:val="single" w:sz="4" w:space="0" w:color="000000"/>
              <w:right w:val="nil"/>
            </w:tcBorders>
            <w:vAlign w:val="center"/>
          </w:tcPr>
          <w:p w14:paraId="30CC3A0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30</w:t>
            </w:r>
          </w:p>
        </w:tc>
        <w:tc>
          <w:tcPr>
            <w:tcW w:w="2450" w:type="dxa"/>
            <w:tcBorders>
              <w:top w:val="single" w:sz="4" w:space="0" w:color="000000"/>
              <w:left w:val="nil"/>
              <w:bottom w:val="single" w:sz="4" w:space="0" w:color="000000"/>
              <w:right w:val="nil"/>
            </w:tcBorders>
            <w:vAlign w:val="center"/>
          </w:tcPr>
          <w:p w14:paraId="25DB33CD"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43.5</w:t>
            </w:r>
          </w:p>
        </w:tc>
      </w:tr>
      <w:tr w:rsidR="009A14BF" w:rsidRPr="00093DB4" w14:paraId="2E36244D" w14:textId="77777777" w:rsidTr="00093DB4">
        <w:trPr>
          <w:jc w:val="center"/>
        </w:trPr>
        <w:tc>
          <w:tcPr>
            <w:tcW w:w="2450" w:type="dxa"/>
            <w:tcBorders>
              <w:top w:val="single" w:sz="4" w:space="0" w:color="000000"/>
              <w:left w:val="nil"/>
              <w:bottom w:val="single" w:sz="4" w:space="0" w:color="000000"/>
              <w:right w:val="nil"/>
            </w:tcBorders>
            <w:vAlign w:val="center"/>
          </w:tcPr>
          <w:p w14:paraId="0B5DEF1E"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Snacking motivation</w:t>
            </w:r>
          </w:p>
        </w:tc>
        <w:tc>
          <w:tcPr>
            <w:tcW w:w="2450" w:type="dxa"/>
            <w:tcBorders>
              <w:top w:val="single" w:sz="4" w:space="0" w:color="000000"/>
              <w:left w:val="nil"/>
              <w:bottom w:val="single" w:sz="4" w:space="0" w:color="000000"/>
              <w:right w:val="nil"/>
            </w:tcBorders>
            <w:vAlign w:val="center"/>
          </w:tcPr>
          <w:p w14:paraId="2DAB164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Strong</w:t>
            </w:r>
          </w:p>
        </w:tc>
        <w:tc>
          <w:tcPr>
            <w:tcW w:w="2450" w:type="dxa"/>
            <w:tcBorders>
              <w:top w:val="single" w:sz="4" w:space="0" w:color="000000"/>
              <w:left w:val="nil"/>
              <w:bottom w:val="single" w:sz="4" w:space="0" w:color="000000"/>
              <w:right w:val="nil"/>
            </w:tcBorders>
            <w:vAlign w:val="center"/>
          </w:tcPr>
          <w:p w14:paraId="1783A85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38</w:t>
            </w:r>
          </w:p>
        </w:tc>
        <w:tc>
          <w:tcPr>
            <w:tcW w:w="2450" w:type="dxa"/>
            <w:tcBorders>
              <w:top w:val="single" w:sz="4" w:space="0" w:color="000000"/>
              <w:left w:val="nil"/>
              <w:bottom w:val="single" w:sz="4" w:space="0" w:color="000000"/>
              <w:right w:val="nil"/>
            </w:tcBorders>
            <w:vAlign w:val="center"/>
          </w:tcPr>
          <w:p w14:paraId="30DD208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55.1</w:t>
            </w:r>
          </w:p>
        </w:tc>
      </w:tr>
      <w:tr w:rsidR="009A14BF" w:rsidRPr="00093DB4" w14:paraId="7385041B" w14:textId="77777777" w:rsidTr="00093DB4">
        <w:trPr>
          <w:jc w:val="center"/>
        </w:trPr>
        <w:tc>
          <w:tcPr>
            <w:tcW w:w="2450" w:type="dxa"/>
            <w:tcBorders>
              <w:top w:val="single" w:sz="4" w:space="0" w:color="000000"/>
              <w:left w:val="nil"/>
              <w:bottom w:val="single" w:sz="4" w:space="0" w:color="000000"/>
              <w:right w:val="nil"/>
            </w:tcBorders>
            <w:vAlign w:val="center"/>
          </w:tcPr>
          <w:p w14:paraId="6E1B7377" w14:textId="77777777" w:rsidR="009A14BF" w:rsidRPr="00093DB4" w:rsidRDefault="009A14BF">
            <w:pPr>
              <w:spacing w:after="0" w:line="240" w:lineRule="auto"/>
              <w:rPr>
                <w:sz w:val="24"/>
                <w:szCs w:val="24"/>
              </w:rPr>
            </w:pPr>
          </w:p>
        </w:tc>
        <w:tc>
          <w:tcPr>
            <w:tcW w:w="2450" w:type="dxa"/>
            <w:tcBorders>
              <w:top w:val="single" w:sz="4" w:space="0" w:color="000000"/>
              <w:left w:val="nil"/>
              <w:bottom w:val="single" w:sz="4" w:space="0" w:color="000000"/>
              <w:right w:val="nil"/>
            </w:tcBorders>
            <w:vAlign w:val="center"/>
          </w:tcPr>
          <w:p w14:paraId="2E297FBD"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Weak</w:t>
            </w:r>
          </w:p>
        </w:tc>
        <w:tc>
          <w:tcPr>
            <w:tcW w:w="2450" w:type="dxa"/>
            <w:tcBorders>
              <w:top w:val="single" w:sz="4" w:space="0" w:color="000000"/>
              <w:left w:val="nil"/>
              <w:bottom w:val="single" w:sz="4" w:space="0" w:color="000000"/>
              <w:right w:val="nil"/>
            </w:tcBorders>
            <w:vAlign w:val="center"/>
          </w:tcPr>
          <w:p w14:paraId="0916318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31</w:t>
            </w:r>
          </w:p>
        </w:tc>
        <w:tc>
          <w:tcPr>
            <w:tcW w:w="2450" w:type="dxa"/>
            <w:tcBorders>
              <w:top w:val="single" w:sz="4" w:space="0" w:color="000000"/>
              <w:left w:val="nil"/>
              <w:bottom w:val="single" w:sz="4" w:space="0" w:color="000000"/>
              <w:right w:val="nil"/>
            </w:tcBorders>
            <w:vAlign w:val="center"/>
          </w:tcPr>
          <w:p w14:paraId="3376E6E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44.9</w:t>
            </w:r>
          </w:p>
        </w:tc>
      </w:tr>
      <w:tr w:rsidR="009A14BF" w:rsidRPr="00093DB4" w14:paraId="72CF01A9" w14:textId="77777777" w:rsidTr="00093DB4">
        <w:trPr>
          <w:jc w:val="center"/>
        </w:trPr>
        <w:tc>
          <w:tcPr>
            <w:tcW w:w="2450" w:type="dxa"/>
            <w:tcBorders>
              <w:top w:val="single" w:sz="4" w:space="0" w:color="000000"/>
              <w:left w:val="nil"/>
              <w:bottom w:val="single" w:sz="4" w:space="0" w:color="000000"/>
              <w:right w:val="nil"/>
            </w:tcBorders>
            <w:vAlign w:val="center"/>
          </w:tcPr>
          <w:p w14:paraId="50FB77FE"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 characteristics</w:t>
            </w:r>
          </w:p>
        </w:tc>
        <w:tc>
          <w:tcPr>
            <w:tcW w:w="2450" w:type="dxa"/>
            <w:tcBorders>
              <w:top w:val="single" w:sz="4" w:space="0" w:color="000000"/>
              <w:left w:val="nil"/>
              <w:bottom w:val="single" w:sz="4" w:space="0" w:color="000000"/>
              <w:right w:val="nil"/>
            </w:tcBorders>
            <w:vAlign w:val="center"/>
          </w:tcPr>
          <w:p w14:paraId="5A37329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Healthy</w:t>
            </w:r>
          </w:p>
        </w:tc>
        <w:tc>
          <w:tcPr>
            <w:tcW w:w="2450" w:type="dxa"/>
            <w:tcBorders>
              <w:top w:val="single" w:sz="4" w:space="0" w:color="000000"/>
              <w:left w:val="nil"/>
              <w:bottom w:val="single" w:sz="4" w:space="0" w:color="000000"/>
              <w:right w:val="nil"/>
            </w:tcBorders>
            <w:vAlign w:val="center"/>
          </w:tcPr>
          <w:p w14:paraId="129D03E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46</w:t>
            </w:r>
          </w:p>
        </w:tc>
        <w:tc>
          <w:tcPr>
            <w:tcW w:w="2450" w:type="dxa"/>
            <w:tcBorders>
              <w:top w:val="single" w:sz="4" w:space="0" w:color="000000"/>
              <w:left w:val="nil"/>
              <w:bottom w:val="single" w:sz="4" w:space="0" w:color="000000"/>
              <w:right w:val="nil"/>
            </w:tcBorders>
            <w:vAlign w:val="center"/>
          </w:tcPr>
          <w:p w14:paraId="2CAC8DF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66.7</w:t>
            </w:r>
          </w:p>
        </w:tc>
      </w:tr>
      <w:tr w:rsidR="009A14BF" w:rsidRPr="00093DB4" w14:paraId="40BC777A" w14:textId="77777777" w:rsidTr="00093DB4">
        <w:trPr>
          <w:jc w:val="center"/>
        </w:trPr>
        <w:tc>
          <w:tcPr>
            <w:tcW w:w="2450" w:type="dxa"/>
            <w:tcBorders>
              <w:top w:val="single" w:sz="4" w:space="0" w:color="000000"/>
              <w:left w:val="nil"/>
              <w:bottom w:val="single" w:sz="4" w:space="0" w:color="000000"/>
              <w:right w:val="nil"/>
            </w:tcBorders>
            <w:vAlign w:val="center"/>
          </w:tcPr>
          <w:p w14:paraId="0A7FB4CC" w14:textId="77777777" w:rsidR="009A14BF" w:rsidRPr="00093DB4" w:rsidRDefault="009A14BF">
            <w:pPr>
              <w:spacing w:after="0" w:line="240" w:lineRule="auto"/>
              <w:rPr>
                <w:sz w:val="24"/>
                <w:szCs w:val="24"/>
              </w:rPr>
            </w:pPr>
          </w:p>
        </w:tc>
        <w:tc>
          <w:tcPr>
            <w:tcW w:w="2450" w:type="dxa"/>
            <w:tcBorders>
              <w:top w:val="single" w:sz="4" w:space="0" w:color="000000"/>
              <w:left w:val="nil"/>
              <w:bottom w:val="single" w:sz="4" w:space="0" w:color="000000"/>
              <w:right w:val="nil"/>
            </w:tcBorders>
            <w:vAlign w:val="center"/>
          </w:tcPr>
          <w:p w14:paraId="6047A81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Unhealthy</w:t>
            </w:r>
          </w:p>
        </w:tc>
        <w:tc>
          <w:tcPr>
            <w:tcW w:w="2450" w:type="dxa"/>
            <w:tcBorders>
              <w:top w:val="single" w:sz="4" w:space="0" w:color="000000"/>
              <w:left w:val="nil"/>
              <w:bottom w:val="single" w:sz="4" w:space="0" w:color="000000"/>
              <w:right w:val="nil"/>
            </w:tcBorders>
            <w:vAlign w:val="center"/>
          </w:tcPr>
          <w:p w14:paraId="380833C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23</w:t>
            </w:r>
          </w:p>
        </w:tc>
        <w:tc>
          <w:tcPr>
            <w:tcW w:w="2450" w:type="dxa"/>
            <w:tcBorders>
              <w:top w:val="single" w:sz="4" w:space="0" w:color="000000"/>
              <w:left w:val="nil"/>
              <w:bottom w:val="single" w:sz="4" w:space="0" w:color="000000"/>
              <w:right w:val="nil"/>
            </w:tcBorders>
            <w:vAlign w:val="center"/>
          </w:tcPr>
          <w:p w14:paraId="2DB62BD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33.3</w:t>
            </w:r>
          </w:p>
        </w:tc>
      </w:tr>
      <w:tr w:rsidR="009A14BF" w:rsidRPr="00093DB4" w14:paraId="2A1707CE" w14:textId="77777777" w:rsidTr="00093DB4">
        <w:trPr>
          <w:jc w:val="center"/>
        </w:trPr>
        <w:tc>
          <w:tcPr>
            <w:tcW w:w="2450" w:type="dxa"/>
            <w:tcBorders>
              <w:top w:val="single" w:sz="4" w:space="0" w:color="000000"/>
              <w:left w:val="nil"/>
              <w:bottom w:val="single" w:sz="4" w:space="0" w:color="000000"/>
              <w:right w:val="nil"/>
            </w:tcBorders>
            <w:vAlign w:val="center"/>
          </w:tcPr>
          <w:p w14:paraId="194048C8"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Social environment</w:t>
            </w:r>
          </w:p>
        </w:tc>
        <w:tc>
          <w:tcPr>
            <w:tcW w:w="2450" w:type="dxa"/>
            <w:tcBorders>
              <w:top w:val="single" w:sz="4" w:space="0" w:color="000000"/>
              <w:left w:val="nil"/>
              <w:bottom w:val="single" w:sz="4" w:space="0" w:color="000000"/>
              <w:right w:val="nil"/>
            </w:tcBorders>
            <w:vAlign w:val="center"/>
          </w:tcPr>
          <w:p w14:paraId="5234E2B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Supportive</w:t>
            </w:r>
          </w:p>
        </w:tc>
        <w:tc>
          <w:tcPr>
            <w:tcW w:w="2450" w:type="dxa"/>
            <w:tcBorders>
              <w:top w:val="single" w:sz="4" w:space="0" w:color="000000"/>
              <w:left w:val="nil"/>
              <w:bottom w:val="single" w:sz="4" w:space="0" w:color="000000"/>
              <w:right w:val="nil"/>
            </w:tcBorders>
            <w:vAlign w:val="center"/>
          </w:tcPr>
          <w:p w14:paraId="51EB74C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45</w:t>
            </w:r>
          </w:p>
        </w:tc>
        <w:tc>
          <w:tcPr>
            <w:tcW w:w="2450" w:type="dxa"/>
            <w:tcBorders>
              <w:top w:val="single" w:sz="4" w:space="0" w:color="000000"/>
              <w:left w:val="nil"/>
              <w:bottom w:val="single" w:sz="4" w:space="0" w:color="000000"/>
              <w:right w:val="nil"/>
            </w:tcBorders>
            <w:vAlign w:val="center"/>
          </w:tcPr>
          <w:p w14:paraId="50ECDE3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65.2</w:t>
            </w:r>
          </w:p>
        </w:tc>
      </w:tr>
      <w:tr w:rsidR="009A14BF" w:rsidRPr="00093DB4" w14:paraId="20D5E863" w14:textId="77777777" w:rsidTr="00093DB4">
        <w:trPr>
          <w:jc w:val="center"/>
        </w:trPr>
        <w:tc>
          <w:tcPr>
            <w:tcW w:w="2450" w:type="dxa"/>
            <w:tcBorders>
              <w:top w:val="single" w:sz="4" w:space="0" w:color="000000"/>
              <w:left w:val="nil"/>
              <w:bottom w:val="single" w:sz="4" w:space="0" w:color="000000"/>
              <w:right w:val="nil"/>
            </w:tcBorders>
            <w:vAlign w:val="center"/>
          </w:tcPr>
          <w:p w14:paraId="50933969" w14:textId="77777777" w:rsidR="009A14BF" w:rsidRPr="00093DB4" w:rsidRDefault="009A14BF">
            <w:pPr>
              <w:spacing w:after="0" w:line="240" w:lineRule="auto"/>
              <w:rPr>
                <w:sz w:val="24"/>
                <w:szCs w:val="24"/>
              </w:rPr>
            </w:pPr>
          </w:p>
        </w:tc>
        <w:tc>
          <w:tcPr>
            <w:tcW w:w="2450" w:type="dxa"/>
            <w:tcBorders>
              <w:top w:val="single" w:sz="4" w:space="0" w:color="000000"/>
              <w:left w:val="nil"/>
              <w:bottom w:val="single" w:sz="4" w:space="0" w:color="000000"/>
              <w:right w:val="nil"/>
            </w:tcBorders>
            <w:vAlign w:val="center"/>
          </w:tcPr>
          <w:p w14:paraId="3B0E473D"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Not supportive</w:t>
            </w:r>
          </w:p>
        </w:tc>
        <w:tc>
          <w:tcPr>
            <w:tcW w:w="2450" w:type="dxa"/>
            <w:tcBorders>
              <w:top w:val="single" w:sz="4" w:space="0" w:color="000000"/>
              <w:left w:val="nil"/>
              <w:bottom w:val="single" w:sz="4" w:space="0" w:color="000000"/>
              <w:right w:val="nil"/>
            </w:tcBorders>
            <w:vAlign w:val="center"/>
          </w:tcPr>
          <w:p w14:paraId="2DCFBDB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24</w:t>
            </w:r>
          </w:p>
        </w:tc>
        <w:tc>
          <w:tcPr>
            <w:tcW w:w="2450" w:type="dxa"/>
            <w:tcBorders>
              <w:top w:val="single" w:sz="4" w:space="0" w:color="000000"/>
              <w:left w:val="nil"/>
              <w:bottom w:val="single" w:sz="4" w:space="0" w:color="000000"/>
              <w:right w:val="nil"/>
            </w:tcBorders>
            <w:vAlign w:val="center"/>
          </w:tcPr>
          <w:p w14:paraId="15ACCA34"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34.8</w:t>
            </w:r>
          </w:p>
        </w:tc>
      </w:tr>
      <w:tr w:rsidR="009A14BF" w:rsidRPr="00093DB4" w14:paraId="74C3AB04" w14:textId="77777777" w:rsidTr="00093DB4">
        <w:trPr>
          <w:jc w:val="center"/>
        </w:trPr>
        <w:tc>
          <w:tcPr>
            <w:tcW w:w="2450" w:type="dxa"/>
            <w:tcBorders>
              <w:top w:val="single" w:sz="4" w:space="0" w:color="000000"/>
              <w:left w:val="nil"/>
              <w:bottom w:val="single" w:sz="4" w:space="0" w:color="000000"/>
              <w:right w:val="nil"/>
            </w:tcBorders>
            <w:vAlign w:val="center"/>
          </w:tcPr>
          <w:p w14:paraId="4940D9FB"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 availability</w:t>
            </w:r>
          </w:p>
        </w:tc>
        <w:tc>
          <w:tcPr>
            <w:tcW w:w="2450" w:type="dxa"/>
            <w:tcBorders>
              <w:top w:val="single" w:sz="4" w:space="0" w:color="000000"/>
              <w:left w:val="nil"/>
              <w:bottom w:val="single" w:sz="4" w:space="0" w:color="000000"/>
              <w:right w:val="nil"/>
            </w:tcBorders>
            <w:vAlign w:val="center"/>
          </w:tcPr>
          <w:p w14:paraId="57F75EF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Healthy</w:t>
            </w:r>
          </w:p>
        </w:tc>
        <w:tc>
          <w:tcPr>
            <w:tcW w:w="2450" w:type="dxa"/>
            <w:tcBorders>
              <w:top w:val="single" w:sz="4" w:space="0" w:color="000000"/>
              <w:left w:val="nil"/>
              <w:bottom w:val="single" w:sz="4" w:space="0" w:color="000000"/>
              <w:right w:val="nil"/>
            </w:tcBorders>
            <w:vAlign w:val="center"/>
          </w:tcPr>
          <w:p w14:paraId="4803932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46</w:t>
            </w:r>
          </w:p>
        </w:tc>
        <w:tc>
          <w:tcPr>
            <w:tcW w:w="2450" w:type="dxa"/>
            <w:tcBorders>
              <w:top w:val="single" w:sz="4" w:space="0" w:color="000000"/>
              <w:left w:val="nil"/>
              <w:bottom w:val="single" w:sz="4" w:space="0" w:color="000000"/>
              <w:right w:val="nil"/>
            </w:tcBorders>
            <w:vAlign w:val="center"/>
          </w:tcPr>
          <w:p w14:paraId="4C3051E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66.7</w:t>
            </w:r>
          </w:p>
        </w:tc>
      </w:tr>
      <w:tr w:rsidR="009A14BF" w:rsidRPr="00093DB4" w14:paraId="249BBF0D" w14:textId="77777777" w:rsidTr="00093DB4">
        <w:trPr>
          <w:jc w:val="center"/>
        </w:trPr>
        <w:tc>
          <w:tcPr>
            <w:tcW w:w="2450" w:type="dxa"/>
            <w:tcBorders>
              <w:top w:val="single" w:sz="4" w:space="0" w:color="000000"/>
              <w:left w:val="nil"/>
              <w:bottom w:val="single" w:sz="4" w:space="0" w:color="000000"/>
              <w:right w:val="nil"/>
            </w:tcBorders>
            <w:vAlign w:val="center"/>
          </w:tcPr>
          <w:p w14:paraId="1184A1F5" w14:textId="77777777" w:rsidR="009A14BF" w:rsidRPr="00093DB4" w:rsidRDefault="009A14BF">
            <w:pPr>
              <w:spacing w:after="0" w:line="240" w:lineRule="auto"/>
              <w:rPr>
                <w:sz w:val="24"/>
                <w:szCs w:val="24"/>
              </w:rPr>
            </w:pPr>
          </w:p>
        </w:tc>
        <w:tc>
          <w:tcPr>
            <w:tcW w:w="2450" w:type="dxa"/>
            <w:tcBorders>
              <w:top w:val="single" w:sz="4" w:space="0" w:color="000000"/>
              <w:left w:val="nil"/>
              <w:bottom w:val="single" w:sz="4" w:space="0" w:color="000000"/>
              <w:right w:val="nil"/>
            </w:tcBorders>
            <w:vAlign w:val="center"/>
          </w:tcPr>
          <w:p w14:paraId="2845DDE4"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Unhealthy</w:t>
            </w:r>
          </w:p>
        </w:tc>
        <w:tc>
          <w:tcPr>
            <w:tcW w:w="2450" w:type="dxa"/>
            <w:tcBorders>
              <w:top w:val="single" w:sz="4" w:space="0" w:color="000000"/>
              <w:left w:val="nil"/>
              <w:bottom w:val="single" w:sz="4" w:space="0" w:color="000000"/>
              <w:right w:val="nil"/>
            </w:tcBorders>
            <w:vAlign w:val="center"/>
          </w:tcPr>
          <w:p w14:paraId="1B5E3BE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23</w:t>
            </w:r>
          </w:p>
        </w:tc>
        <w:tc>
          <w:tcPr>
            <w:tcW w:w="2450" w:type="dxa"/>
            <w:tcBorders>
              <w:top w:val="single" w:sz="4" w:space="0" w:color="000000"/>
              <w:left w:val="nil"/>
              <w:bottom w:val="single" w:sz="4" w:space="0" w:color="000000"/>
              <w:right w:val="nil"/>
            </w:tcBorders>
            <w:vAlign w:val="center"/>
          </w:tcPr>
          <w:p w14:paraId="092D297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33.3</w:t>
            </w:r>
          </w:p>
        </w:tc>
      </w:tr>
    </w:tbl>
    <w:p w14:paraId="05FD17E3" w14:textId="77777777" w:rsidR="009A14BF" w:rsidRDefault="00000000">
      <w:pPr>
        <w:spacing w:after="0" w:line="240" w:lineRule="auto"/>
        <w:ind w:firstLine="283"/>
        <w:jc w:val="both"/>
      </w:pPr>
      <w:r>
        <w:rPr>
          <w:rFonts w:ascii="Times New Roman" w:eastAsia="Times New Roman" w:hAnsi="Times New Roman"/>
          <w:sz w:val="24"/>
        </w:rPr>
        <w:t>The bivariate analysis for the rural area is shown in Table 4. None of the studied variables were significantly associated with snack consumption behaviour among rural students. Snacking motivation had p=0.554 and OR=1.341 (95% CI: 0.507-3.548), snack characteristics had p=0.095 and OR=2.364 (95% CI: 0.851-6.562), social environment had p=0.404 and OR=1.519 (95% CI: 0.568-4.068), and snack availability had p=0.109 and OR=2.321 (95% CI: 0.819-6.584). The confidence intervals were wide and crossed 1.0; therefore, the rural estimates should be interpreted with caution.</w:t>
      </w:r>
    </w:p>
    <w:p w14:paraId="1562B5C6" w14:textId="06E425A7" w:rsidR="00093DB4" w:rsidRPr="00093DB4" w:rsidRDefault="00000000" w:rsidP="00093DB4">
      <w:pPr>
        <w:spacing w:before="120" w:after="0" w:line="240" w:lineRule="auto"/>
        <w:jc w:val="center"/>
        <w:rPr>
          <w:rFonts w:ascii="Times New Roman" w:eastAsia="Times New Roman" w:hAnsi="Times New Roman"/>
          <w:sz w:val="24"/>
          <w:szCs w:val="24"/>
        </w:rPr>
      </w:pPr>
      <w:r w:rsidRPr="00093DB4">
        <w:rPr>
          <w:rFonts w:ascii="Times New Roman" w:eastAsia="Times New Roman" w:hAnsi="Times New Roman"/>
          <w:sz w:val="24"/>
          <w:szCs w:val="24"/>
        </w:rPr>
        <w:t>Table 4.</w:t>
      </w:r>
    </w:p>
    <w:p w14:paraId="598A21DA" w14:textId="3F8967DF"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Association between study variables and snack consumption behaviour in the rural area (n=72)</w:t>
      </w:r>
    </w:p>
    <w:tbl>
      <w:tblPr>
        <w:tblW w:w="0" w:type="auto"/>
        <w:jc w:val="center"/>
        <w:tblLook w:val="04A0" w:firstRow="1" w:lastRow="0" w:firstColumn="1" w:lastColumn="0" w:noHBand="0" w:noVBand="1"/>
      </w:tblPr>
      <w:tblGrid>
        <w:gridCol w:w="1710"/>
        <w:gridCol w:w="1370"/>
        <w:gridCol w:w="1261"/>
        <w:gridCol w:w="1261"/>
        <w:gridCol w:w="1261"/>
        <w:gridCol w:w="1254"/>
        <w:gridCol w:w="1289"/>
      </w:tblGrid>
      <w:tr w:rsidR="009A14BF" w:rsidRPr="00093DB4" w14:paraId="7974568C" w14:textId="77777777" w:rsidTr="00093DB4">
        <w:trPr>
          <w:tblHeader/>
          <w:jc w:val="center"/>
        </w:trPr>
        <w:tc>
          <w:tcPr>
            <w:tcW w:w="1400" w:type="dxa"/>
            <w:tcBorders>
              <w:top w:val="single" w:sz="4" w:space="0" w:color="000000"/>
              <w:left w:val="nil"/>
              <w:bottom w:val="single" w:sz="4" w:space="0" w:color="000000"/>
              <w:right w:val="nil"/>
            </w:tcBorders>
            <w:vAlign w:val="center"/>
          </w:tcPr>
          <w:p w14:paraId="23417F7D"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Variable</w:t>
            </w:r>
          </w:p>
        </w:tc>
        <w:tc>
          <w:tcPr>
            <w:tcW w:w="1400" w:type="dxa"/>
            <w:tcBorders>
              <w:top w:val="single" w:sz="4" w:space="0" w:color="000000"/>
              <w:left w:val="nil"/>
              <w:bottom w:val="single" w:sz="4" w:space="0" w:color="000000"/>
              <w:right w:val="nil"/>
            </w:tcBorders>
            <w:vAlign w:val="center"/>
          </w:tcPr>
          <w:p w14:paraId="22C4A957"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Category</w:t>
            </w:r>
          </w:p>
        </w:tc>
        <w:tc>
          <w:tcPr>
            <w:tcW w:w="1400" w:type="dxa"/>
            <w:tcBorders>
              <w:top w:val="single" w:sz="4" w:space="0" w:color="000000"/>
              <w:left w:val="nil"/>
              <w:bottom w:val="single" w:sz="4" w:space="0" w:color="000000"/>
              <w:right w:val="nil"/>
            </w:tcBorders>
            <w:vAlign w:val="center"/>
          </w:tcPr>
          <w:p w14:paraId="6DA13AA8"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Good n (%)</w:t>
            </w:r>
          </w:p>
        </w:tc>
        <w:tc>
          <w:tcPr>
            <w:tcW w:w="1400" w:type="dxa"/>
            <w:tcBorders>
              <w:top w:val="single" w:sz="4" w:space="0" w:color="000000"/>
              <w:left w:val="nil"/>
              <w:bottom w:val="single" w:sz="4" w:space="0" w:color="000000"/>
              <w:right w:val="nil"/>
            </w:tcBorders>
            <w:vAlign w:val="center"/>
          </w:tcPr>
          <w:p w14:paraId="5D5426E1"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Poor n (%)</w:t>
            </w:r>
          </w:p>
        </w:tc>
        <w:tc>
          <w:tcPr>
            <w:tcW w:w="1400" w:type="dxa"/>
            <w:tcBorders>
              <w:top w:val="single" w:sz="4" w:space="0" w:color="000000"/>
              <w:left w:val="nil"/>
              <w:bottom w:val="single" w:sz="4" w:space="0" w:color="000000"/>
              <w:right w:val="nil"/>
            </w:tcBorders>
            <w:vAlign w:val="center"/>
          </w:tcPr>
          <w:p w14:paraId="00647CA7"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Total n (%)</w:t>
            </w:r>
          </w:p>
        </w:tc>
        <w:tc>
          <w:tcPr>
            <w:tcW w:w="1400" w:type="dxa"/>
            <w:tcBorders>
              <w:top w:val="single" w:sz="4" w:space="0" w:color="000000"/>
              <w:left w:val="nil"/>
              <w:bottom w:val="single" w:sz="4" w:space="0" w:color="000000"/>
              <w:right w:val="nil"/>
            </w:tcBorders>
            <w:vAlign w:val="center"/>
          </w:tcPr>
          <w:p w14:paraId="2A0ED043"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p-value</w:t>
            </w:r>
          </w:p>
        </w:tc>
        <w:tc>
          <w:tcPr>
            <w:tcW w:w="1400" w:type="dxa"/>
            <w:tcBorders>
              <w:top w:val="single" w:sz="4" w:space="0" w:color="000000"/>
              <w:left w:val="nil"/>
              <w:bottom w:val="single" w:sz="4" w:space="0" w:color="000000"/>
              <w:right w:val="nil"/>
            </w:tcBorders>
            <w:vAlign w:val="center"/>
          </w:tcPr>
          <w:p w14:paraId="155859A9"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OR (95% CI)</w:t>
            </w:r>
          </w:p>
        </w:tc>
      </w:tr>
      <w:tr w:rsidR="009A14BF" w:rsidRPr="00093DB4" w14:paraId="779BD274" w14:textId="77777777" w:rsidTr="00093DB4">
        <w:trPr>
          <w:jc w:val="center"/>
        </w:trPr>
        <w:tc>
          <w:tcPr>
            <w:tcW w:w="1400" w:type="dxa"/>
            <w:tcBorders>
              <w:top w:val="single" w:sz="4" w:space="0" w:color="000000"/>
              <w:left w:val="nil"/>
              <w:bottom w:val="single" w:sz="4" w:space="0" w:color="000000"/>
              <w:right w:val="nil"/>
            </w:tcBorders>
            <w:vAlign w:val="center"/>
          </w:tcPr>
          <w:p w14:paraId="7F2934DD"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Motivation</w:t>
            </w:r>
          </w:p>
        </w:tc>
        <w:tc>
          <w:tcPr>
            <w:tcW w:w="1400" w:type="dxa"/>
            <w:tcBorders>
              <w:top w:val="single" w:sz="4" w:space="0" w:color="000000"/>
              <w:left w:val="nil"/>
              <w:bottom w:val="single" w:sz="4" w:space="0" w:color="000000"/>
              <w:right w:val="nil"/>
            </w:tcBorders>
            <w:vAlign w:val="center"/>
          </w:tcPr>
          <w:p w14:paraId="6ADDF3CD"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Strong</w:t>
            </w:r>
          </w:p>
        </w:tc>
        <w:tc>
          <w:tcPr>
            <w:tcW w:w="1400" w:type="dxa"/>
            <w:tcBorders>
              <w:top w:val="single" w:sz="4" w:space="0" w:color="000000"/>
              <w:left w:val="nil"/>
              <w:bottom w:val="single" w:sz="4" w:space="0" w:color="000000"/>
              <w:right w:val="nil"/>
            </w:tcBorders>
            <w:vAlign w:val="center"/>
          </w:tcPr>
          <w:p w14:paraId="5FDEE081"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13 (18.1)</w:t>
            </w:r>
          </w:p>
        </w:tc>
        <w:tc>
          <w:tcPr>
            <w:tcW w:w="1400" w:type="dxa"/>
            <w:tcBorders>
              <w:top w:val="single" w:sz="4" w:space="0" w:color="000000"/>
              <w:left w:val="nil"/>
              <w:bottom w:val="single" w:sz="4" w:space="0" w:color="000000"/>
              <w:right w:val="nil"/>
            </w:tcBorders>
            <w:vAlign w:val="center"/>
          </w:tcPr>
          <w:p w14:paraId="0457976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12 (16.7)</w:t>
            </w:r>
          </w:p>
        </w:tc>
        <w:tc>
          <w:tcPr>
            <w:tcW w:w="1400" w:type="dxa"/>
            <w:tcBorders>
              <w:top w:val="single" w:sz="4" w:space="0" w:color="000000"/>
              <w:left w:val="nil"/>
              <w:bottom w:val="single" w:sz="4" w:space="0" w:color="000000"/>
              <w:right w:val="nil"/>
            </w:tcBorders>
            <w:vAlign w:val="center"/>
          </w:tcPr>
          <w:p w14:paraId="2F57D21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25 (34.8)</w:t>
            </w:r>
          </w:p>
        </w:tc>
        <w:tc>
          <w:tcPr>
            <w:tcW w:w="1400" w:type="dxa"/>
            <w:tcBorders>
              <w:top w:val="single" w:sz="4" w:space="0" w:color="000000"/>
              <w:left w:val="nil"/>
              <w:bottom w:val="single" w:sz="4" w:space="0" w:color="000000"/>
              <w:right w:val="nil"/>
            </w:tcBorders>
            <w:vAlign w:val="center"/>
          </w:tcPr>
          <w:p w14:paraId="5722778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0.554</w:t>
            </w:r>
          </w:p>
        </w:tc>
        <w:tc>
          <w:tcPr>
            <w:tcW w:w="1400" w:type="dxa"/>
            <w:tcBorders>
              <w:top w:val="single" w:sz="4" w:space="0" w:color="000000"/>
              <w:left w:val="nil"/>
              <w:bottom w:val="single" w:sz="4" w:space="0" w:color="000000"/>
              <w:right w:val="nil"/>
            </w:tcBorders>
            <w:vAlign w:val="center"/>
          </w:tcPr>
          <w:p w14:paraId="604FFCA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1.341 (0.507-3.548)</w:t>
            </w:r>
          </w:p>
        </w:tc>
      </w:tr>
      <w:tr w:rsidR="009A14BF" w:rsidRPr="00093DB4" w14:paraId="698AF26E" w14:textId="77777777" w:rsidTr="00093DB4">
        <w:trPr>
          <w:jc w:val="center"/>
        </w:trPr>
        <w:tc>
          <w:tcPr>
            <w:tcW w:w="1400" w:type="dxa"/>
            <w:tcBorders>
              <w:top w:val="single" w:sz="4" w:space="0" w:color="000000"/>
              <w:left w:val="nil"/>
              <w:bottom w:val="single" w:sz="4" w:space="0" w:color="000000"/>
              <w:right w:val="nil"/>
            </w:tcBorders>
            <w:vAlign w:val="center"/>
          </w:tcPr>
          <w:p w14:paraId="2FE592CB" w14:textId="77777777" w:rsidR="009A14BF" w:rsidRPr="00093DB4" w:rsidRDefault="009A14BF">
            <w:pPr>
              <w:spacing w:after="0" w:line="240" w:lineRule="auto"/>
              <w:rPr>
                <w:sz w:val="24"/>
                <w:szCs w:val="24"/>
              </w:rPr>
            </w:pPr>
          </w:p>
        </w:tc>
        <w:tc>
          <w:tcPr>
            <w:tcW w:w="1400" w:type="dxa"/>
            <w:tcBorders>
              <w:top w:val="single" w:sz="4" w:space="0" w:color="000000"/>
              <w:left w:val="nil"/>
              <w:bottom w:val="single" w:sz="4" w:space="0" w:color="000000"/>
              <w:right w:val="nil"/>
            </w:tcBorders>
            <w:vAlign w:val="center"/>
          </w:tcPr>
          <w:p w14:paraId="153D49E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Weak</w:t>
            </w:r>
          </w:p>
        </w:tc>
        <w:tc>
          <w:tcPr>
            <w:tcW w:w="1400" w:type="dxa"/>
            <w:tcBorders>
              <w:top w:val="single" w:sz="4" w:space="0" w:color="000000"/>
              <w:left w:val="nil"/>
              <w:bottom w:val="single" w:sz="4" w:space="0" w:color="000000"/>
              <w:right w:val="nil"/>
            </w:tcBorders>
            <w:vAlign w:val="center"/>
          </w:tcPr>
          <w:p w14:paraId="6B4888F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21 (29.1)</w:t>
            </w:r>
          </w:p>
        </w:tc>
        <w:tc>
          <w:tcPr>
            <w:tcW w:w="1400" w:type="dxa"/>
            <w:tcBorders>
              <w:top w:val="single" w:sz="4" w:space="0" w:color="000000"/>
              <w:left w:val="nil"/>
              <w:bottom w:val="single" w:sz="4" w:space="0" w:color="000000"/>
              <w:right w:val="nil"/>
            </w:tcBorders>
            <w:vAlign w:val="center"/>
          </w:tcPr>
          <w:p w14:paraId="58BC57F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26 (36.1)</w:t>
            </w:r>
          </w:p>
        </w:tc>
        <w:tc>
          <w:tcPr>
            <w:tcW w:w="1400" w:type="dxa"/>
            <w:tcBorders>
              <w:top w:val="single" w:sz="4" w:space="0" w:color="000000"/>
              <w:left w:val="nil"/>
              <w:bottom w:val="single" w:sz="4" w:space="0" w:color="000000"/>
              <w:right w:val="nil"/>
            </w:tcBorders>
            <w:vAlign w:val="center"/>
          </w:tcPr>
          <w:p w14:paraId="4C872A3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47 (65.2)</w:t>
            </w:r>
          </w:p>
        </w:tc>
        <w:tc>
          <w:tcPr>
            <w:tcW w:w="1400" w:type="dxa"/>
            <w:tcBorders>
              <w:top w:val="single" w:sz="4" w:space="0" w:color="000000"/>
              <w:left w:val="nil"/>
              <w:bottom w:val="single" w:sz="4" w:space="0" w:color="000000"/>
              <w:right w:val="nil"/>
            </w:tcBorders>
            <w:vAlign w:val="center"/>
          </w:tcPr>
          <w:p w14:paraId="786A91FC" w14:textId="77777777" w:rsidR="009A14BF" w:rsidRPr="00093DB4" w:rsidRDefault="009A14BF" w:rsidP="00093DB4">
            <w:pPr>
              <w:spacing w:after="0" w:line="240" w:lineRule="auto"/>
              <w:jc w:val="center"/>
              <w:rPr>
                <w:sz w:val="24"/>
                <w:szCs w:val="24"/>
              </w:rPr>
            </w:pPr>
          </w:p>
        </w:tc>
        <w:tc>
          <w:tcPr>
            <w:tcW w:w="1400" w:type="dxa"/>
            <w:tcBorders>
              <w:top w:val="single" w:sz="4" w:space="0" w:color="000000"/>
              <w:left w:val="nil"/>
              <w:bottom w:val="single" w:sz="4" w:space="0" w:color="000000"/>
              <w:right w:val="nil"/>
            </w:tcBorders>
            <w:vAlign w:val="center"/>
          </w:tcPr>
          <w:p w14:paraId="2B6F57E0" w14:textId="77777777" w:rsidR="009A14BF" w:rsidRPr="00093DB4" w:rsidRDefault="009A14BF" w:rsidP="00093DB4">
            <w:pPr>
              <w:spacing w:after="0" w:line="240" w:lineRule="auto"/>
              <w:jc w:val="center"/>
              <w:rPr>
                <w:sz w:val="24"/>
                <w:szCs w:val="24"/>
              </w:rPr>
            </w:pPr>
          </w:p>
        </w:tc>
      </w:tr>
      <w:tr w:rsidR="009A14BF" w:rsidRPr="00093DB4" w14:paraId="2A96EE2C" w14:textId="77777777" w:rsidTr="00093DB4">
        <w:trPr>
          <w:jc w:val="center"/>
        </w:trPr>
        <w:tc>
          <w:tcPr>
            <w:tcW w:w="1400" w:type="dxa"/>
            <w:tcBorders>
              <w:top w:val="single" w:sz="4" w:space="0" w:color="000000"/>
              <w:left w:val="nil"/>
              <w:bottom w:val="single" w:sz="4" w:space="0" w:color="000000"/>
              <w:right w:val="nil"/>
            </w:tcBorders>
            <w:vAlign w:val="center"/>
          </w:tcPr>
          <w:p w14:paraId="12835FCC"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 characteristics</w:t>
            </w:r>
          </w:p>
        </w:tc>
        <w:tc>
          <w:tcPr>
            <w:tcW w:w="1400" w:type="dxa"/>
            <w:tcBorders>
              <w:top w:val="single" w:sz="4" w:space="0" w:color="000000"/>
              <w:left w:val="nil"/>
              <w:bottom w:val="single" w:sz="4" w:space="0" w:color="000000"/>
              <w:right w:val="nil"/>
            </w:tcBorders>
            <w:vAlign w:val="center"/>
          </w:tcPr>
          <w:p w14:paraId="54FED5E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Healthy</w:t>
            </w:r>
          </w:p>
        </w:tc>
        <w:tc>
          <w:tcPr>
            <w:tcW w:w="1400" w:type="dxa"/>
            <w:tcBorders>
              <w:top w:val="single" w:sz="4" w:space="0" w:color="000000"/>
              <w:left w:val="nil"/>
              <w:bottom w:val="single" w:sz="4" w:space="0" w:color="000000"/>
              <w:right w:val="nil"/>
            </w:tcBorders>
            <w:vAlign w:val="center"/>
          </w:tcPr>
          <w:p w14:paraId="4F619D2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26 (36.1)</w:t>
            </w:r>
          </w:p>
        </w:tc>
        <w:tc>
          <w:tcPr>
            <w:tcW w:w="1400" w:type="dxa"/>
            <w:tcBorders>
              <w:top w:val="single" w:sz="4" w:space="0" w:color="000000"/>
              <w:left w:val="nil"/>
              <w:bottom w:val="single" w:sz="4" w:space="0" w:color="000000"/>
              <w:right w:val="nil"/>
            </w:tcBorders>
            <w:vAlign w:val="center"/>
          </w:tcPr>
          <w:p w14:paraId="6ED6692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22 (30.6)</w:t>
            </w:r>
          </w:p>
        </w:tc>
        <w:tc>
          <w:tcPr>
            <w:tcW w:w="1400" w:type="dxa"/>
            <w:tcBorders>
              <w:top w:val="single" w:sz="4" w:space="0" w:color="000000"/>
              <w:left w:val="nil"/>
              <w:bottom w:val="single" w:sz="4" w:space="0" w:color="000000"/>
              <w:right w:val="nil"/>
            </w:tcBorders>
            <w:vAlign w:val="center"/>
          </w:tcPr>
          <w:p w14:paraId="328E1AA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48 (66.7)</w:t>
            </w:r>
          </w:p>
        </w:tc>
        <w:tc>
          <w:tcPr>
            <w:tcW w:w="1400" w:type="dxa"/>
            <w:tcBorders>
              <w:top w:val="single" w:sz="4" w:space="0" w:color="000000"/>
              <w:left w:val="nil"/>
              <w:bottom w:val="single" w:sz="4" w:space="0" w:color="000000"/>
              <w:right w:val="nil"/>
            </w:tcBorders>
            <w:vAlign w:val="center"/>
          </w:tcPr>
          <w:p w14:paraId="10A02AF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0.095</w:t>
            </w:r>
          </w:p>
        </w:tc>
        <w:tc>
          <w:tcPr>
            <w:tcW w:w="1400" w:type="dxa"/>
            <w:tcBorders>
              <w:top w:val="single" w:sz="4" w:space="0" w:color="000000"/>
              <w:left w:val="nil"/>
              <w:bottom w:val="single" w:sz="4" w:space="0" w:color="000000"/>
              <w:right w:val="nil"/>
            </w:tcBorders>
            <w:vAlign w:val="center"/>
          </w:tcPr>
          <w:p w14:paraId="6B9E14F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2.364 (0.851-6.562)</w:t>
            </w:r>
          </w:p>
        </w:tc>
      </w:tr>
      <w:tr w:rsidR="009A14BF" w:rsidRPr="00093DB4" w14:paraId="174BF4DC" w14:textId="77777777" w:rsidTr="00093DB4">
        <w:trPr>
          <w:jc w:val="center"/>
        </w:trPr>
        <w:tc>
          <w:tcPr>
            <w:tcW w:w="1400" w:type="dxa"/>
            <w:tcBorders>
              <w:top w:val="single" w:sz="4" w:space="0" w:color="000000"/>
              <w:left w:val="nil"/>
              <w:bottom w:val="single" w:sz="4" w:space="0" w:color="000000"/>
              <w:right w:val="nil"/>
            </w:tcBorders>
            <w:vAlign w:val="center"/>
          </w:tcPr>
          <w:p w14:paraId="7B3BC880" w14:textId="77777777" w:rsidR="009A14BF" w:rsidRPr="00093DB4" w:rsidRDefault="009A14BF">
            <w:pPr>
              <w:spacing w:after="0" w:line="240" w:lineRule="auto"/>
              <w:rPr>
                <w:sz w:val="24"/>
                <w:szCs w:val="24"/>
              </w:rPr>
            </w:pPr>
          </w:p>
        </w:tc>
        <w:tc>
          <w:tcPr>
            <w:tcW w:w="1400" w:type="dxa"/>
            <w:tcBorders>
              <w:top w:val="single" w:sz="4" w:space="0" w:color="000000"/>
              <w:left w:val="nil"/>
              <w:bottom w:val="single" w:sz="4" w:space="0" w:color="000000"/>
              <w:right w:val="nil"/>
            </w:tcBorders>
            <w:vAlign w:val="center"/>
          </w:tcPr>
          <w:p w14:paraId="3F87D16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Unhealthy</w:t>
            </w:r>
          </w:p>
        </w:tc>
        <w:tc>
          <w:tcPr>
            <w:tcW w:w="1400" w:type="dxa"/>
            <w:tcBorders>
              <w:top w:val="single" w:sz="4" w:space="0" w:color="000000"/>
              <w:left w:val="nil"/>
              <w:bottom w:val="single" w:sz="4" w:space="0" w:color="000000"/>
              <w:right w:val="nil"/>
            </w:tcBorders>
            <w:vAlign w:val="center"/>
          </w:tcPr>
          <w:p w14:paraId="5878723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8 (11.1)</w:t>
            </w:r>
          </w:p>
        </w:tc>
        <w:tc>
          <w:tcPr>
            <w:tcW w:w="1400" w:type="dxa"/>
            <w:tcBorders>
              <w:top w:val="single" w:sz="4" w:space="0" w:color="000000"/>
              <w:left w:val="nil"/>
              <w:bottom w:val="single" w:sz="4" w:space="0" w:color="000000"/>
              <w:right w:val="nil"/>
            </w:tcBorders>
            <w:vAlign w:val="center"/>
          </w:tcPr>
          <w:p w14:paraId="1FC3A5F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16 (22.2)</w:t>
            </w:r>
          </w:p>
        </w:tc>
        <w:tc>
          <w:tcPr>
            <w:tcW w:w="1400" w:type="dxa"/>
            <w:tcBorders>
              <w:top w:val="single" w:sz="4" w:space="0" w:color="000000"/>
              <w:left w:val="nil"/>
              <w:bottom w:val="single" w:sz="4" w:space="0" w:color="000000"/>
              <w:right w:val="nil"/>
            </w:tcBorders>
            <w:vAlign w:val="center"/>
          </w:tcPr>
          <w:p w14:paraId="2FC2CEB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24 (33.3)</w:t>
            </w:r>
          </w:p>
        </w:tc>
        <w:tc>
          <w:tcPr>
            <w:tcW w:w="1400" w:type="dxa"/>
            <w:tcBorders>
              <w:top w:val="single" w:sz="4" w:space="0" w:color="000000"/>
              <w:left w:val="nil"/>
              <w:bottom w:val="single" w:sz="4" w:space="0" w:color="000000"/>
              <w:right w:val="nil"/>
            </w:tcBorders>
            <w:vAlign w:val="center"/>
          </w:tcPr>
          <w:p w14:paraId="5F814873" w14:textId="77777777" w:rsidR="009A14BF" w:rsidRPr="00093DB4" w:rsidRDefault="009A14BF" w:rsidP="00093DB4">
            <w:pPr>
              <w:spacing w:after="0" w:line="240" w:lineRule="auto"/>
              <w:jc w:val="center"/>
              <w:rPr>
                <w:sz w:val="24"/>
                <w:szCs w:val="24"/>
              </w:rPr>
            </w:pPr>
          </w:p>
        </w:tc>
        <w:tc>
          <w:tcPr>
            <w:tcW w:w="1400" w:type="dxa"/>
            <w:tcBorders>
              <w:top w:val="single" w:sz="4" w:space="0" w:color="000000"/>
              <w:left w:val="nil"/>
              <w:bottom w:val="single" w:sz="4" w:space="0" w:color="000000"/>
              <w:right w:val="nil"/>
            </w:tcBorders>
            <w:vAlign w:val="center"/>
          </w:tcPr>
          <w:p w14:paraId="7DC55B49" w14:textId="77777777" w:rsidR="009A14BF" w:rsidRPr="00093DB4" w:rsidRDefault="009A14BF" w:rsidP="00093DB4">
            <w:pPr>
              <w:spacing w:after="0" w:line="240" w:lineRule="auto"/>
              <w:jc w:val="center"/>
              <w:rPr>
                <w:sz w:val="24"/>
                <w:szCs w:val="24"/>
              </w:rPr>
            </w:pPr>
          </w:p>
        </w:tc>
      </w:tr>
      <w:tr w:rsidR="009A14BF" w:rsidRPr="00093DB4" w14:paraId="4C6CE0EF" w14:textId="77777777" w:rsidTr="00093DB4">
        <w:trPr>
          <w:jc w:val="center"/>
        </w:trPr>
        <w:tc>
          <w:tcPr>
            <w:tcW w:w="1400" w:type="dxa"/>
            <w:tcBorders>
              <w:top w:val="single" w:sz="4" w:space="0" w:color="000000"/>
              <w:left w:val="nil"/>
              <w:bottom w:val="single" w:sz="4" w:space="0" w:color="000000"/>
              <w:right w:val="nil"/>
            </w:tcBorders>
            <w:vAlign w:val="center"/>
          </w:tcPr>
          <w:p w14:paraId="57FD60C8"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Social environment</w:t>
            </w:r>
          </w:p>
        </w:tc>
        <w:tc>
          <w:tcPr>
            <w:tcW w:w="1400" w:type="dxa"/>
            <w:tcBorders>
              <w:top w:val="single" w:sz="4" w:space="0" w:color="000000"/>
              <w:left w:val="nil"/>
              <w:bottom w:val="single" w:sz="4" w:space="0" w:color="000000"/>
              <w:right w:val="nil"/>
            </w:tcBorders>
            <w:vAlign w:val="center"/>
          </w:tcPr>
          <w:p w14:paraId="2E76AFB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Supportive</w:t>
            </w:r>
          </w:p>
        </w:tc>
        <w:tc>
          <w:tcPr>
            <w:tcW w:w="1400" w:type="dxa"/>
            <w:tcBorders>
              <w:top w:val="single" w:sz="4" w:space="0" w:color="000000"/>
              <w:left w:val="nil"/>
              <w:bottom w:val="single" w:sz="4" w:space="0" w:color="000000"/>
              <w:right w:val="nil"/>
            </w:tcBorders>
            <w:vAlign w:val="center"/>
          </w:tcPr>
          <w:p w14:paraId="1A40289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13 (18.1)</w:t>
            </w:r>
          </w:p>
        </w:tc>
        <w:tc>
          <w:tcPr>
            <w:tcW w:w="1400" w:type="dxa"/>
            <w:tcBorders>
              <w:top w:val="single" w:sz="4" w:space="0" w:color="000000"/>
              <w:left w:val="nil"/>
              <w:bottom w:val="single" w:sz="4" w:space="0" w:color="000000"/>
              <w:right w:val="nil"/>
            </w:tcBorders>
            <w:vAlign w:val="center"/>
          </w:tcPr>
          <w:p w14:paraId="2A6227A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11 (15.3)</w:t>
            </w:r>
          </w:p>
        </w:tc>
        <w:tc>
          <w:tcPr>
            <w:tcW w:w="1400" w:type="dxa"/>
            <w:tcBorders>
              <w:top w:val="single" w:sz="4" w:space="0" w:color="000000"/>
              <w:left w:val="nil"/>
              <w:bottom w:val="single" w:sz="4" w:space="0" w:color="000000"/>
              <w:right w:val="nil"/>
            </w:tcBorders>
            <w:vAlign w:val="center"/>
          </w:tcPr>
          <w:p w14:paraId="1297589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24 (33.3)</w:t>
            </w:r>
          </w:p>
        </w:tc>
        <w:tc>
          <w:tcPr>
            <w:tcW w:w="1400" w:type="dxa"/>
            <w:tcBorders>
              <w:top w:val="single" w:sz="4" w:space="0" w:color="000000"/>
              <w:left w:val="nil"/>
              <w:bottom w:val="single" w:sz="4" w:space="0" w:color="000000"/>
              <w:right w:val="nil"/>
            </w:tcBorders>
            <w:vAlign w:val="center"/>
          </w:tcPr>
          <w:p w14:paraId="532E00B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0.404</w:t>
            </w:r>
          </w:p>
        </w:tc>
        <w:tc>
          <w:tcPr>
            <w:tcW w:w="1400" w:type="dxa"/>
            <w:tcBorders>
              <w:top w:val="single" w:sz="4" w:space="0" w:color="000000"/>
              <w:left w:val="nil"/>
              <w:bottom w:val="single" w:sz="4" w:space="0" w:color="000000"/>
              <w:right w:val="nil"/>
            </w:tcBorders>
            <w:vAlign w:val="center"/>
          </w:tcPr>
          <w:p w14:paraId="26DECD0B"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1.519 (0.568-4.068)</w:t>
            </w:r>
          </w:p>
        </w:tc>
      </w:tr>
      <w:tr w:rsidR="009A14BF" w:rsidRPr="00093DB4" w14:paraId="012B7982" w14:textId="77777777" w:rsidTr="00093DB4">
        <w:trPr>
          <w:jc w:val="center"/>
        </w:trPr>
        <w:tc>
          <w:tcPr>
            <w:tcW w:w="1400" w:type="dxa"/>
            <w:tcBorders>
              <w:top w:val="single" w:sz="4" w:space="0" w:color="000000"/>
              <w:left w:val="nil"/>
              <w:bottom w:val="single" w:sz="4" w:space="0" w:color="000000"/>
              <w:right w:val="nil"/>
            </w:tcBorders>
            <w:vAlign w:val="center"/>
          </w:tcPr>
          <w:p w14:paraId="07FE04AC" w14:textId="77777777" w:rsidR="009A14BF" w:rsidRPr="00093DB4" w:rsidRDefault="009A14BF">
            <w:pPr>
              <w:spacing w:after="0" w:line="240" w:lineRule="auto"/>
              <w:rPr>
                <w:sz w:val="24"/>
                <w:szCs w:val="24"/>
              </w:rPr>
            </w:pPr>
          </w:p>
        </w:tc>
        <w:tc>
          <w:tcPr>
            <w:tcW w:w="1400" w:type="dxa"/>
            <w:tcBorders>
              <w:top w:val="single" w:sz="4" w:space="0" w:color="000000"/>
              <w:left w:val="nil"/>
              <w:bottom w:val="single" w:sz="4" w:space="0" w:color="000000"/>
              <w:right w:val="nil"/>
            </w:tcBorders>
            <w:vAlign w:val="center"/>
          </w:tcPr>
          <w:p w14:paraId="3705F7C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Not supportive</w:t>
            </w:r>
          </w:p>
        </w:tc>
        <w:tc>
          <w:tcPr>
            <w:tcW w:w="1400" w:type="dxa"/>
            <w:tcBorders>
              <w:top w:val="single" w:sz="4" w:space="0" w:color="000000"/>
              <w:left w:val="nil"/>
              <w:bottom w:val="single" w:sz="4" w:space="0" w:color="000000"/>
              <w:right w:val="nil"/>
            </w:tcBorders>
            <w:vAlign w:val="center"/>
          </w:tcPr>
          <w:p w14:paraId="7AFF571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21 (29.2)</w:t>
            </w:r>
          </w:p>
        </w:tc>
        <w:tc>
          <w:tcPr>
            <w:tcW w:w="1400" w:type="dxa"/>
            <w:tcBorders>
              <w:top w:val="single" w:sz="4" w:space="0" w:color="000000"/>
              <w:left w:val="nil"/>
              <w:bottom w:val="single" w:sz="4" w:space="0" w:color="000000"/>
              <w:right w:val="nil"/>
            </w:tcBorders>
            <w:vAlign w:val="center"/>
          </w:tcPr>
          <w:p w14:paraId="30BD30B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27 (37.5)</w:t>
            </w:r>
          </w:p>
        </w:tc>
        <w:tc>
          <w:tcPr>
            <w:tcW w:w="1400" w:type="dxa"/>
            <w:tcBorders>
              <w:top w:val="single" w:sz="4" w:space="0" w:color="000000"/>
              <w:left w:val="nil"/>
              <w:bottom w:val="single" w:sz="4" w:space="0" w:color="000000"/>
              <w:right w:val="nil"/>
            </w:tcBorders>
            <w:vAlign w:val="center"/>
          </w:tcPr>
          <w:p w14:paraId="65021BF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48 (66.7)</w:t>
            </w:r>
          </w:p>
        </w:tc>
        <w:tc>
          <w:tcPr>
            <w:tcW w:w="1400" w:type="dxa"/>
            <w:tcBorders>
              <w:top w:val="single" w:sz="4" w:space="0" w:color="000000"/>
              <w:left w:val="nil"/>
              <w:bottom w:val="single" w:sz="4" w:space="0" w:color="000000"/>
              <w:right w:val="nil"/>
            </w:tcBorders>
            <w:vAlign w:val="center"/>
          </w:tcPr>
          <w:p w14:paraId="1CF7C3E0" w14:textId="77777777" w:rsidR="009A14BF" w:rsidRPr="00093DB4" w:rsidRDefault="009A14BF" w:rsidP="00093DB4">
            <w:pPr>
              <w:spacing w:after="0" w:line="240" w:lineRule="auto"/>
              <w:jc w:val="center"/>
              <w:rPr>
                <w:sz w:val="24"/>
                <w:szCs w:val="24"/>
              </w:rPr>
            </w:pPr>
          </w:p>
        </w:tc>
        <w:tc>
          <w:tcPr>
            <w:tcW w:w="1400" w:type="dxa"/>
            <w:tcBorders>
              <w:top w:val="single" w:sz="4" w:space="0" w:color="000000"/>
              <w:left w:val="nil"/>
              <w:bottom w:val="single" w:sz="4" w:space="0" w:color="000000"/>
              <w:right w:val="nil"/>
            </w:tcBorders>
            <w:vAlign w:val="center"/>
          </w:tcPr>
          <w:p w14:paraId="6822267D" w14:textId="77777777" w:rsidR="009A14BF" w:rsidRPr="00093DB4" w:rsidRDefault="009A14BF" w:rsidP="00093DB4">
            <w:pPr>
              <w:spacing w:after="0" w:line="240" w:lineRule="auto"/>
              <w:jc w:val="center"/>
              <w:rPr>
                <w:sz w:val="24"/>
                <w:szCs w:val="24"/>
              </w:rPr>
            </w:pPr>
          </w:p>
        </w:tc>
      </w:tr>
      <w:tr w:rsidR="009A14BF" w:rsidRPr="00093DB4" w14:paraId="589D0938" w14:textId="77777777" w:rsidTr="00093DB4">
        <w:trPr>
          <w:jc w:val="center"/>
        </w:trPr>
        <w:tc>
          <w:tcPr>
            <w:tcW w:w="1400" w:type="dxa"/>
            <w:tcBorders>
              <w:top w:val="single" w:sz="4" w:space="0" w:color="000000"/>
              <w:left w:val="nil"/>
              <w:bottom w:val="single" w:sz="4" w:space="0" w:color="000000"/>
              <w:right w:val="nil"/>
            </w:tcBorders>
            <w:vAlign w:val="center"/>
          </w:tcPr>
          <w:p w14:paraId="7BE11982"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 availability</w:t>
            </w:r>
          </w:p>
        </w:tc>
        <w:tc>
          <w:tcPr>
            <w:tcW w:w="1400" w:type="dxa"/>
            <w:tcBorders>
              <w:top w:val="single" w:sz="4" w:space="0" w:color="000000"/>
              <w:left w:val="nil"/>
              <w:bottom w:val="single" w:sz="4" w:space="0" w:color="000000"/>
              <w:right w:val="nil"/>
            </w:tcBorders>
            <w:vAlign w:val="center"/>
          </w:tcPr>
          <w:p w14:paraId="059C93A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Healthy</w:t>
            </w:r>
          </w:p>
        </w:tc>
        <w:tc>
          <w:tcPr>
            <w:tcW w:w="1400" w:type="dxa"/>
            <w:tcBorders>
              <w:top w:val="single" w:sz="4" w:space="0" w:color="000000"/>
              <w:left w:val="nil"/>
              <w:bottom w:val="single" w:sz="4" w:space="0" w:color="000000"/>
              <w:right w:val="nil"/>
            </w:tcBorders>
            <w:vAlign w:val="center"/>
          </w:tcPr>
          <w:p w14:paraId="62D9439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13 (18.1)</w:t>
            </w:r>
          </w:p>
        </w:tc>
        <w:tc>
          <w:tcPr>
            <w:tcW w:w="1400" w:type="dxa"/>
            <w:tcBorders>
              <w:top w:val="single" w:sz="4" w:space="0" w:color="000000"/>
              <w:left w:val="nil"/>
              <w:bottom w:val="single" w:sz="4" w:space="0" w:color="000000"/>
              <w:right w:val="nil"/>
            </w:tcBorders>
            <w:vAlign w:val="center"/>
          </w:tcPr>
          <w:p w14:paraId="44039EA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8 (11.1)</w:t>
            </w:r>
          </w:p>
        </w:tc>
        <w:tc>
          <w:tcPr>
            <w:tcW w:w="1400" w:type="dxa"/>
            <w:tcBorders>
              <w:top w:val="single" w:sz="4" w:space="0" w:color="000000"/>
              <w:left w:val="nil"/>
              <w:bottom w:val="single" w:sz="4" w:space="0" w:color="000000"/>
              <w:right w:val="nil"/>
            </w:tcBorders>
            <w:vAlign w:val="center"/>
          </w:tcPr>
          <w:p w14:paraId="59E929A1"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21 (29.2)</w:t>
            </w:r>
          </w:p>
        </w:tc>
        <w:tc>
          <w:tcPr>
            <w:tcW w:w="1400" w:type="dxa"/>
            <w:tcBorders>
              <w:top w:val="single" w:sz="4" w:space="0" w:color="000000"/>
              <w:left w:val="nil"/>
              <w:bottom w:val="single" w:sz="4" w:space="0" w:color="000000"/>
              <w:right w:val="nil"/>
            </w:tcBorders>
            <w:vAlign w:val="center"/>
          </w:tcPr>
          <w:p w14:paraId="60EEE69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0.109</w:t>
            </w:r>
          </w:p>
        </w:tc>
        <w:tc>
          <w:tcPr>
            <w:tcW w:w="1400" w:type="dxa"/>
            <w:tcBorders>
              <w:top w:val="single" w:sz="4" w:space="0" w:color="000000"/>
              <w:left w:val="nil"/>
              <w:bottom w:val="single" w:sz="4" w:space="0" w:color="000000"/>
              <w:right w:val="nil"/>
            </w:tcBorders>
            <w:vAlign w:val="center"/>
          </w:tcPr>
          <w:p w14:paraId="48113EA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2.321 (0.819-6.584)</w:t>
            </w:r>
          </w:p>
        </w:tc>
      </w:tr>
      <w:tr w:rsidR="009A14BF" w:rsidRPr="00093DB4" w14:paraId="5CEE59F5" w14:textId="77777777" w:rsidTr="00093DB4">
        <w:trPr>
          <w:jc w:val="center"/>
        </w:trPr>
        <w:tc>
          <w:tcPr>
            <w:tcW w:w="1400" w:type="dxa"/>
            <w:tcBorders>
              <w:top w:val="single" w:sz="4" w:space="0" w:color="000000"/>
              <w:left w:val="nil"/>
              <w:bottom w:val="single" w:sz="4" w:space="0" w:color="000000"/>
              <w:right w:val="nil"/>
            </w:tcBorders>
            <w:vAlign w:val="center"/>
          </w:tcPr>
          <w:p w14:paraId="1B779BE9" w14:textId="77777777" w:rsidR="009A14BF" w:rsidRPr="00093DB4" w:rsidRDefault="009A14BF">
            <w:pPr>
              <w:spacing w:after="0" w:line="240" w:lineRule="auto"/>
              <w:rPr>
                <w:sz w:val="24"/>
                <w:szCs w:val="24"/>
              </w:rPr>
            </w:pPr>
          </w:p>
        </w:tc>
        <w:tc>
          <w:tcPr>
            <w:tcW w:w="1400" w:type="dxa"/>
            <w:tcBorders>
              <w:top w:val="single" w:sz="4" w:space="0" w:color="000000"/>
              <w:left w:val="nil"/>
              <w:bottom w:val="single" w:sz="4" w:space="0" w:color="000000"/>
              <w:right w:val="nil"/>
            </w:tcBorders>
            <w:vAlign w:val="center"/>
          </w:tcPr>
          <w:p w14:paraId="56A50911"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Unhealthy</w:t>
            </w:r>
          </w:p>
        </w:tc>
        <w:tc>
          <w:tcPr>
            <w:tcW w:w="1400" w:type="dxa"/>
            <w:tcBorders>
              <w:top w:val="single" w:sz="4" w:space="0" w:color="000000"/>
              <w:left w:val="nil"/>
              <w:bottom w:val="single" w:sz="4" w:space="0" w:color="000000"/>
              <w:right w:val="nil"/>
            </w:tcBorders>
            <w:vAlign w:val="center"/>
          </w:tcPr>
          <w:p w14:paraId="1459BFB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21 (29.2)</w:t>
            </w:r>
          </w:p>
        </w:tc>
        <w:tc>
          <w:tcPr>
            <w:tcW w:w="1400" w:type="dxa"/>
            <w:tcBorders>
              <w:top w:val="single" w:sz="4" w:space="0" w:color="000000"/>
              <w:left w:val="nil"/>
              <w:bottom w:val="single" w:sz="4" w:space="0" w:color="000000"/>
              <w:right w:val="nil"/>
            </w:tcBorders>
            <w:vAlign w:val="center"/>
          </w:tcPr>
          <w:p w14:paraId="521BE66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30 (41.6)</w:t>
            </w:r>
          </w:p>
        </w:tc>
        <w:tc>
          <w:tcPr>
            <w:tcW w:w="1400" w:type="dxa"/>
            <w:tcBorders>
              <w:top w:val="single" w:sz="4" w:space="0" w:color="000000"/>
              <w:left w:val="nil"/>
              <w:bottom w:val="single" w:sz="4" w:space="0" w:color="000000"/>
              <w:right w:val="nil"/>
            </w:tcBorders>
            <w:vAlign w:val="center"/>
          </w:tcPr>
          <w:p w14:paraId="1363F0D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51 (70.8)</w:t>
            </w:r>
          </w:p>
        </w:tc>
        <w:tc>
          <w:tcPr>
            <w:tcW w:w="1400" w:type="dxa"/>
            <w:tcBorders>
              <w:top w:val="single" w:sz="4" w:space="0" w:color="000000"/>
              <w:left w:val="nil"/>
              <w:bottom w:val="single" w:sz="4" w:space="0" w:color="000000"/>
              <w:right w:val="nil"/>
            </w:tcBorders>
            <w:vAlign w:val="center"/>
          </w:tcPr>
          <w:p w14:paraId="7C1B2AA3" w14:textId="77777777" w:rsidR="009A14BF" w:rsidRPr="00093DB4" w:rsidRDefault="009A14BF" w:rsidP="00093DB4">
            <w:pPr>
              <w:spacing w:after="0" w:line="240" w:lineRule="auto"/>
              <w:jc w:val="center"/>
              <w:rPr>
                <w:sz w:val="24"/>
                <w:szCs w:val="24"/>
              </w:rPr>
            </w:pPr>
          </w:p>
        </w:tc>
        <w:tc>
          <w:tcPr>
            <w:tcW w:w="1400" w:type="dxa"/>
            <w:tcBorders>
              <w:top w:val="single" w:sz="4" w:space="0" w:color="000000"/>
              <w:left w:val="nil"/>
              <w:bottom w:val="single" w:sz="4" w:space="0" w:color="000000"/>
              <w:right w:val="nil"/>
            </w:tcBorders>
            <w:vAlign w:val="center"/>
          </w:tcPr>
          <w:p w14:paraId="393FBACF" w14:textId="77777777" w:rsidR="009A14BF" w:rsidRPr="00093DB4" w:rsidRDefault="009A14BF" w:rsidP="00093DB4">
            <w:pPr>
              <w:spacing w:after="0" w:line="240" w:lineRule="auto"/>
              <w:jc w:val="center"/>
              <w:rPr>
                <w:sz w:val="24"/>
                <w:szCs w:val="24"/>
              </w:rPr>
            </w:pPr>
          </w:p>
        </w:tc>
      </w:tr>
    </w:tbl>
    <w:p w14:paraId="3EFE0623" w14:textId="77777777" w:rsidR="009A14BF" w:rsidRDefault="00000000">
      <w:pPr>
        <w:spacing w:after="0" w:line="240" w:lineRule="auto"/>
        <w:ind w:firstLine="283"/>
        <w:jc w:val="both"/>
      </w:pPr>
      <w:r>
        <w:rPr>
          <w:rFonts w:ascii="Times New Roman" w:eastAsia="Times New Roman" w:hAnsi="Times New Roman"/>
          <w:sz w:val="24"/>
        </w:rPr>
        <w:t xml:space="preserve">In contrast, all studied variables were significantly associated with snack consumption behaviour in the urban area (Table 5). Students with strong snacking motivation had higher odds of good snack consumption behaviour (OR=6.767; 95% CI: 2.341-19.557; p&lt;0.001). Healthy </w:t>
      </w:r>
      <w:r>
        <w:rPr>
          <w:rFonts w:ascii="Times New Roman" w:eastAsia="Times New Roman" w:hAnsi="Times New Roman"/>
          <w:sz w:val="24"/>
        </w:rPr>
        <w:lastRenderedPageBreak/>
        <w:t>snack characteristics, supportive social environment, and healthy snack availability were also associated with good snack consumption behaviour, with OR values of 3.846, 2.943, and 4.875, respectively. Because the analysis was stratified by area, these findings describe the pattern within the urban school rather than a direct statistical comparison of association strength between rural and urban areas.</w:t>
      </w:r>
    </w:p>
    <w:p w14:paraId="136F8D6B" w14:textId="77777777" w:rsidR="00093DB4" w:rsidRPr="00093DB4" w:rsidRDefault="00000000" w:rsidP="00093DB4">
      <w:pPr>
        <w:spacing w:before="120" w:after="0" w:line="240" w:lineRule="auto"/>
        <w:jc w:val="center"/>
        <w:rPr>
          <w:rFonts w:ascii="Times New Roman" w:eastAsia="Times New Roman" w:hAnsi="Times New Roman"/>
          <w:sz w:val="24"/>
          <w:szCs w:val="24"/>
        </w:rPr>
      </w:pPr>
      <w:r w:rsidRPr="00093DB4">
        <w:rPr>
          <w:rFonts w:ascii="Times New Roman" w:eastAsia="Times New Roman" w:hAnsi="Times New Roman"/>
          <w:sz w:val="24"/>
          <w:szCs w:val="24"/>
        </w:rPr>
        <w:t>Table 5.</w:t>
      </w:r>
    </w:p>
    <w:p w14:paraId="323E4967" w14:textId="39910DED"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Association between study variables and snack consumption behaviour in the urban area (n=69)</w:t>
      </w:r>
    </w:p>
    <w:tbl>
      <w:tblPr>
        <w:tblW w:w="0" w:type="auto"/>
        <w:jc w:val="center"/>
        <w:tblLook w:val="04A0" w:firstRow="1" w:lastRow="0" w:firstColumn="1" w:lastColumn="0" w:noHBand="0" w:noVBand="1"/>
      </w:tblPr>
      <w:tblGrid>
        <w:gridCol w:w="1710"/>
        <w:gridCol w:w="1368"/>
        <w:gridCol w:w="1253"/>
        <w:gridCol w:w="1253"/>
        <w:gridCol w:w="1253"/>
        <w:gridCol w:w="1277"/>
        <w:gridCol w:w="1292"/>
      </w:tblGrid>
      <w:tr w:rsidR="009A14BF" w:rsidRPr="00093DB4" w14:paraId="69E5100B" w14:textId="77777777" w:rsidTr="00093DB4">
        <w:trPr>
          <w:tblHeader/>
          <w:jc w:val="center"/>
        </w:trPr>
        <w:tc>
          <w:tcPr>
            <w:tcW w:w="1400" w:type="dxa"/>
            <w:tcBorders>
              <w:top w:val="single" w:sz="4" w:space="0" w:color="000000"/>
              <w:left w:val="nil"/>
              <w:bottom w:val="single" w:sz="4" w:space="0" w:color="000000"/>
              <w:right w:val="nil"/>
            </w:tcBorders>
            <w:vAlign w:val="center"/>
          </w:tcPr>
          <w:p w14:paraId="1A92C259"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Variable</w:t>
            </w:r>
          </w:p>
        </w:tc>
        <w:tc>
          <w:tcPr>
            <w:tcW w:w="1400" w:type="dxa"/>
            <w:tcBorders>
              <w:top w:val="single" w:sz="4" w:space="0" w:color="000000"/>
              <w:left w:val="nil"/>
              <w:bottom w:val="single" w:sz="4" w:space="0" w:color="000000"/>
              <w:right w:val="nil"/>
            </w:tcBorders>
            <w:vAlign w:val="center"/>
          </w:tcPr>
          <w:p w14:paraId="0B368037"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Category</w:t>
            </w:r>
          </w:p>
        </w:tc>
        <w:tc>
          <w:tcPr>
            <w:tcW w:w="1400" w:type="dxa"/>
            <w:tcBorders>
              <w:top w:val="single" w:sz="4" w:space="0" w:color="000000"/>
              <w:left w:val="nil"/>
              <w:bottom w:val="single" w:sz="4" w:space="0" w:color="000000"/>
              <w:right w:val="nil"/>
            </w:tcBorders>
            <w:vAlign w:val="center"/>
          </w:tcPr>
          <w:p w14:paraId="44E17414"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Good n (%)</w:t>
            </w:r>
          </w:p>
        </w:tc>
        <w:tc>
          <w:tcPr>
            <w:tcW w:w="1400" w:type="dxa"/>
            <w:tcBorders>
              <w:top w:val="single" w:sz="4" w:space="0" w:color="000000"/>
              <w:left w:val="nil"/>
              <w:bottom w:val="single" w:sz="4" w:space="0" w:color="000000"/>
              <w:right w:val="nil"/>
            </w:tcBorders>
            <w:vAlign w:val="center"/>
          </w:tcPr>
          <w:p w14:paraId="182F02A7"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Poor n (%)</w:t>
            </w:r>
          </w:p>
        </w:tc>
        <w:tc>
          <w:tcPr>
            <w:tcW w:w="1400" w:type="dxa"/>
            <w:tcBorders>
              <w:top w:val="single" w:sz="4" w:space="0" w:color="000000"/>
              <w:left w:val="nil"/>
              <w:bottom w:val="single" w:sz="4" w:space="0" w:color="000000"/>
              <w:right w:val="nil"/>
            </w:tcBorders>
            <w:vAlign w:val="center"/>
          </w:tcPr>
          <w:p w14:paraId="5E857CE9"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Total n (%)</w:t>
            </w:r>
          </w:p>
        </w:tc>
        <w:tc>
          <w:tcPr>
            <w:tcW w:w="1400" w:type="dxa"/>
            <w:tcBorders>
              <w:top w:val="single" w:sz="4" w:space="0" w:color="000000"/>
              <w:left w:val="nil"/>
              <w:bottom w:val="single" w:sz="4" w:space="0" w:color="000000"/>
              <w:right w:val="nil"/>
            </w:tcBorders>
            <w:vAlign w:val="center"/>
          </w:tcPr>
          <w:p w14:paraId="4215D1FB"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p-value</w:t>
            </w:r>
          </w:p>
        </w:tc>
        <w:tc>
          <w:tcPr>
            <w:tcW w:w="1400" w:type="dxa"/>
            <w:tcBorders>
              <w:top w:val="single" w:sz="4" w:space="0" w:color="000000"/>
              <w:left w:val="nil"/>
              <w:bottom w:val="single" w:sz="4" w:space="0" w:color="000000"/>
              <w:right w:val="nil"/>
            </w:tcBorders>
            <w:vAlign w:val="center"/>
          </w:tcPr>
          <w:p w14:paraId="5A257422" w14:textId="77777777" w:rsidR="009A14BF" w:rsidRPr="00093DB4" w:rsidRDefault="00000000">
            <w:pPr>
              <w:spacing w:after="0" w:line="240" w:lineRule="auto"/>
              <w:jc w:val="center"/>
              <w:rPr>
                <w:sz w:val="24"/>
                <w:szCs w:val="24"/>
              </w:rPr>
            </w:pPr>
            <w:r w:rsidRPr="00093DB4">
              <w:rPr>
                <w:rFonts w:ascii="Times New Roman" w:eastAsia="Times New Roman" w:hAnsi="Times New Roman"/>
                <w:b/>
                <w:sz w:val="24"/>
                <w:szCs w:val="24"/>
              </w:rPr>
              <w:t>OR (95% CI)</w:t>
            </w:r>
          </w:p>
        </w:tc>
      </w:tr>
      <w:tr w:rsidR="009A14BF" w:rsidRPr="00093DB4" w14:paraId="2A2155B1" w14:textId="77777777" w:rsidTr="00093DB4">
        <w:trPr>
          <w:jc w:val="center"/>
        </w:trPr>
        <w:tc>
          <w:tcPr>
            <w:tcW w:w="1400" w:type="dxa"/>
            <w:tcBorders>
              <w:top w:val="single" w:sz="4" w:space="0" w:color="000000"/>
              <w:left w:val="nil"/>
              <w:bottom w:val="single" w:sz="4" w:space="0" w:color="000000"/>
              <w:right w:val="nil"/>
            </w:tcBorders>
            <w:vAlign w:val="center"/>
          </w:tcPr>
          <w:p w14:paraId="13A57215"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Motivation</w:t>
            </w:r>
          </w:p>
        </w:tc>
        <w:tc>
          <w:tcPr>
            <w:tcW w:w="1400" w:type="dxa"/>
            <w:tcBorders>
              <w:top w:val="single" w:sz="4" w:space="0" w:color="000000"/>
              <w:left w:val="nil"/>
              <w:bottom w:val="single" w:sz="4" w:space="0" w:color="000000"/>
              <w:right w:val="nil"/>
            </w:tcBorders>
            <w:vAlign w:val="center"/>
          </w:tcPr>
          <w:p w14:paraId="4D163B50"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Strong</w:t>
            </w:r>
          </w:p>
        </w:tc>
        <w:tc>
          <w:tcPr>
            <w:tcW w:w="1400" w:type="dxa"/>
            <w:tcBorders>
              <w:top w:val="single" w:sz="4" w:space="0" w:color="000000"/>
              <w:left w:val="nil"/>
              <w:bottom w:val="single" w:sz="4" w:space="0" w:color="000000"/>
              <w:right w:val="nil"/>
            </w:tcBorders>
            <w:vAlign w:val="center"/>
          </w:tcPr>
          <w:p w14:paraId="68EE41E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29 (42.0)</w:t>
            </w:r>
          </w:p>
        </w:tc>
        <w:tc>
          <w:tcPr>
            <w:tcW w:w="1400" w:type="dxa"/>
            <w:tcBorders>
              <w:top w:val="single" w:sz="4" w:space="0" w:color="000000"/>
              <w:left w:val="nil"/>
              <w:bottom w:val="single" w:sz="4" w:space="0" w:color="000000"/>
              <w:right w:val="nil"/>
            </w:tcBorders>
            <w:vAlign w:val="center"/>
          </w:tcPr>
          <w:p w14:paraId="1764277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9 (13.1)</w:t>
            </w:r>
          </w:p>
        </w:tc>
        <w:tc>
          <w:tcPr>
            <w:tcW w:w="1400" w:type="dxa"/>
            <w:tcBorders>
              <w:top w:val="single" w:sz="4" w:space="0" w:color="000000"/>
              <w:left w:val="nil"/>
              <w:bottom w:val="single" w:sz="4" w:space="0" w:color="000000"/>
              <w:right w:val="nil"/>
            </w:tcBorders>
            <w:vAlign w:val="center"/>
          </w:tcPr>
          <w:p w14:paraId="784A0E0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38 (55.1)</w:t>
            </w:r>
          </w:p>
        </w:tc>
        <w:tc>
          <w:tcPr>
            <w:tcW w:w="1400" w:type="dxa"/>
            <w:tcBorders>
              <w:top w:val="single" w:sz="4" w:space="0" w:color="000000"/>
              <w:left w:val="nil"/>
              <w:bottom w:val="single" w:sz="4" w:space="0" w:color="000000"/>
              <w:right w:val="nil"/>
            </w:tcBorders>
            <w:vAlign w:val="center"/>
          </w:tcPr>
          <w:p w14:paraId="4C09765D"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&lt;0.001</w:t>
            </w:r>
          </w:p>
        </w:tc>
        <w:tc>
          <w:tcPr>
            <w:tcW w:w="1400" w:type="dxa"/>
            <w:tcBorders>
              <w:top w:val="single" w:sz="4" w:space="0" w:color="000000"/>
              <w:left w:val="nil"/>
              <w:bottom w:val="single" w:sz="4" w:space="0" w:color="000000"/>
              <w:right w:val="nil"/>
            </w:tcBorders>
            <w:vAlign w:val="center"/>
          </w:tcPr>
          <w:p w14:paraId="220EBAC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6.767 (2.341-19.557)</w:t>
            </w:r>
          </w:p>
        </w:tc>
      </w:tr>
      <w:tr w:rsidR="009A14BF" w:rsidRPr="00093DB4" w14:paraId="6A79A781" w14:textId="77777777" w:rsidTr="00093DB4">
        <w:trPr>
          <w:jc w:val="center"/>
        </w:trPr>
        <w:tc>
          <w:tcPr>
            <w:tcW w:w="1400" w:type="dxa"/>
            <w:tcBorders>
              <w:top w:val="single" w:sz="4" w:space="0" w:color="000000"/>
              <w:left w:val="nil"/>
              <w:bottom w:val="single" w:sz="4" w:space="0" w:color="000000"/>
              <w:right w:val="nil"/>
            </w:tcBorders>
            <w:vAlign w:val="center"/>
          </w:tcPr>
          <w:p w14:paraId="5BE12D82" w14:textId="77777777" w:rsidR="009A14BF" w:rsidRPr="00093DB4" w:rsidRDefault="009A14BF">
            <w:pPr>
              <w:spacing w:after="0" w:line="240" w:lineRule="auto"/>
              <w:rPr>
                <w:sz w:val="24"/>
                <w:szCs w:val="24"/>
              </w:rPr>
            </w:pPr>
          </w:p>
        </w:tc>
        <w:tc>
          <w:tcPr>
            <w:tcW w:w="1400" w:type="dxa"/>
            <w:tcBorders>
              <w:top w:val="single" w:sz="4" w:space="0" w:color="000000"/>
              <w:left w:val="nil"/>
              <w:bottom w:val="single" w:sz="4" w:space="0" w:color="000000"/>
              <w:right w:val="nil"/>
            </w:tcBorders>
            <w:vAlign w:val="center"/>
          </w:tcPr>
          <w:p w14:paraId="689BB5A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Weak</w:t>
            </w:r>
          </w:p>
        </w:tc>
        <w:tc>
          <w:tcPr>
            <w:tcW w:w="1400" w:type="dxa"/>
            <w:tcBorders>
              <w:top w:val="single" w:sz="4" w:space="0" w:color="000000"/>
              <w:left w:val="nil"/>
              <w:bottom w:val="single" w:sz="4" w:space="0" w:color="000000"/>
              <w:right w:val="nil"/>
            </w:tcBorders>
            <w:vAlign w:val="center"/>
          </w:tcPr>
          <w:p w14:paraId="3893E6C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10 (14.5)</w:t>
            </w:r>
          </w:p>
        </w:tc>
        <w:tc>
          <w:tcPr>
            <w:tcW w:w="1400" w:type="dxa"/>
            <w:tcBorders>
              <w:top w:val="single" w:sz="4" w:space="0" w:color="000000"/>
              <w:left w:val="nil"/>
              <w:bottom w:val="single" w:sz="4" w:space="0" w:color="000000"/>
              <w:right w:val="nil"/>
            </w:tcBorders>
            <w:vAlign w:val="center"/>
          </w:tcPr>
          <w:p w14:paraId="1D098C2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21 (30.4)</w:t>
            </w:r>
          </w:p>
        </w:tc>
        <w:tc>
          <w:tcPr>
            <w:tcW w:w="1400" w:type="dxa"/>
            <w:tcBorders>
              <w:top w:val="single" w:sz="4" w:space="0" w:color="000000"/>
              <w:left w:val="nil"/>
              <w:bottom w:val="single" w:sz="4" w:space="0" w:color="000000"/>
              <w:right w:val="nil"/>
            </w:tcBorders>
            <w:vAlign w:val="center"/>
          </w:tcPr>
          <w:p w14:paraId="12538E6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31 (44.9)</w:t>
            </w:r>
          </w:p>
        </w:tc>
        <w:tc>
          <w:tcPr>
            <w:tcW w:w="1400" w:type="dxa"/>
            <w:tcBorders>
              <w:top w:val="single" w:sz="4" w:space="0" w:color="000000"/>
              <w:left w:val="nil"/>
              <w:bottom w:val="single" w:sz="4" w:space="0" w:color="000000"/>
              <w:right w:val="nil"/>
            </w:tcBorders>
            <w:vAlign w:val="center"/>
          </w:tcPr>
          <w:p w14:paraId="2A8B39D9" w14:textId="77777777" w:rsidR="009A14BF" w:rsidRPr="00093DB4" w:rsidRDefault="009A14BF" w:rsidP="00093DB4">
            <w:pPr>
              <w:spacing w:after="0" w:line="240" w:lineRule="auto"/>
              <w:jc w:val="center"/>
              <w:rPr>
                <w:sz w:val="24"/>
                <w:szCs w:val="24"/>
              </w:rPr>
            </w:pPr>
          </w:p>
        </w:tc>
        <w:tc>
          <w:tcPr>
            <w:tcW w:w="1400" w:type="dxa"/>
            <w:tcBorders>
              <w:top w:val="single" w:sz="4" w:space="0" w:color="000000"/>
              <w:left w:val="nil"/>
              <w:bottom w:val="single" w:sz="4" w:space="0" w:color="000000"/>
              <w:right w:val="nil"/>
            </w:tcBorders>
            <w:vAlign w:val="center"/>
          </w:tcPr>
          <w:p w14:paraId="3A36FC4B" w14:textId="77777777" w:rsidR="009A14BF" w:rsidRPr="00093DB4" w:rsidRDefault="009A14BF" w:rsidP="00093DB4">
            <w:pPr>
              <w:spacing w:after="0" w:line="240" w:lineRule="auto"/>
              <w:jc w:val="center"/>
              <w:rPr>
                <w:sz w:val="24"/>
                <w:szCs w:val="24"/>
              </w:rPr>
            </w:pPr>
          </w:p>
        </w:tc>
      </w:tr>
      <w:tr w:rsidR="009A14BF" w:rsidRPr="00093DB4" w14:paraId="03A653A2" w14:textId="77777777" w:rsidTr="00093DB4">
        <w:trPr>
          <w:jc w:val="center"/>
        </w:trPr>
        <w:tc>
          <w:tcPr>
            <w:tcW w:w="1400" w:type="dxa"/>
            <w:tcBorders>
              <w:top w:val="single" w:sz="4" w:space="0" w:color="000000"/>
              <w:left w:val="nil"/>
              <w:bottom w:val="single" w:sz="4" w:space="0" w:color="000000"/>
              <w:right w:val="nil"/>
            </w:tcBorders>
            <w:vAlign w:val="center"/>
          </w:tcPr>
          <w:p w14:paraId="581BED08"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 characteristics</w:t>
            </w:r>
          </w:p>
        </w:tc>
        <w:tc>
          <w:tcPr>
            <w:tcW w:w="1400" w:type="dxa"/>
            <w:tcBorders>
              <w:top w:val="single" w:sz="4" w:space="0" w:color="000000"/>
              <w:left w:val="nil"/>
              <w:bottom w:val="single" w:sz="4" w:space="0" w:color="000000"/>
              <w:right w:val="nil"/>
            </w:tcBorders>
            <w:vAlign w:val="center"/>
          </w:tcPr>
          <w:p w14:paraId="42613EB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Healthy</w:t>
            </w:r>
          </w:p>
        </w:tc>
        <w:tc>
          <w:tcPr>
            <w:tcW w:w="1400" w:type="dxa"/>
            <w:tcBorders>
              <w:top w:val="single" w:sz="4" w:space="0" w:color="000000"/>
              <w:left w:val="nil"/>
              <w:bottom w:val="single" w:sz="4" w:space="0" w:color="000000"/>
              <w:right w:val="nil"/>
            </w:tcBorders>
            <w:vAlign w:val="center"/>
          </w:tcPr>
          <w:p w14:paraId="27AF16F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38 (55.1)</w:t>
            </w:r>
          </w:p>
        </w:tc>
        <w:tc>
          <w:tcPr>
            <w:tcW w:w="1400" w:type="dxa"/>
            <w:tcBorders>
              <w:top w:val="single" w:sz="4" w:space="0" w:color="000000"/>
              <w:left w:val="nil"/>
              <w:bottom w:val="single" w:sz="4" w:space="0" w:color="000000"/>
              <w:right w:val="nil"/>
            </w:tcBorders>
            <w:vAlign w:val="center"/>
          </w:tcPr>
          <w:p w14:paraId="0311F06F"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8 (11.6)</w:t>
            </w:r>
          </w:p>
        </w:tc>
        <w:tc>
          <w:tcPr>
            <w:tcW w:w="1400" w:type="dxa"/>
            <w:tcBorders>
              <w:top w:val="single" w:sz="4" w:space="0" w:color="000000"/>
              <w:left w:val="nil"/>
              <w:bottom w:val="single" w:sz="4" w:space="0" w:color="000000"/>
              <w:right w:val="nil"/>
            </w:tcBorders>
            <w:vAlign w:val="center"/>
          </w:tcPr>
          <w:p w14:paraId="624183D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46 (66.7)</w:t>
            </w:r>
          </w:p>
        </w:tc>
        <w:tc>
          <w:tcPr>
            <w:tcW w:w="1400" w:type="dxa"/>
            <w:tcBorders>
              <w:top w:val="single" w:sz="4" w:space="0" w:color="000000"/>
              <w:left w:val="nil"/>
              <w:bottom w:val="single" w:sz="4" w:space="0" w:color="000000"/>
              <w:right w:val="nil"/>
            </w:tcBorders>
            <w:vAlign w:val="center"/>
          </w:tcPr>
          <w:p w14:paraId="066C1E8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0.025</w:t>
            </w:r>
          </w:p>
        </w:tc>
        <w:tc>
          <w:tcPr>
            <w:tcW w:w="1400" w:type="dxa"/>
            <w:tcBorders>
              <w:top w:val="single" w:sz="4" w:space="0" w:color="000000"/>
              <w:left w:val="nil"/>
              <w:bottom w:val="single" w:sz="4" w:space="0" w:color="000000"/>
              <w:right w:val="nil"/>
            </w:tcBorders>
            <w:vAlign w:val="center"/>
          </w:tcPr>
          <w:p w14:paraId="7CDB49A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3.846 (1.618-55.321)</w:t>
            </w:r>
          </w:p>
        </w:tc>
      </w:tr>
      <w:tr w:rsidR="009A14BF" w:rsidRPr="00093DB4" w14:paraId="0B33BD39" w14:textId="77777777" w:rsidTr="00093DB4">
        <w:trPr>
          <w:jc w:val="center"/>
        </w:trPr>
        <w:tc>
          <w:tcPr>
            <w:tcW w:w="1400" w:type="dxa"/>
            <w:tcBorders>
              <w:top w:val="single" w:sz="4" w:space="0" w:color="000000"/>
              <w:left w:val="nil"/>
              <w:bottom w:val="single" w:sz="4" w:space="0" w:color="000000"/>
              <w:right w:val="nil"/>
            </w:tcBorders>
            <w:vAlign w:val="center"/>
          </w:tcPr>
          <w:p w14:paraId="1EE322FA" w14:textId="77777777" w:rsidR="009A14BF" w:rsidRPr="00093DB4" w:rsidRDefault="009A14BF">
            <w:pPr>
              <w:spacing w:after="0" w:line="240" w:lineRule="auto"/>
              <w:rPr>
                <w:sz w:val="24"/>
                <w:szCs w:val="24"/>
              </w:rPr>
            </w:pPr>
          </w:p>
        </w:tc>
        <w:tc>
          <w:tcPr>
            <w:tcW w:w="1400" w:type="dxa"/>
            <w:tcBorders>
              <w:top w:val="single" w:sz="4" w:space="0" w:color="000000"/>
              <w:left w:val="nil"/>
              <w:bottom w:val="single" w:sz="4" w:space="0" w:color="000000"/>
              <w:right w:val="nil"/>
            </w:tcBorders>
            <w:vAlign w:val="center"/>
          </w:tcPr>
          <w:p w14:paraId="0AC1A25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Unhealthy</w:t>
            </w:r>
          </w:p>
        </w:tc>
        <w:tc>
          <w:tcPr>
            <w:tcW w:w="1400" w:type="dxa"/>
            <w:tcBorders>
              <w:top w:val="single" w:sz="4" w:space="0" w:color="000000"/>
              <w:left w:val="nil"/>
              <w:bottom w:val="single" w:sz="4" w:space="0" w:color="000000"/>
              <w:right w:val="nil"/>
            </w:tcBorders>
            <w:vAlign w:val="center"/>
          </w:tcPr>
          <w:p w14:paraId="417DD56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 (1.4)</w:t>
            </w:r>
          </w:p>
        </w:tc>
        <w:tc>
          <w:tcPr>
            <w:tcW w:w="1400" w:type="dxa"/>
            <w:tcBorders>
              <w:top w:val="single" w:sz="4" w:space="0" w:color="000000"/>
              <w:left w:val="nil"/>
              <w:bottom w:val="single" w:sz="4" w:space="0" w:color="000000"/>
              <w:right w:val="nil"/>
            </w:tcBorders>
            <w:vAlign w:val="center"/>
          </w:tcPr>
          <w:p w14:paraId="137166B4"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22 (31.9)</w:t>
            </w:r>
          </w:p>
        </w:tc>
        <w:tc>
          <w:tcPr>
            <w:tcW w:w="1400" w:type="dxa"/>
            <w:tcBorders>
              <w:top w:val="single" w:sz="4" w:space="0" w:color="000000"/>
              <w:left w:val="nil"/>
              <w:bottom w:val="single" w:sz="4" w:space="0" w:color="000000"/>
              <w:right w:val="nil"/>
            </w:tcBorders>
            <w:vAlign w:val="center"/>
          </w:tcPr>
          <w:p w14:paraId="007DD26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23 (33.3)</w:t>
            </w:r>
          </w:p>
        </w:tc>
        <w:tc>
          <w:tcPr>
            <w:tcW w:w="1400" w:type="dxa"/>
            <w:tcBorders>
              <w:top w:val="single" w:sz="4" w:space="0" w:color="000000"/>
              <w:left w:val="nil"/>
              <w:bottom w:val="single" w:sz="4" w:space="0" w:color="000000"/>
              <w:right w:val="nil"/>
            </w:tcBorders>
            <w:vAlign w:val="center"/>
          </w:tcPr>
          <w:p w14:paraId="75FD3FB6" w14:textId="77777777" w:rsidR="009A14BF" w:rsidRPr="00093DB4" w:rsidRDefault="009A14BF" w:rsidP="00093DB4">
            <w:pPr>
              <w:spacing w:after="0" w:line="240" w:lineRule="auto"/>
              <w:jc w:val="center"/>
              <w:rPr>
                <w:sz w:val="24"/>
                <w:szCs w:val="24"/>
              </w:rPr>
            </w:pPr>
          </w:p>
        </w:tc>
        <w:tc>
          <w:tcPr>
            <w:tcW w:w="1400" w:type="dxa"/>
            <w:tcBorders>
              <w:top w:val="single" w:sz="4" w:space="0" w:color="000000"/>
              <w:left w:val="nil"/>
              <w:bottom w:val="single" w:sz="4" w:space="0" w:color="000000"/>
              <w:right w:val="nil"/>
            </w:tcBorders>
            <w:vAlign w:val="center"/>
          </w:tcPr>
          <w:p w14:paraId="0F820CDA" w14:textId="77777777" w:rsidR="009A14BF" w:rsidRPr="00093DB4" w:rsidRDefault="009A14BF" w:rsidP="00093DB4">
            <w:pPr>
              <w:spacing w:after="0" w:line="240" w:lineRule="auto"/>
              <w:jc w:val="center"/>
              <w:rPr>
                <w:sz w:val="24"/>
                <w:szCs w:val="24"/>
              </w:rPr>
            </w:pPr>
          </w:p>
        </w:tc>
      </w:tr>
      <w:tr w:rsidR="009A14BF" w:rsidRPr="00093DB4" w14:paraId="1536CFBA" w14:textId="77777777" w:rsidTr="00093DB4">
        <w:trPr>
          <w:jc w:val="center"/>
        </w:trPr>
        <w:tc>
          <w:tcPr>
            <w:tcW w:w="1400" w:type="dxa"/>
            <w:tcBorders>
              <w:top w:val="single" w:sz="4" w:space="0" w:color="000000"/>
              <w:left w:val="nil"/>
              <w:bottom w:val="single" w:sz="4" w:space="0" w:color="000000"/>
              <w:right w:val="nil"/>
            </w:tcBorders>
            <w:vAlign w:val="center"/>
          </w:tcPr>
          <w:p w14:paraId="5AEEE5C2"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Social environment</w:t>
            </w:r>
          </w:p>
        </w:tc>
        <w:tc>
          <w:tcPr>
            <w:tcW w:w="1400" w:type="dxa"/>
            <w:tcBorders>
              <w:top w:val="single" w:sz="4" w:space="0" w:color="000000"/>
              <w:left w:val="nil"/>
              <w:bottom w:val="single" w:sz="4" w:space="0" w:color="000000"/>
              <w:right w:val="nil"/>
            </w:tcBorders>
            <w:vAlign w:val="center"/>
          </w:tcPr>
          <w:p w14:paraId="19F12A35"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Supportive</w:t>
            </w:r>
          </w:p>
        </w:tc>
        <w:tc>
          <w:tcPr>
            <w:tcW w:w="1400" w:type="dxa"/>
            <w:tcBorders>
              <w:top w:val="single" w:sz="4" w:space="0" w:color="000000"/>
              <w:left w:val="nil"/>
              <w:bottom w:val="single" w:sz="4" w:space="0" w:color="000000"/>
              <w:right w:val="nil"/>
            </w:tcBorders>
            <w:vAlign w:val="center"/>
          </w:tcPr>
          <w:p w14:paraId="53ECE7D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30 (43.5)</w:t>
            </w:r>
          </w:p>
        </w:tc>
        <w:tc>
          <w:tcPr>
            <w:tcW w:w="1400" w:type="dxa"/>
            <w:tcBorders>
              <w:top w:val="single" w:sz="4" w:space="0" w:color="000000"/>
              <w:left w:val="nil"/>
              <w:bottom w:val="single" w:sz="4" w:space="0" w:color="000000"/>
              <w:right w:val="nil"/>
            </w:tcBorders>
            <w:vAlign w:val="center"/>
          </w:tcPr>
          <w:p w14:paraId="428783AA"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15 (21.7)</w:t>
            </w:r>
          </w:p>
        </w:tc>
        <w:tc>
          <w:tcPr>
            <w:tcW w:w="1400" w:type="dxa"/>
            <w:tcBorders>
              <w:top w:val="single" w:sz="4" w:space="0" w:color="000000"/>
              <w:left w:val="nil"/>
              <w:bottom w:val="single" w:sz="4" w:space="0" w:color="000000"/>
              <w:right w:val="nil"/>
            </w:tcBorders>
            <w:vAlign w:val="center"/>
          </w:tcPr>
          <w:p w14:paraId="63D2F90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45 (65.2)</w:t>
            </w:r>
          </w:p>
        </w:tc>
        <w:tc>
          <w:tcPr>
            <w:tcW w:w="1400" w:type="dxa"/>
            <w:tcBorders>
              <w:top w:val="single" w:sz="4" w:space="0" w:color="000000"/>
              <w:left w:val="nil"/>
              <w:bottom w:val="single" w:sz="4" w:space="0" w:color="000000"/>
              <w:right w:val="nil"/>
            </w:tcBorders>
            <w:vAlign w:val="center"/>
          </w:tcPr>
          <w:p w14:paraId="2FA9884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0.042</w:t>
            </w:r>
          </w:p>
        </w:tc>
        <w:tc>
          <w:tcPr>
            <w:tcW w:w="1400" w:type="dxa"/>
            <w:tcBorders>
              <w:top w:val="single" w:sz="4" w:space="0" w:color="000000"/>
              <w:left w:val="nil"/>
              <w:bottom w:val="single" w:sz="4" w:space="0" w:color="000000"/>
              <w:right w:val="nil"/>
            </w:tcBorders>
            <w:vAlign w:val="center"/>
          </w:tcPr>
          <w:p w14:paraId="15DE88E7"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2.943 (1.430-3.592)</w:t>
            </w:r>
          </w:p>
        </w:tc>
      </w:tr>
      <w:tr w:rsidR="009A14BF" w:rsidRPr="00093DB4" w14:paraId="4589579A" w14:textId="77777777" w:rsidTr="00093DB4">
        <w:trPr>
          <w:jc w:val="center"/>
        </w:trPr>
        <w:tc>
          <w:tcPr>
            <w:tcW w:w="1400" w:type="dxa"/>
            <w:tcBorders>
              <w:top w:val="single" w:sz="4" w:space="0" w:color="000000"/>
              <w:left w:val="nil"/>
              <w:bottom w:val="single" w:sz="4" w:space="0" w:color="000000"/>
              <w:right w:val="nil"/>
            </w:tcBorders>
            <w:vAlign w:val="center"/>
          </w:tcPr>
          <w:p w14:paraId="72CBC2D2" w14:textId="77777777" w:rsidR="009A14BF" w:rsidRPr="00093DB4" w:rsidRDefault="009A14BF">
            <w:pPr>
              <w:spacing w:after="0" w:line="240" w:lineRule="auto"/>
              <w:rPr>
                <w:sz w:val="24"/>
                <w:szCs w:val="24"/>
              </w:rPr>
            </w:pPr>
          </w:p>
        </w:tc>
        <w:tc>
          <w:tcPr>
            <w:tcW w:w="1400" w:type="dxa"/>
            <w:tcBorders>
              <w:top w:val="single" w:sz="4" w:space="0" w:color="000000"/>
              <w:left w:val="nil"/>
              <w:bottom w:val="single" w:sz="4" w:space="0" w:color="000000"/>
              <w:right w:val="nil"/>
            </w:tcBorders>
            <w:vAlign w:val="center"/>
          </w:tcPr>
          <w:p w14:paraId="0DFDF19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Not supportive</w:t>
            </w:r>
          </w:p>
        </w:tc>
        <w:tc>
          <w:tcPr>
            <w:tcW w:w="1400" w:type="dxa"/>
            <w:tcBorders>
              <w:top w:val="single" w:sz="4" w:space="0" w:color="000000"/>
              <w:left w:val="nil"/>
              <w:bottom w:val="single" w:sz="4" w:space="0" w:color="000000"/>
              <w:right w:val="nil"/>
            </w:tcBorders>
            <w:vAlign w:val="center"/>
          </w:tcPr>
          <w:p w14:paraId="622A1F1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9 (13.0)</w:t>
            </w:r>
          </w:p>
        </w:tc>
        <w:tc>
          <w:tcPr>
            <w:tcW w:w="1400" w:type="dxa"/>
            <w:tcBorders>
              <w:top w:val="single" w:sz="4" w:space="0" w:color="000000"/>
              <w:left w:val="nil"/>
              <w:bottom w:val="single" w:sz="4" w:space="0" w:color="000000"/>
              <w:right w:val="nil"/>
            </w:tcBorders>
            <w:vAlign w:val="center"/>
          </w:tcPr>
          <w:p w14:paraId="04F6E0FD"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15 (21.7)</w:t>
            </w:r>
          </w:p>
        </w:tc>
        <w:tc>
          <w:tcPr>
            <w:tcW w:w="1400" w:type="dxa"/>
            <w:tcBorders>
              <w:top w:val="single" w:sz="4" w:space="0" w:color="000000"/>
              <w:left w:val="nil"/>
              <w:bottom w:val="single" w:sz="4" w:space="0" w:color="000000"/>
              <w:right w:val="nil"/>
            </w:tcBorders>
            <w:vAlign w:val="center"/>
          </w:tcPr>
          <w:p w14:paraId="0E220F86"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24 (34.8)</w:t>
            </w:r>
          </w:p>
        </w:tc>
        <w:tc>
          <w:tcPr>
            <w:tcW w:w="1400" w:type="dxa"/>
            <w:tcBorders>
              <w:top w:val="single" w:sz="4" w:space="0" w:color="000000"/>
              <w:left w:val="nil"/>
              <w:bottom w:val="single" w:sz="4" w:space="0" w:color="000000"/>
              <w:right w:val="nil"/>
            </w:tcBorders>
            <w:vAlign w:val="center"/>
          </w:tcPr>
          <w:p w14:paraId="4BBA3157" w14:textId="77777777" w:rsidR="009A14BF" w:rsidRPr="00093DB4" w:rsidRDefault="009A14BF" w:rsidP="00093DB4">
            <w:pPr>
              <w:spacing w:after="0" w:line="240" w:lineRule="auto"/>
              <w:jc w:val="center"/>
              <w:rPr>
                <w:sz w:val="24"/>
                <w:szCs w:val="24"/>
              </w:rPr>
            </w:pPr>
          </w:p>
        </w:tc>
        <w:tc>
          <w:tcPr>
            <w:tcW w:w="1400" w:type="dxa"/>
            <w:tcBorders>
              <w:top w:val="single" w:sz="4" w:space="0" w:color="000000"/>
              <w:left w:val="nil"/>
              <w:bottom w:val="single" w:sz="4" w:space="0" w:color="000000"/>
              <w:right w:val="nil"/>
            </w:tcBorders>
            <w:vAlign w:val="center"/>
          </w:tcPr>
          <w:p w14:paraId="4103B025" w14:textId="77777777" w:rsidR="009A14BF" w:rsidRPr="00093DB4" w:rsidRDefault="009A14BF" w:rsidP="00093DB4">
            <w:pPr>
              <w:spacing w:after="0" w:line="240" w:lineRule="auto"/>
              <w:jc w:val="center"/>
              <w:rPr>
                <w:sz w:val="24"/>
                <w:szCs w:val="24"/>
              </w:rPr>
            </w:pPr>
          </w:p>
        </w:tc>
      </w:tr>
      <w:tr w:rsidR="009A14BF" w:rsidRPr="00093DB4" w14:paraId="5C5F3696" w14:textId="77777777" w:rsidTr="00093DB4">
        <w:trPr>
          <w:jc w:val="center"/>
        </w:trPr>
        <w:tc>
          <w:tcPr>
            <w:tcW w:w="1400" w:type="dxa"/>
            <w:tcBorders>
              <w:top w:val="single" w:sz="4" w:space="0" w:color="000000"/>
              <w:left w:val="nil"/>
              <w:bottom w:val="single" w:sz="4" w:space="0" w:color="000000"/>
              <w:right w:val="nil"/>
            </w:tcBorders>
            <w:vAlign w:val="center"/>
          </w:tcPr>
          <w:p w14:paraId="40F298D2" w14:textId="77777777" w:rsidR="009A14BF" w:rsidRPr="00093DB4" w:rsidRDefault="00000000">
            <w:pPr>
              <w:spacing w:after="0" w:line="240" w:lineRule="auto"/>
              <w:rPr>
                <w:sz w:val="24"/>
                <w:szCs w:val="24"/>
              </w:rPr>
            </w:pPr>
            <w:r w:rsidRPr="00093DB4">
              <w:rPr>
                <w:rFonts w:ascii="Times New Roman" w:eastAsia="Times New Roman" w:hAnsi="Times New Roman"/>
                <w:b/>
                <w:sz w:val="24"/>
                <w:szCs w:val="24"/>
              </w:rPr>
              <w:t>Snack availability</w:t>
            </w:r>
          </w:p>
        </w:tc>
        <w:tc>
          <w:tcPr>
            <w:tcW w:w="1400" w:type="dxa"/>
            <w:tcBorders>
              <w:top w:val="single" w:sz="4" w:space="0" w:color="000000"/>
              <w:left w:val="nil"/>
              <w:bottom w:val="single" w:sz="4" w:space="0" w:color="000000"/>
              <w:right w:val="nil"/>
            </w:tcBorders>
            <w:vAlign w:val="center"/>
          </w:tcPr>
          <w:p w14:paraId="35DD7D04"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Healthy</w:t>
            </w:r>
          </w:p>
        </w:tc>
        <w:tc>
          <w:tcPr>
            <w:tcW w:w="1400" w:type="dxa"/>
            <w:tcBorders>
              <w:top w:val="single" w:sz="4" w:space="0" w:color="000000"/>
              <w:left w:val="nil"/>
              <w:bottom w:val="single" w:sz="4" w:space="0" w:color="000000"/>
              <w:right w:val="nil"/>
            </w:tcBorders>
            <w:vAlign w:val="center"/>
          </w:tcPr>
          <w:p w14:paraId="0D11DC4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31 (44.9)</w:t>
            </w:r>
          </w:p>
        </w:tc>
        <w:tc>
          <w:tcPr>
            <w:tcW w:w="1400" w:type="dxa"/>
            <w:tcBorders>
              <w:top w:val="single" w:sz="4" w:space="0" w:color="000000"/>
              <w:left w:val="nil"/>
              <w:bottom w:val="single" w:sz="4" w:space="0" w:color="000000"/>
              <w:right w:val="nil"/>
            </w:tcBorders>
            <w:vAlign w:val="center"/>
          </w:tcPr>
          <w:p w14:paraId="013CFAEC"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15 (21.7)</w:t>
            </w:r>
          </w:p>
        </w:tc>
        <w:tc>
          <w:tcPr>
            <w:tcW w:w="1400" w:type="dxa"/>
            <w:tcBorders>
              <w:top w:val="single" w:sz="4" w:space="0" w:color="000000"/>
              <w:left w:val="nil"/>
              <w:bottom w:val="single" w:sz="4" w:space="0" w:color="000000"/>
              <w:right w:val="nil"/>
            </w:tcBorders>
            <w:vAlign w:val="center"/>
          </w:tcPr>
          <w:p w14:paraId="1B72E2C3"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46 (66.7)</w:t>
            </w:r>
          </w:p>
        </w:tc>
        <w:tc>
          <w:tcPr>
            <w:tcW w:w="1400" w:type="dxa"/>
            <w:tcBorders>
              <w:top w:val="single" w:sz="4" w:space="0" w:color="000000"/>
              <w:left w:val="nil"/>
              <w:bottom w:val="single" w:sz="4" w:space="0" w:color="000000"/>
              <w:right w:val="nil"/>
            </w:tcBorders>
            <w:vAlign w:val="center"/>
          </w:tcPr>
          <w:p w14:paraId="21722111"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0.010</w:t>
            </w:r>
          </w:p>
        </w:tc>
        <w:tc>
          <w:tcPr>
            <w:tcW w:w="1400" w:type="dxa"/>
            <w:tcBorders>
              <w:top w:val="single" w:sz="4" w:space="0" w:color="000000"/>
              <w:left w:val="nil"/>
              <w:bottom w:val="single" w:sz="4" w:space="0" w:color="000000"/>
              <w:right w:val="nil"/>
            </w:tcBorders>
            <w:vAlign w:val="center"/>
          </w:tcPr>
          <w:p w14:paraId="326B606E"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4.875 (1.347-11.146)</w:t>
            </w:r>
          </w:p>
        </w:tc>
      </w:tr>
      <w:tr w:rsidR="009A14BF" w:rsidRPr="00093DB4" w14:paraId="1FEF5F62" w14:textId="77777777" w:rsidTr="00093DB4">
        <w:trPr>
          <w:jc w:val="center"/>
        </w:trPr>
        <w:tc>
          <w:tcPr>
            <w:tcW w:w="1400" w:type="dxa"/>
            <w:tcBorders>
              <w:top w:val="single" w:sz="4" w:space="0" w:color="000000"/>
              <w:left w:val="nil"/>
              <w:bottom w:val="single" w:sz="4" w:space="0" w:color="000000"/>
              <w:right w:val="nil"/>
            </w:tcBorders>
            <w:vAlign w:val="center"/>
          </w:tcPr>
          <w:p w14:paraId="4BBDF9C9" w14:textId="77777777" w:rsidR="009A14BF" w:rsidRPr="00093DB4" w:rsidRDefault="009A14BF">
            <w:pPr>
              <w:spacing w:after="0" w:line="240" w:lineRule="auto"/>
              <w:rPr>
                <w:sz w:val="24"/>
                <w:szCs w:val="24"/>
              </w:rPr>
            </w:pPr>
          </w:p>
        </w:tc>
        <w:tc>
          <w:tcPr>
            <w:tcW w:w="1400" w:type="dxa"/>
            <w:tcBorders>
              <w:top w:val="single" w:sz="4" w:space="0" w:color="000000"/>
              <w:left w:val="nil"/>
              <w:bottom w:val="single" w:sz="4" w:space="0" w:color="000000"/>
              <w:right w:val="nil"/>
            </w:tcBorders>
            <w:vAlign w:val="center"/>
          </w:tcPr>
          <w:p w14:paraId="52247BB8"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Unhealthy</w:t>
            </w:r>
          </w:p>
        </w:tc>
        <w:tc>
          <w:tcPr>
            <w:tcW w:w="1400" w:type="dxa"/>
            <w:tcBorders>
              <w:top w:val="single" w:sz="4" w:space="0" w:color="000000"/>
              <w:left w:val="nil"/>
              <w:bottom w:val="single" w:sz="4" w:space="0" w:color="000000"/>
              <w:right w:val="nil"/>
            </w:tcBorders>
            <w:vAlign w:val="center"/>
          </w:tcPr>
          <w:p w14:paraId="5CAB2AAB"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8 (11.6)</w:t>
            </w:r>
          </w:p>
        </w:tc>
        <w:tc>
          <w:tcPr>
            <w:tcW w:w="1400" w:type="dxa"/>
            <w:tcBorders>
              <w:top w:val="single" w:sz="4" w:space="0" w:color="000000"/>
              <w:left w:val="nil"/>
              <w:bottom w:val="single" w:sz="4" w:space="0" w:color="000000"/>
              <w:right w:val="nil"/>
            </w:tcBorders>
            <w:vAlign w:val="center"/>
          </w:tcPr>
          <w:p w14:paraId="2D90C062"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15 (21.8)</w:t>
            </w:r>
          </w:p>
        </w:tc>
        <w:tc>
          <w:tcPr>
            <w:tcW w:w="1400" w:type="dxa"/>
            <w:tcBorders>
              <w:top w:val="single" w:sz="4" w:space="0" w:color="000000"/>
              <w:left w:val="nil"/>
              <w:bottom w:val="single" w:sz="4" w:space="0" w:color="000000"/>
              <w:right w:val="nil"/>
            </w:tcBorders>
            <w:vAlign w:val="center"/>
          </w:tcPr>
          <w:p w14:paraId="25313669" w14:textId="77777777" w:rsidR="009A14BF" w:rsidRPr="00093DB4" w:rsidRDefault="00000000" w:rsidP="00093DB4">
            <w:pPr>
              <w:spacing w:after="0" w:line="240" w:lineRule="auto"/>
              <w:jc w:val="center"/>
              <w:rPr>
                <w:sz w:val="24"/>
                <w:szCs w:val="24"/>
              </w:rPr>
            </w:pPr>
            <w:r w:rsidRPr="00093DB4">
              <w:rPr>
                <w:rFonts w:ascii="Times New Roman" w:eastAsia="Times New Roman" w:hAnsi="Times New Roman"/>
                <w:sz w:val="24"/>
                <w:szCs w:val="24"/>
              </w:rPr>
              <w:t>23 (33.3)</w:t>
            </w:r>
          </w:p>
        </w:tc>
        <w:tc>
          <w:tcPr>
            <w:tcW w:w="1400" w:type="dxa"/>
            <w:tcBorders>
              <w:top w:val="single" w:sz="4" w:space="0" w:color="000000"/>
              <w:left w:val="nil"/>
              <w:bottom w:val="single" w:sz="4" w:space="0" w:color="000000"/>
              <w:right w:val="nil"/>
            </w:tcBorders>
            <w:vAlign w:val="center"/>
          </w:tcPr>
          <w:p w14:paraId="6C012692" w14:textId="77777777" w:rsidR="009A14BF" w:rsidRPr="00093DB4" w:rsidRDefault="009A14BF" w:rsidP="00093DB4">
            <w:pPr>
              <w:spacing w:after="0" w:line="240" w:lineRule="auto"/>
              <w:jc w:val="center"/>
              <w:rPr>
                <w:sz w:val="24"/>
                <w:szCs w:val="24"/>
              </w:rPr>
            </w:pPr>
          </w:p>
        </w:tc>
        <w:tc>
          <w:tcPr>
            <w:tcW w:w="1400" w:type="dxa"/>
            <w:tcBorders>
              <w:top w:val="single" w:sz="4" w:space="0" w:color="000000"/>
              <w:left w:val="nil"/>
              <w:bottom w:val="single" w:sz="4" w:space="0" w:color="000000"/>
              <w:right w:val="nil"/>
            </w:tcBorders>
            <w:vAlign w:val="center"/>
          </w:tcPr>
          <w:p w14:paraId="0331935F" w14:textId="77777777" w:rsidR="009A14BF" w:rsidRPr="00093DB4" w:rsidRDefault="009A14BF" w:rsidP="00093DB4">
            <w:pPr>
              <w:spacing w:after="0" w:line="240" w:lineRule="auto"/>
              <w:jc w:val="center"/>
              <w:rPr>
                <w:sz w:val="24"/>
                <w:szCs w:val="24"/>
              </w:rPr>
            </w:pPr>
          </w:p>
        </w:tc>
      </w:tr>
    </w:tbl>
    <w:p w14:paraId="3D2AEB1A" w14:textId="77777777" w:rsidR="009A14BF" w:rsidRDefault="00000000">
      <w:pPr>
        <w:spacing w:before="120" w:after="0" w:line="240" w:lineRule="auto"/>
      </w:pPr>
      <w:r>
        <w:rPr>
          <w:rFonts w:ascii="Times New Roman" w:eastAsia="Times New Roman" w:hAnsi="Times New Roman"/>
          <w:b/>
          <w:sz w:val="24"/>
        </w:rPr>
        <w:t>Discussion</w:t>
      </w:r>
    </w:p>
    <w:p w14:paraId="328A0D47" w14:textId="77777777" w:rsidR="009A14BF" w:rsidRDefault="00000000">
      <w:pPr>
        <w:spacing w:after="0" w:line="240" w:lineRule="auto"/>
        <w:ind w:firstLine="283"/>
        <w:jc w:val="both"/>
      </w:pPr>
      <w:r>
        <w:rPr>
          <w:rFonts w:ascii="Times New Roman" w:eastAsia="Times New Roman" w:hAnsi="Times New Roman"/>
          <w:sz w:val="24"/>
        </w:rPr>
        <w:t>This study found different snack consumption patterns among elementary school children in the two study settings in Lhokseumawe. Rural students showed a higher proportion of poor snack consumption behaviour, while urban students showed a higher proportion of good behaviour. This difference may reflect different school food environments, socioeconomic characteristics, and local food access. However, because each setting was represented by one school, school-level characteristics cannot be fully separated from the rural or urban classification. Studies on school food environments show that canteen management, food vendors, food outlet density, and the types of foods available around schools can shape children's food choices (Gewa et al., 2021; Hadi et al., 2022; Makori et al., 2025).</w:t>
      </w:r>
    </w:p>
    <w:p w14:paraId="752C258C" w14:textId="77777777" w:rsidR="009A14BF" w:rsidRDefault="00000000">
      <w:pPr>
        <w:spacing w:after="0" w:line="240" w:lineRule="auto"/>
        <w:ind w:firstLine="283"/>
        <w:jc w:val="both"/>
      </w:pPr>
      <w:r>
        <w:rPr>
          <w:rFonts w:ascii="Times New Roman" w:eastAsia="Times New Roman" w:hAnsi="Times New Roman"/>
          <w:sz w:val="24"/>
        </w:rPr>
        <w:t>In the rural group, motivation, snack characteristics, social environment, and snack availability were not significantly associated with snack consumption behaviour. This result should not be interpreted as evidence that these factors are unimportant. The odds ratios for snack characteristics and snack availability were above two, but the confidence intervals were wide and included 1.0, indicating statistical uncertainty. The nonsignificant results may be related to the small sample size, limited exposure variation within the rural school, unmeasured household factors, or school-specific conditions. Rural school studies have also shown that policy implementation, family routines, and school-level resources can influence how food environment factors operate in practice (Ausenhus et al., 2023; Grigsby-Duffy et al., 2022; Hadi et al., 2022).</w:t>
      </w:r>
    </w:p>
    <w:p w14:paraId="39A95403" w14:textId="77777777" w:rsidR="009A14BF" w:rsidRDefault="00000000">
      <w:pPr>
        <w:spacing w:after="0" w:line="240" w:lineRule="auto"/>
        <w:ind w:firstLine="283"/>
        <w:jc w:val="both"/>
      </w:pPr>
      <w:r>
        <w:rPr>
          <w:rFonts w:ascii="Times New Roman" w:eastAsia="Times New Roman" w:hAnsi="Times New Roman"/>
          <w:sz w:val="24"/>
        </w:rPr>
        <w:lastRenderedPageBreak/>
        <w:t>In the urban group, all studied variables were significantly associated with snack consumption behaviour. Snacking motivation showed the strongest association. This finding is consistent with recent evidence that children's snack choices are shaped by taste, nutrient claims, purchase location, family consumption habits, and social influence. In settings where more food options are available, children may have more opportunity to translate motivation and preference into actual purchasing behaviour. Evidence from Indonesia also shows that peer influence can strongly affect children's snack choices, while urban Indonesian data suggest that school-aged children commonly buy snacks from multiple sources, including canteens, street vendors, and food stalls (Li et al., 2026; Mecheva et al., 2021; Sartika et al., 2025).</w:t>
      </w:r>
    </w:p>
    <w:p w14:paraId="3008BD26" w14:textId="77777777" w:rsidR="009A14BF" w:rsidRDefault="00000000">
      <w:pPr>
        <w:spacing w:after="0" w:line="240" w:lineRule="auto"/>
        <w:ind w:firstLine="283"/>
        <w:jc w:val="both"/>
      </w:pPr>
      <w:r>
        <w:rPr>
          <w:rFonts w:ascii="Times New Roman" w:eastAsia="Times New Roman" w:hAnsi="Times New Roman"/>
          <w:sz w:val="24"/>
        </w:rPr>
        <w:t>Snack characteristics were also associated with behaviour in the urban area. Sensory attributes such as taste, colour, texture, aroma, and packaging can strongly attract school-aged children. Products high in sugar, salt, and fat are often designed to be appealing, affordable, and easy to consume. Recent systematic and empirical evidence indicates that packaging elements, character-based marketing, and other visual features can influence children's food choices and preferences. Indonesian evidence also highlights that popular school snacks need attention not only for frequency of consumption but also for food safety and nutritional quality (Arraztio-Cordoba et al., 2022; Khomsan et al., 2023; Sato et al., 2022).</w:t>
      </w:r>
    </w:p>
    <w:p w14:paraId="5A4D2E46" w14:textId="77777777" w:rsidR="009A14BF" w:rsidRDefault="00000000">
      <w:pPr>
        <w:spacing w:after="0" w:line="240" w:lineRule="auto"/>
        <w:ind w:firstLine="283"/>
        <w:jc w:val="both"/>
      </w:pPr>
      <w:r>
        <w:rPr>
          <w:rFonts w:ascii="Times New Roman" w:eastAsia="Times New Roman" w:hAnsi="Times New Roman"/>
          <w:sz w:val="24"/>
        </w:rPr>
        <w:t>The significant role of social environment in the urban area supports the view that children's food choices are formed through social interaction. Peer influence can encourage children to buy the same food as their friends, while teachers, parents, and vendors can support or weaken healthier choices through rules, modelling, and food availability. Recent studies in Indonesia, Ghana, and Thailand indicate that peers, parents, school vendors, and school practices are important in children's snack-related decisions and in the persistence of unhealthy snack consumption around schools (Mecheva et al., 2021; Pudsa et al., 2026; Tandoh et al., 2025).</w:t>
      </w:r>
    </w:p>
    <w:p w14:paraId="5DF51A9B" w14:textId="77777777" w:rsidR="009A14BF" w:rsidRDefault="00000000">
      <w:pPr>
        <w:spacing w:after="0" w:line="240" w:lineRule="auto"/>
        <w:ind w:firstLine="283"/>
        <w:jc w:val="both"/>
      </w:pPr>
      <w:r>
        <w:rPr>
          <w:rFonts w:ascii="Times New Roman" w:eastAsia="Times New Roman" w:hAnsi="Times New Roman"/>
          <w:sz w:val="24"/>
        </w:rPr>
        <w:t>Snack availability was significantly related to behaviour in the urban area. This finding is consistent with the food environment concept: children are more likely to consume foods that are visible, cheap, and accessible. When healthy snacks are available and attractive, children have a better chance of making healthier choices. Conversely, if foods high in sugar, salt, and fat dominate the school surroundings, unhealthy behaviour becomes easier. Reviews and field studies on school food environments support the importance of regulating food availability, improving canteen practices, and increasing access to healthier foods within and around schools (de França et al., 2022; Gewa et al., 2021; Gonçalves et al., 2021; Makori et al., 2025; Nguyen et al., 2026).</w:t>
      </w:r>
    </w:p>
    <w:p w14:paraId="1F0A8AB8" w14:textId="77777777" w:rsidR="009A14BF" w:rsidRDefault="00000000">
      <w:pPr>
        <w:spacing w:after="0" w:line="240" w:lineRule="auto"/>
        <w:ind w:firstLine="283"/>
        <w:jc w:val="both"/>
      </w:pPr>
      <w:r>
        <w:rPr>
          <w:rFonts w:ascii="Times New Roman" w:eastAsia="Times New Roman" w:hAnsi="Times New Roman"/>
          <w:sz w:val="24"/>
        </w:rPr>
        <w:t>The findings have practical implications for school health promotion. Uniform nutrition promotion may not be sufficient because school food environments, vendor access, and family context can differ between settings. Rural schools may need strategies that improve the availability of safe and healthy snacks while strengthening family involvement and routine monitoring. Urban schools may require stronger vendor regulation, canteen improvement, peer-based education, and behavioural strategies to reduce the appeal of unhealthy foods. School-based nutrition interventions are more likely to be useful when nutrition education is combined with supportive school canteen environments, school meal strategies, and policy-based improvements in food availability (Cohen, Hecht, Hager, et al., 2021; Cohen, Hecht, McLoughlin, et al., 2021; Grigsby-Duffy et al., 2022; Teo et al., 2021).</w:t>
      </w:r>
    </w:p>
    <w:p w14:paraId="72788996" w14:textId="77777777" w:rsidR="009A14BF" w:rsidRDefault="00000000">
      <w:pPr>
        <w:spacing w:after="0" w:line="240" w:lineRule="auto"/>
        <w:ind w:firstLine="283"/>
        <w:jc w:val="both"/>
      </w:pPr>
      <w:r>
        <w:rPr>
          <w:rFonts w:ascii="Times New Roman" w:eastAsia="Times New Roman" w:hAnsi="Times New Roman"/>
          <w:sz w:val="24"/>
        </w:rPr>
        <w:t xml:space="preserve">This study has limitations. The cross-sectional design cannot establish causal relationships. Data were collected using questionnaires, so responses may be affected by recall and reporting bias. The study involved only two schools, one representing a rural area and one representing an urban area, so school-level characteristics may be inseparable from area classification and the findings may not be generalisable to all schools in Lhokseumawe. The analysis used separate within-area tests </w:t>
      </w:r>
      <w:r>
        <w:rPr>
          <w:rFonts w:ascii="Times New Roman" w:eastAsia="Times New Roman" w:hAnsi="Times New Roman"/>
          <w:sz w:val="24"/>
        </w:rPr>
        <w:lastRenderedPageBreak/>
        <w:t>and did not include a pooled interaction model; therefore, the results should not be interpreted as formal evidence that associations statistically differ between rural and urban areas. Several potentially relevant factors, such as pocket money, parental feeding practices, school canteen policy, actual nutrient intake, and direct observation of food vendors, were not measured. Future studies should include more schools, measure the school food environment directly, and use multivariable models to control for socioeconomic and school-level confounding.</w:t>
      </w:r>
    </w:p>
    <w:p w14:paraId="15432A0B" w14:textId="77777777" w:rsidR="009A14BF" w:rsidRDefault="00000000">
      <w:pPr>
        <w:spacing w:before="120" w:after="0" w:line="240" w:lineRule="auto"/>
      </w:pPr>
      <w:r>
        <w:rPr>
          <w:rFonts w:ascii="Times New Roman" w:eastAsia="Times New Roman" w:hAnsi="Times New Roman"/>
          <w:b/>
          <w:sz w:val="24"/>
        </w:rPr>
        <w:t>Conclusion</w:t>
      </w:r>
    </w:p>
    <w:p w14:paraId="4CB0A6DC" w14:textId="77777777" w:rsidR="009A14BF" w:rsidRDefault="00000000">
      <w:pPr>
        <w:spacing w:after="0" w:line="240" w:lineRule="auto"/>
        <w:ind w:firstLine="283"/>
        <w:jc w:val="both"/>
      </w:pPr>
      <w:r>
        <w:rPr>
          <w:rFonts w:ascii="Times New Roman" w:eastAsia="Times New Roman" w:hAnsi="Times New Roman"/>
          <w:sz w:val="24"/>
        </w:rPr>
        <w:t>Snack consumption behaviour among elementary school children differed between the rural and urban schools included in this study. Poor behaviour was more common among rural students, whereas good behaviour was more common among urban students. In the rural school, motivation, snack characteristics, social environment, and snack availability were not significantly associated with snack consumption behaviour, although the estimates were imprecise. In the urban school, all four variables were significantly associated with behaviour, with snacking motivation showing the strongest relationship. These findings contribute to school health promotion by suggesting that healthy snack interventions should consider the local food environment, school context, and social influences rather than being applied uniformly across all schools.</w:t>
      </w:r>
    </w:p>
    <w:p w14:paraId="2FFE2EF9" w14:textId="77777777" w:rsidR="009A14BF" w:rsidRDefault="00000000">
      <w:pPr>
        <w:spacing w:before="120" w:after="0" w:line="240" w:lineRule="auto"/>
      </w:pPr>
      <w:r>
        <w:rPr>
          <w:rFonts w:ascii="Times New Roman" w:eastAsia="Times New Roman" w:hAnsi="Times New Roman"/>
          <w:b/>
          <w:sz w:val="24"/>
        </w:rPr>
        <w:t>Acknowledgements</w:t>
      </w:r>
    </w:p>
    <w:p w14:paraId="455CD342" w14:textId="77777777" w:rsidR="009A14BF" w:rsidRDefault="00000000">
      <w:pPr>
        <w:spacing w:after="0" w:line="240" w:lineRule="auto"/>
        <w:ind w:firstLine="283"/>
        <w:jc w:val="both"/>
      </w:pPr>
      <w:r>
        <w:rPr>
          <w:rFonts w:ascii="Times New Roman" w:eastAsia="Times New Roman" w:hAnsi="Times New Roman"/>
          <w:sz w:val="24"/>
        </w:rPr>
        <w:t>This study received no specific grant from any funding agency in the public, commercial, or not-for-profit sectors.</w:t>
      </w:r>
    </w:p>
    <w:p w14:paraId="15216BC9" w14:textId="77777777" w:rsidR="009A14BF" w:rsidRDefault="00000000">
      <w:pPr>
        <w:spacing w:before="120" w:after="0" w:line="240" w:lineRule="auto"/>
      </w:pPr>
      <w:r>
        <w:rPr>
          <w:rFonts w:ascii="Times New Roman" w:eastAsia="Times New Roman" w:hAnsi="Times New Roman"/>
          <w:b/>
          <w:sz w:val="24"/>
        </w:rPr>
        <w:t>References</w:t>
      </w:r>
    </w:p>
    <w:p w14:paraId="3E30CB92" w14:textId="77777777" w:rsidR="009A14BF" w:rsidRDefault="00000000" w:rsidP="00093DB4">
      <w:pPr>
        <w:spacing w:after="0" w:line="240" w:lineRule="auto"/>
        <w:ind w:left="283" w:hanging="283"/>
        <w:jc w:val="both"/>
      </w:pPr>
      <w:r>
        <w:rPr>
          <w:rFonts w:ascii="Times New Roman" w:eastAsia="Times New Roman" w:hAnsi="Times New Roman"/>
          <w:sz w:val="24"/>
        </w:rPr>
        <w:t>Alcaire, F., Antúnez, L., Vidal, L., Velázquez, A. L., Giménez, A., Curutchet, M. R., Girona, A., &amp; Ares, G. (2021). Healthy snacking in the school environment: Exploring children and mothers' perspectives using projective techniques. Food Quality and Preference, 90, 104173. https://doi.org/10.1016/j.foodqual.2020.104173</w:t>
      </w:r>
    </w:p>
    <w:p w14:paraId="70FE79CD" w14:textId="77777777" w:rsidR="009A14BF" w:rsidRDefault="00000000" w:rsidP="00093DB4">
      <w:pPr>
        <w:spacing w:after="0" w:line="240" w:lineRule="auto"/>
        <w:ind w:left="283" w:hanging="283"/>
        <w:jc w:val="both"/>
      </w:pPr>
      <w:r>
        <w:rPr>
          <w:rFonts w:ascii="Times New Roman" w:eastAsia="Times New Roman" w:hAnsi="Times New Roman"/>
          <w:sz w:val="24"/>
        </w:rPr>
        <w:t>Arraztio-Cordoba, A., Araque-Padilla, R. A., Montero-Simo, M. J., &amp; Olarte-Sanchez, C. M. (2022). The effect of food packaging elements on children's food choices and intake: A systematic review. Frontiers in Nutrition, 9, 998285. https://doi.org/10.3389/fnut.2022.998285</w:t>
      </w:r>
    </w:p>
    <w:p w14:paraId="6D939E89" w14:textId="77777777" w:rsidR="009A14BF" w:rsidRDefault="00000000" w:rsidP="00093DB4">
      <w:pPr>
        <w:spacing w:after="0" w:line="240" w:lineRule="auto"/>
        <w:ind w:left="283" w:hanging="283"/>
        <w:jc w:val="both"/>
      </w:pPr>
      <w:r>
        <w:rPr>
          <w:rFonts w:ascii="Times New Roman" w:eastAsia="Times New Roman" w:hAnsi="Times New Roman"/>
          <w:sz w:val="24"/>
        </w:rPr>
        <w:t>Ausenhus, C., Gold, J. M., Perry, C. K., Kozak, A. T., Wang, M. L., &amp; Jang, S. H. (2023). Factors impacting implementation of nutrition and physical activity policies in rural schools. BMC Public Health, 23, 278. https://doi.org/10.1186/s12889-023-15176-y</w:t>
      </w:r>
    </w:p>
    <w:p w14:paraId="5335F1B8" w14:textId="77777777" w:rsidR="009A14BF" w:rsidRDefault="00000000" w:rsidP="00093DB4">
      <w:pPr>
        <w:spacing w:after="0" w:line="240" w:lineRule="auto"/>
        <w:ind w:left="283" w:hanging="283"/>
        <w:jc w:val="both"/>
      </w:pPr>
      <w:r>
        <w:rPr>
          <w:rFonts w:ascii="Times New Roman" w:eastAsia="Times New Roman" w:hAnsi="Times New Roman"/>
          <w:sz w:val="24"/>
        </w:rPr>
        <w:t>Cohen, J. F. W., Hecht, A. A., Hager, E. R., Turner, L., Burkholder, K., &amp; Schwartz, M. B. (2021). Strategies to improve school meal consumption: A systematic review. Nutrients, 13(10), 3520. https://doi.org/10.3390/nu13103520</w:t>
      </w:r>
    </w:p>
    <w:p w14:paraId="5786F4BD" w14:textId="77777777" w:rsidR="009A14BF" w:rsidRDefault="00000000" w:rsidP="00093DB4">
      <w:pPr>
        <w:spacing w:after="0" w:line="240" w:lineRule="auto"/>
        <w:ind w:left="283" w:hanging="283"/>
        <w:jc w:val="both"/>
      </w:pPr>
      <w:r>
        <w:rPr>
          <w:rFonts w:ascii="Times New Roman" w:eastAsia="Times New Roman" w:hAnsi="Times New Roman"/>
          <w:sz w:val="24"/>
        </w:rPr>
        <w:t>Cohen, J. F. W., Hecht, A. A., McLoughlin, G. M., Turner, L., &amp; Schwartz, M. B. (2021). Universal school meals and associations with student participation, attendance, academic performance, diet quality, food security, and body mass index: A systematic review. Nutrients, 13(3), 911. https://doi.org/10.3390/nu13030911</w:t>
      </w:r>
    </w:p>
    <w:p w14:paraId="6F67C8C7" w14:textId="77777777" w:rsidR="009A14BF" w:rsidRDefault="00000000" w:rsidP="00093DB4">
      <w:pPr>
        <w:spacing w:after="0" w:line="240" w:lineRule="auto"/>
        <w:ind w:left="283" w:hanging="283"/>
        <w:jc w:val="both"/>
      </w:pPr>
      <w:r>
        <w:rPr>
          <w:rFonts w:ascii="Times New Roman" w:eastAsia="Times New Roman" w:hAnsi="Times New Roman"/>
          <w:sz w:val="24"/>
        </w:rPr>
        <w:t>de França, F. C. O., Andrade, I. S., Zandonadi, R. P., Sávio, K. L. O., &amp; Akutsu, R. C. C. A. (2022). Food environment around schools: A systematic scope review. Nutrients, 14(23), 5090. https://doi.org/10.3390/nu14235090</w:t>
      </w:r>
    </w:p>
    <w:p w14:paraId="7B8E7D7D" w14:textId="77777777" w:rsidR="009A14BF" w:rsidRDefault="00000000" w:rsidP="00093DB4">
      <w:pPr>
        <w:spacing w:after="0" w:line="240" w:lineRule="auto"/>
        <w:ind w:left="283" w:hanging="283"/>
        <w:jc w:val="both"/>
      </w:pPr>
      <w:r>
        <w:rPr>
          <w:rFonts w:ascii="Times New Roman" w:eastAsia="Times New Roman" w:hAnsi="Times New Roman"/>
          <w:sz w:val="24"/>
        </w:rPr>
        <w:t>Gewa, C. A., Onyango, A. C., Opiyo, R. O., Cheskin, L., &amp; Gittelsohn, J. (2021). Food environment in and around primary school children's schools and neighborhoods in two urban settings in Kenya. International Journal of Environmental Research and Public Health, 18(10), 5136. https://doi.org/10.3390/ijerph18105136</w:t>
      </w:r>
    </w:p>
    <w:p w14:paraId="247126B6" w14:textId="77777777" w:rsidR="009A14BF" w:rsidRDefault="00000000" w:rsidP="00093DB4">
      <w:pPr>
        <w:spacing w:after="0" w:line="240" w:lineRule="auto"/>
        <w:ind w:left="283" w:hanging="283"/>
        <w:jc w:val="both"/>
      </w:pPr>
      <w:r>
        <w:rPr>
          <w:rFonts w:ascii="Times New Roman" w:eastAsia="Times New Roman" w:hAnsi="Times New Roman"/>
          <w:sz w:val="24"/>
        </w:rPr>
        <w:lastRenderedPageBreak/>
        <w:t>Gonçalves, V. S. S., Figueiredo, A. C. M. G., Silva, S. A., Silva, S. U., Ronca, D. B., Dutra, E. S., &amp; Carvalho, K. M. B. (2021). The food environment in schools and their immediate vicinities associated with excess weight in adolescence: A systematic review and meta-analysis. Health &amp; Place, 71, 102664. https://doi.org/10.1016/j.healthplace.2021.102664</w:t>
      </w:r>
    </w:p>
    <w:p w14:paraId="23E6E92A" w14:textId="77777777" w:rsidR="009A14BF" w:rsidRDefault="00000000" w:rsidP="00093DB4">
      <w:pPr>
        <w:spacing w:after="0" w:line="240" w:lineRule="auto"/>
        <w:ind w:left="283" w:hanging="283"/>
        <w:jc w:val="both"/>
      </w:pPr>
      <w:r>
        <w:rPr>
          <w:rFonts w:ascii="Times New Roman" w:eastAsia="Times New Roman" w:hAnsi="Times New Roman"/>
          <w:sz w:val="24"/>
        </w:rPr>
        <w:t>Grigsby-Duffy, L., Brooks, R., Boelsen-Robinson, T., Blake, M. R., Backholer, K., Palermo, C., &amp; Peeters, A. (2022). The impact of primary school nutrition policy on the school food environment: A systematic review. Health Promotion International, 37(5), daac084. https://doi.org/10.1093/heapro/daac084</w:t>
      </w:r>
    </w:p>
    <w:p w14:paraId="6C8BA9F3" w14:textId="77777777" w:rsidR="009A14BF" w:rsidRDefault="00000000" w:rsidP="00093DB4">
      <w:pPr>
        <w:spacing w:after="0" w:line="240" w:lineRule="auto"/>
        <w:ind w:left="283" w:hanging="283"/>
        <w:jc w:val="both"/>
      </w:pPr>
      <w:r>
        <w:rPr>
          <w:rFonts w:ascii="Times New Roman" w:eastAsia="Times New Roman" w:hAnsi="Times New Roman"/>
          <w:sz w:val="24"/>
        </w:rPr>
        <w:t>Hadi, H., Triastanti, R. K., Anggraeni, D., Nurwanti, E., Lewis, E. C., Colon-Ramos, U., Kang, Y., Yamaguchi, M., &amp; Gittelsohn, J. (2022). The role of the school food environment in improving the healthiness of school canteens and readiness to reopen post COVID-19 pandemic: A study conducted in Indonesia. Journal of Public Health Research, 11(1), 2287. https://doi.org/10.4081/jphr.2021.2287</w:t>
      </w:r>
    </w:p>
    <w:p w14:paraId="4503CA3C" w14:textId="77777777" w:rsidR="009A14BF" w:rsidRDefault="00000000" w:rsidP="00093DB4">
      <w:pPr>
        <w:spacing w:after="0" w:line="240" w:lineRule="auto"/>
        <w:ind w:left="283" w:hanging="283"/>
        <w:jc w:val="both"/>
      </w:pPr>
      <w:r>
        <w:rPr>
          <w:rFonts w:ascii="Times New Roman" w:eastAsia="Times New Roman" w:hAnsi="Times New Roman"/>
          <w:sz w:val="24"/>
        </w:rPr>
        <w:t>Hosseinzadegan, F., Hemmati Maslak Pak, M., Namadi, F., &amp; Vahabzadeh, D. (2023). Regularity in breakfast and snacks intake and its relationship with weight status in elementary school students: A cross-sectional study. International Journal of Pediatrics, 11(3), 17477-17486. https://doi.org/10.22038/ijp.2023.69856.5152</w:t>
      </w:r>
    </w:p>
    <w:p w14:paraId="3D723C7C" w14:textId="77777777" w:rsidR="009A14BF" w:rsidRDefault="00000000" w:rsidP="00093DB4">
      <w:pPr>
        <w:spacing w:after="0" w:line="240" w:lineRule="auto"/>
        <w:ind w:left="283" w:hanging="283"/>
        <w:jc w:val="both"/>
      </w:pPr>
      <w:r>
        <w:rPr>
          <w:rFonts w:ascii="Times New Roman" w:eastAsia="Times New Roman" w:hAnsi="Times New Roman"/>
          <w:sz w:val="24"/>
        </w:rPr>
        <w:t>Khomsan, A., Anwar, F., Riyadi, H., &amp; Navratilova, H. F. (2023). Children's food habits, consumption, and food safety of popular snacks in school environment in Indonesia. International Journal of Community Medicine and Public Health, 10(1), 119-125. https://doi.org/10.18203/2394-6040.ijcmph20223535</w:t>
      </w:r>
    </w:p>
    <w:p w14:paraId="62872EF8" w14:textId="77777777" w:rsidR="009A14BF" w:rsidRDefault="00000000" w:rsidP="00093DB4">
      <w:pPr>
        <w:spacing w:after="0" w:line="240" w:lineRule="auto"/>
        <w:ind w:left="283" w:hanging="283"/>
        <w:jc w:val="both"/>
      </w:pPr>
      <w:r>
        <w:rPr>
          <w:rFonts w:ascii="Times New Roman" w:eastAsia="Times New Roman" w:hAnsi="Times New Roman"/>
          <w:sz w:val="24"/>
        </w:rPr>
        <w:t>Li, H., Zhou, W., Wu, X., Guan, F., Jia, X., Guo, Q., Zhang, J., Liu, S., Zhong, X., Du, W., Wang, H., &amp; Liu, A. (2026). Snack preferences among school-aged children: Evidence from discrete choice experiments. BMC Public Health, 26, 1231. https://doi.org/10.1186/s12889-026-26883-7</w:t>
      </w:r>
    </w:p>
    <w:p w14:paraId="7721DCB2" w14:textId="77777777" w:rsidR="009A14BF" w:rsidRDefault="00000000" w:rsidP="00093DB4">
      <w:pPr>
        <w:spacing w:after="0" w:line="240" w:lineRule="auto"/>
        <w:ind w:left="283" w:hanging="283"/>
        <w:jc w:val="both"/>
      </w:pPr>
      <w:r>
        <w:rPr>
          <w:rFonts w:ascii="Times New Roman" w:eastAsia="Times New Roman" w:hAnsi="Times New Roman"/>
          <w:sz w:val="24"/>
        </w:rPr>
        <w:t>Makori, N., Kejo, D., Mshida, H., Bachwenkizi, B., Mushumbusi, D., Daudi, Z., Chipungahelo, M., Zhao, A., &amp; Moshi, A. P. (2025). Assessing the school food environment and its role on healthy eating behaviours among school age children in Dar es Salaam, Tanzania. PLOS ONE, 20(7), e0321702. https://doi.org/10.1371/journal.pone.0321702</w:t>
      </w:r>
    </w:p>
    <w:p w14:paraId="691C9B7D" w14:textId="77777777" w:rsidR="009A14BF" w:rsidRDefault="00000000" w:rsidP="00093DB4">
      <w:pPr>
        <w:spacing w:after="0" w:line="240" w:lineRule="auto"/>
        <w:ind w:left="283" w:hanging="283"/>
        <w:jc w:val="both"/>
      </w:pPr>
      <w:r>
        <w:rPr>
          <w:rFonts w:ascii="Times New Roman" w:eastAsia="Times New Roman" w:hAnsi="Times New Roman"/>
          <w:sz w:val="24"/>
        </w:rPr>
        <w:t>Mecheva, M. D. V., Rieger, M., Sparrow, R., Prafiantini, E., &amp; Agustina, R. (2021). Snacks, nudges and asymmetric peer influence: Evidence from food choice experiments with children in Indonesia. Journal of Health Economics, 79, 102508. https://doi.org/10.1016/j.jhealeco.2021.102508</w:t>
      </w:r>
    </w:p>
    <w:p w14:paraId="0985E9F3" w14:textId="77777777" w:rsidR="009A14BF" w:rsidRDefault="00000000" w:rsidP="00093DB4">
      <w:pPr>
        <w:spacing w:after="0" w:line="240" w:lineRule="auto"/>
        <w:ind w:left="283" w:hanging="283"/>
        <w:jc w:val="both"/>
      </w:pPr>
      <w:r>
        <w:rPr>
          <w:rFonts w:ascii="Times New Roman" w:eastAsia="Times New Roman" w:hAnsi="Times New Roman"/>
          <w:sz w:val="24"/>
        </w:rPr>
        <w:t>Nguyen, E. M., Hadi, H., Lewis, E. C., Sijangga, M., Rahayu, H. K., Kurniawan, M. E. T., &amp; Gittelsohn, J. (2026). School administrator and food vendor perspectives on stocking and promoting healthier offerings in Indonesian primary schools: Findings from a pilot study. International Journal of Environmental Research and Public Health, 23(1), 101. https://doi.org/10.3390/ijerph23010101</w:t>
      </w:r>
    </w:p>
    <w:p w14:paraId="716CB317" w14:textId="77777777" w:rsidR="009A14BF" w:rsidRDefault="00000000" w:rsidP="00093DB4">
      <w:pPr>
        <w:spacing w:after="0" w:line="240" w:lineRule="auto"/>
        <w:ind w:left="283" w:hanging="283"/>
        <w:jc w:val="both"/>
      </w:pPr>
      <w:r>
        <w:rPr>
          <w:rFonts w:ascii="Times New Roman" w:eastAsia="Times New Roman" w:hAnsi="Times New Roman"/>
          <w:sz w:val="24"/>
        </w:rPr>
        <w:t>Otinwa, G., Jaiyesimi, B., Bamitale, T., Owolabi, H., &amp; Owolewa, M. (2023). Eating habits and nutrition status of Nigerian school children in rural and urban areas (NigeriaLINX pilot project). Heliyon, 9(6), e17564. https://doi.org/10.1016/j.heliyon.2023.e17564</w:t>
      </w:r>
    </w:p>
    <w:p w14:paraId="721F72D0" w14:textId="77777777" w:rsidR="009A14BF" w:rsidRDefault="00000000" w:rsidP="00093DB4">
      <w:pPr>
        <w:spacing w:after="0" w:line="240" w:lineRule="auto"/>
        <w:ind w:left="283" w:hanging="283"/>
        <w:jc w:val="both"/>
      </w:pPr>
      <w:r>
        <w:rPr>
          <w:rFonts w:ascii="Times New Roman" w:eastAsia="Times New Roman" w:hAnsi="Times New Roman"/>
          <w:sz w:val="24"/>
        </w:rPr>
        <w:t>Pudsa, B., Denduang, S., Sherer, P. P., &amp; Marohabutr, T. (2026). School as marketplace for promoting unhealthy snack consumption among children in Northern Thailand. INQUIRY: The Journal of Health Care Organization, Provision, and Financing, 63, 00469580261441443. https://doi.org/10.1177/00469580261441443</w:t>
      </w:r>
    </w:p>
    <w:p w14:paraId="3B848056" w14:textId="77777777" w:rsidR="009A14BF" w:rsidRDefault="00000000" w:rsidP="00093DB4">
      <w:pPr>
        <w:spacing w:after="0" w:line="240" w:lineRule="auto"/>
        <w:ind w:left="283" w:hanging="283"/>
        <w:jc w:val="both"/>
      </w:pPr>
      <w:r>
        <w:rPr>
          <w:rFonts w:ascii="Times New Roman" w:eastAsia="Times New Roman" w:hAnsi="Times New Roman"/>
          <w:sz w:val="24"/>
        </w:rPr>
        <w:lastRenderedPageBreak/>
        <w:t>Sartika, A. N., Ekasari, A., &amp; Prasetya, G. (2025). Snacking behavior among school-aged children in urban area. Jurnal Gizi dan Dietetik Indonesia, 13(2), 179-187. https://doi.org/10.21927/ijnd.2025.13(2).179-187</w:t>
      </w:r>
    </w:p>
    <w:p w14:paraId="653C36EF" w14:textId="77777777" w:rsidR="009A14BF" w:rsidRDefault="00000000" w:rsidP="00093DB4">
      <w:pPr>
        <w:spacing w:after="0" w:line="240" w:lineRule="auto"/>
        <w:ind w:left="283" w:hanging="283"/>
        <w:jc w:val="both"/>
      </w:pPr>
      <w:r>
        <w:rPr>
          <w:rFonts w:ascii="Times New Roman" w:eastAsia="Times New Roman" w:hAnsi="Times New Roman"/>
          <w:sz w:val="24"/>
        </w:rPr>
        <w:t>Sato, P. M., Leite, F. H. M., Khandpur, N., Martins, A. P. B., &amp; Mais, L. A. (2022). “I Like the One With Minions”: The influence of marketing on packages of ultra-processed snacks on children's food choices. Frontiers in Nutrition, 9, 920225. https://doi.org/10.3389/fnut.2022.920225</w:t>
      </w:r>
    </w:p>
    <w:p w14:paraId="52146AE8" w14:textId="77777777" w:rsidR="009A14BF" w:rsidRDefault="00000000" w:rsidP="00093DB4">
      <w:pPr>
        <w:spacing w:after="0" w:line="240" w:lineRule="auto"/>
        <w:ind w:left="283" w:hanging="283"/>
        <w:jc w:val="both"/>
      </w:pPr>
      <w:r>
        <w:rPr>
          <w:rFonts w:ascii="Times New Roman" w:eastAsia="Times New Roman" w:hAnsi="Times New Roman"/>
          <w:sz w:val="24"/>
        </w:rPr>
        <w:t>Tandoh, A., Laar, A., Aryeetey, R., &amp; Holdsworth, M. (2025). How children's experiences and perceptions of their school food environment influence their food-related decisions in-school in urban Ghana. Maternal &amp; Child Nutrition, 21(1), e70011. https://doi.org/10.1111/mcn.70011</w:t>
      </w:r>
    </w:p>
    <w:p w14:paraId="74561853" w14:textId="77777777" w:rsidR="009A14BF" w:rsidRDefault="00000000" w:rsidP="00093DB4">
      <w:pPr>
        <w:spacing w:after="0" w:line="240" w:lineRule="auto"/>
        <w:ind w:left="283" w:hanging="283"/>
        <w:jc w:val="both"/>
      </w:pPr>
      <w:r>
        <w:rPr>
          <w:rFonts w:ascii="Times New Roman" w:eastAsia="Times New Roman" w:hAnsi="Times New Roman"/>
          <w:sz w:val="24"/>
        </w:rPr>
        <w:t>Teo, C. H., Chin, Y. S., Lim, P. Y., Masrom, S. A. H., &amp; Shariff, Z. M. (2021). Impacts of a school-based intervention that incorporates nutrition education and a supportive healthy school canteen environment among primary school children in Malaysia. Nutrients, 13(5), 1712. https://doi.org/10.3390/nu13051712</w:t>
      </w:r>
    </w:p>
    <w:sectPr w:rsidR="009A14BF" w:rsidSect="00777E42">
      <w:footerReference w:type="default" r:id="rId9"/>
      <w:type w:val="continuous"/>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91489" w14:textId="77777777" w:rsidR="00C3179D" w:rsidRDefault="00C3179D">
      <w:pPr>
        <w:spacing w:after="0" w:line="240" w:lineRule="auto"/>
      </w:pPr>
      <w:r>
        <w:separator/>
      </w:r>
    </w:p>
  </w:endnote>
  <w:endnote w:type="continuationSeparator" w:id="0">
    <w:p w14:paraId="7FAFB486" w14:textId="77777777" w:rsidR="00C3179D" w:rsidRDefault="00C3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4500" w14:textId="77777777" w:rsidR="009A14BF" w:rsidRDefault="00000000">
    <w:pPr>
      <w:jc w:val="center"/>
    </w:pPr>
    <w:r>
      <w:rPr>
        <w:rFonts w:ascii="Times New Roman" w:eastAsia="Times New Roman" w:hAnsi="Times New Roman"/>
        <w:sz w:val="24"/>
      </w:rPr>
      <w:fldChar w:fldCharType="begin"/>
    </w:r>
    <w:r>
      <w:rPr>
        <w:rFonts w:ascii="Times New Roman" w:eastAsia="Times New Roman" w:hAnsi="Times New Roman"/>
        <w:sz w:val="24"/>
      </w:rPr>
      <w:instrText>PAGE</w:instrText>
    </w:r>
    <w:r w:rsidR="00093DB4">
      <w:rPr>
        <w:rFonts w:ascii="Times New Roman" w:eastAsia="Times New Roman" w:hAnsi="Times New Roman"/>
        <w:sz w:val="24"/>
      </w:rPr>
      <w:fldChar w:fldCharType="separate"/>
    </w:r>
    <w:r w:rsidR="00093DB4">
      <w:rPr>
        <w:rFonts w:ascii="Times New Roman" w:eastAsia="Times New Roman" w:hAnsi="Times New Roman"/>
        <w:noProof/>
        <w:sz w:val="24"/>
      </w:rPr>
      <w:t>1</w:t>
    </w:r>
    <w:r>
      <w:rPr>
        <w:rFonts w:ascii="Times New Roman" w:eastAsia="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28448" w14:textId="77777777" w:rsidR="00C3179D" w:rsidRDefault="00C3179D">
      <w:pPr>
        <w:spacing w:after="0" w:line="240" w:lineRule="auto"/>
      </w:pPr>
      <w:r>
        <w:separator/>
      </w:r>
    </w:p>
  </w:footnote>
  <w:footnote w:type="continuationSeparator" w:id="0">
    <w:p w14:paraId="242A9AA9" w14:textId="77777777" w:rsidR="00C3179D" w:rsidRDefault="00C317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56F"/>
    <w:rsid w:val="00030DF2"/>
    <w:rsid w:val="00093DB4"/>
    <w:rsid w:val="00297982"/>
    <w:rsid w:val="004B6326"/>
    <w:rsid w:val="006D33B3"/>
    <w:rsid w:val="007323CD"/>
    <w:rsid w:val="00777E42"/>
    <w:rsid w:val="00846544"/>
    <w:rsid w:val="00905FF4"/>
    <w:rsid w:val="009A14BF"/>
    <w:rsid w:val="009A263C"/>
    <w:rsid w:val="00B0356F"/>
    <w:rsid w:val="00B34B59"/>
    <w:rsid w:val="00C3179D"/>
    <w:rsid w:val="00C96A57"/>
    <w:rsid w:val="00CB1988"/>
    <w:rsid w:val="00F5260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46C9E"/>
  <w15:docId w15:val="{7224A202-5F09-4B7D-9F0E-461ECFB6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4B59"/>
    <w:pPr>
      <w:widowControl w:val="0"/>
      <w:autoSpaceDE w:val="0"/>
      <w:autoSpaceDN w:val="0"/>
      <w:spacing w:before="193" w:after="0" w:line="240" w:lineRule="auto"/>
      <w:ind w:left="100"/>
      <w:outlineLvl w:val="0"/>
    </w:pPr>
    <w:rPr>
      <w:rFonts w:ascii="Times New Roman" w:eastAsia="Times New Roman" w:hAnsi="Times New Roman" w:cs="Times New Roman"/>
      <w:b/>
      <w:bCs/>
      <w:sz w:val="24"/>
      <w:szCs w:val="24"/>
      <w:lang w:val="en-US" w:bidi="en-US"/>
    </w:rPr>
  </w:style>
  <w:style w:type="paragraph" w:styleId="Heading2">
    <w:name w:val="heading 2"/>
    <w:basedOn w:val="Normal"/>
    <w:link w:val="Heading2Char"/>
    <w:uiPriority w:val="9"/>
    <w:unhideWhenUsed/>
    <w:qFormat/>
    <w:rsid w:val="00B34B59"/>
    <w:pPr>
      <w:widowControl w:val="0"/>
      <w:autoSpaceDE w:val="0"/>
      <w:autoSpaceDN w:val="0"/>
      <w:spacing w:after="0" w:line="240" w:lineRule="auto"/>
      <w:ind w:left="100"/>
      <w:outlineLvl w:val="1"/>
    </w:pPr>
    <w:rPr>
      <w:rFonts w:ascii="Times New Roman" w:eastAsia="Times New Roman" w:hAnsi="Times New Roman" w:cs="Times New Roman"/>
      <w:sz w:val="24"/>
      <w:szCs w:val="24"/>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0356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035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56F"/>
    <w:rPr>
      <w:rFonts w:ascii="Tahoma" w:hAnsi="Tahoma" w:cs="Tahoma"/>
      <w:sz w:val="16"/>
      <w:szCs w:val="16"/>
    </w:rPr>
  </w:style>
  <w:style w:type="character" w:styleId="Hyperlink">
    <w:name w:val="Hyperlink"/>
    <w:basedOn w:val="DefaultParagraphFont"/>
    <w:uiPriority w:val="99"/>
    <w:unhideWhenUsed/>
    <w:rsid w:val="00B0356F"/>
    <w:rPr>
      <w:color w:val="0000FF" w:themeColor="hyperlink"/>
      <w:u w:val="single"/>
    </w:rPr>
  </w:style>
  <w:style w:type="character" w:customStyle="1" w:styleId="Heading1Char">
    <w:name w:val="Heading 1 Char"/>
    <w:basedOn w:val="DefaultParagraphFont"/>
    <w:link w:val="Heading1"/>
    <w:uiPriority w:val="9"/>
    <w:rsid w:val="00B34B59"/>
    <w:rPr>
      <w:rFonts w:ascii="Times New Roman" w:eastAsia="Times New Roman" w:hAnsi="Times New Roman" w:cs="Times New Roman"/>
      <w:b/>
      <w:bCs/>
      <w:sz w:val="24"/>
      <w:szCs w:val="24"/>
      <w:lang w:val="en-US" w:bidi="en-US"/>
    </w:rPr>
  </w:style>
  <w:style w:type="character" w:customStyle="1" w:styleId="Heading2Char">
    <w:name w:val="Heading 2 Char"/>
    <w:basedOn w:val="DefaultParagraphFont"/>
    <w:link w:val="Heading2"/>
    <w:uiPriority w:val="9"/>
    <w:rsid w:val="00B34B59"/>
    <w:rPr>
      <w:rFonts w:ascii="Times New Roman" w:eastAsia="Times New Roman" w:hAnsi="Times New Roman" w:cs="Times New Roman"/>
      <w:sz w:val="24"/>
      <w:szCs w:val="24"/>
      <w:lang w:val="en-US" w:bidi="en-US"/>
    </w:rPr>
  </w:style>
  <w:style w:type="paragraph" w:styleId="BodyText">
    <w:name w:val="Body Text"/>
    <w:basedOn w:val="Normal"/>
    <w:link w:val="BodyTextChar"/>
    <w:uiPriority w:val="1"/>
    <w:unhideWhenUsed/>
    <w:qFormat/>
    <w:rsid w:val="00B34B59"/>
    <w:pPr>
      <w:widowControl w:val="0"/>
      <w:autoSpaceDE w:val="0"/>
      <w:autoSpaceDN w:val="0"/>
      <w:spacing w:before="35" w:after="0" w:line="240" w:lineRule="auto"/>
      <w:ind w:left="100"/>
    </w:pPr>
    <w:rPr>
      <w:rFonts w:ascii="Arial" w:eastAsia="Arial" w:hAnsi="Arial" w:cs="Arial"/>
      <w:lang w:val="en-US" w:bidi="en-US"/>
    </w:rPr>
  </w:style>
  <w:style w:type="character" w:customStyle="1" w:styleId="BodyTextChar">
    <w:name w:val="Body Text Char"/>
    <w:basedOn w:val="DefaultParagraphFont"/>
    <w:link w:val="BodyText"/>
    <w:uiPriority w:val="1"/>
    <w:rsid w:val="00B34B59"/>
    <w:rPr>
      <w:rFonts w:ascii="Arial" w:eastAsia="Arial" w:hAnsi="Arial" w:cs="Arial"/>
      <w:lang w:val="en-US" w:bidi="en-US"/>
    </w:rPr>
  </w:style>
  <w:style w:type="paragraph" w:styleId="NoSpacing">
    <w:name w:val="No Spacing"/>
    <w:uiPriority w:val="1"/>
    <w:qFormat/>
    <w:rsid w:val="007323CD"/>
    <w:pPr>
      <w:spacing w:after="0" w:line="240" w:lineRule="auto"/>
    </w:pPr>
  </w:style>
  <w:style w:type="character" w:styleId="UnresolvedMention">
    <w:name w:val="Unresolved Mention"/>
    <w:basedOn w:val="DefaultParagraphFont"/>
    <w:uiPriority w:val="99"/>
    <w:semiHidden/>
    <w:unhideWhenUsed/>
    <w:rsid w:val="00093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9299">
      <w:bodyDiv w:val="1"/>
      <w:marLeft w:val="0"/>
      <w:marRight w:val="0"/>
      <w:marTop w:val="0"/>
      <w:marBottom w:val="0"/>
      <w:divBdr>
        <w:top w:val="none" w:sz="0" w:space="0" w:color="auto"/>
        <w:left w:val="none" w:sz="0" w:space="0" w:color="auto"/>
        <w:bottom w:val="none" w:sz="0" w:space="0" w:color="auto"/>
        <w:right w:val="none" w:sz="0" w:space="0" w:color="auto"/>
      </w:divBdr>
    </w:div>
    <w:div w:id="46270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id.taufiq@poltekkesaceh.ac.id"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1CA66-0412-4385-96D6-93DED2965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4369</Words>
  <Characters>24906</Characters>
  <Application>Microsoft Office Word</Application>
  <DocSecurity>0</DocSecurity>
  <Lines>207</Lines>
  <Paragraphs>58</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THE EFFECT OF ………………………........................................ (12pt, Times New</vt:lpstr>
      <vt:lpstr>Results</vt:lpstr>
      <vt:lpstr>    </vt:lpstr>
      <vt:lpstr>    </vt:lpstr>
      <vt:lpstr>    </vt:lpstr>
      <vt:lpstr>    Discussion</vt:lpstr>
      <vt:lpstr>    Conclusions</vt:lpstr>
      <vt:lpstr>    Acknowledgements</vt:lpstr>
      <vt:lpstr>    </vt:lpstr>
      <vt:lpstr>    References</vt:lpstr>
    </vt:vector>
  </TitlesOfParts>
  <Company/>
  <LinksUpToDate>false</LinksUpToDate>
  <CharactersWithSpaces>29217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PT. ANOA SEJAHTERA MANDIRI 06</cp:lastModifiedBy>
  <cp:revision>3</cp:revision>
  <dcterms:created xsi:type="dcterms:W3CDTF">2025-09-27T01:05:00Z</dcterms:created>
  <dcterms:modified xsi:type="dcterms:W3CDTF">2026-10-01T00:10:00Z</dcterms:modified>
</cp:coreProperties>
</file>