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1E1A" w14:textId="77777777" w:rsidR="0079709A" w:rsidRDefault="00000000">
      <w:pPr>
        <w:spacing w:after="0" w:line="240" w:lineRule="auto"/>
        <w:jc w:val="center"/>
      </w:pPr>
      <w:r>
        <w:rPr>
          <w:rFonts w:ascii="Times New Roman" w:eastAsia="Times New Roman" w:hAnsi="Times New Roman"/>
          <w:b/>
          <w:sz w:val="24"/>
        </w:rPr>
        <w:t>Journal of Qualitative Research in Health Sciences</w:t>
      </w:r>
    </w:p>
    <w:p w14:paraId="03279302" w14:textId="77777777" w:rsidR="0079709A" w:rsidRDefault="00000000">
      <w:pPr>
        <w:spacing w:after="120" w:line="240" w:lineRule="auto"/>
        <w:jc w:val="center"/>
      </w:pPr>
      <w:r>
        <w:rPr>
          <w:rFonts w:ascii="Times New Roman" w:eastAsia="Times New Roman" w:hAnsi="Times New Roman"/>
          <w:b/>
          <w:sz w:val="24"/>
        </w:rPr>
        <w:t>Manuscript's Main File</w:t>
      </w:r>
    </w:p>
    <w:p w14:paraId="203F52C0" w14:textId="77777777" w:rsidR="0079709A" w:rsidRDefault="00000000">
      <w:pPr>
        <w:spacing w:after="0" w:line="480" w:lineRule="auto"/>
      </w:pPr>
      <w:r>
        <w:rPr>
          <w:rFonts w:ascii="Times New Roman" w:eastAsia="Times New Roman" w:hAnsi="Times New Roman"/>
          <w:b/>
          <w:sz w:val="24"/>
        </w:rPr>
        <w:t xml:space="preserve">Article type: </w:t>
      </w:r>
      <w:r>
        <w:rPr>
          <w:rFonts w:ascii="Times New Roman" w:eastAsia="Times New Roman" w:hAnsi="Times New Roman"/>
          <w:sz w:val="24"/>
        </w:rPr>
        <w:t>Original Research Article</w:t>
      </w:r>
    </w:p>
    <w:p w14:paraId="38564ADF" w14:textId="77777777" w:rsidR="0079709A" w:rsidRDefault="00000000">
      <w:pPr>
        <w:spacing w:after="0" w:line="480" w:lineRule="auto"/>
      </w:pPr>
      <w:r>
        <w:rPr>
          <w:rFonts w:ascii="Times New Roman" w:eastAsia="Times New Roman" w:hAnsi="Times New Roman"/>
          <w:b/>
          <w:sz w:val="24"/>
        </w:rPr>
        <w:t xml:space="preserve">Title: </w:t>
      </w:r>
      <w:r>
        <w:rPr>
          <w:rFonts w:ascii="Times New Roman" w:eastAsia="Times New Roman" w:hAnsi="Times New Roman"/>
          <w:sz w:val="24"/>
        </w:rPr>
        <w:t>Barriers to Pregnancy Gingivitis Prevention and Digital Support Needs: An Interpretative Phenomenological Study</w:t>
      </w:r>
    </w:p>
    <w:p w14:paraId="6183238D" w14:textId="77777777" w:rsidR="0079709A" w:rsidRDefault="00000000">
      <w:pPr>
        <w:spacing w:after="0" w:line="480" w:lineRule="auto"/>
      </w:pPr>
      <w:r>
        <w:rPr>
          <w:rFonts w:ascii="Times New Roman" w:eastAsia="Times New Roman" w:hAnsi="Times New Roman"/>
          <w:b/>
          <w:sz w:val="24"/>
        </w:rPr>
        <w:t xml:space="preserve">Running Title: </w:t>
      </w:r>
      <w:r>
        <w:rPr>
          <w:rFonts w:ascii="Times New Roman" w:eastAsia="Times New Roman" w:hAnsi="Times New Roman"/>
          <w:sz w:val="24"/>
        </w:rPr>
        <w:t>Pregnancy Gingivitis Prevention Barriers</w:t>
      </w:r>
    </w:p>
    <w:p w14:paraId="7EF7D08E" w14:textId="77777777" w:rsidR="0079709A" w:rsidRDefault="00000000">
      <w:pPr>
        <w:keepNext/>
        <w:spacing w:before="120" w:after="0" w:line="480" w:lineRule="auto"/>
      </w:pPr>
      <w:r>
        <w:rPr>
          <w:rFonts w:ascii="Times New Roman" w:eastAsia="Times New Roman" w:hAnsi="Times New Roman"/>
          <w:b/>
          <w:sz w:val="24"/>
        </w:rPr>
        <w:t>Abstract</w:t>
      </w:r>
    </w:p>
    <w:p w14:paraId="0408CCDA" w14:textId="77777777" w:rsidR="0079709A" w:rsidRDefault="00000000" w:rsidP="00E36BFB">
      <w:pPr>
        <w:spacing w:after="0" w:line="480" w:lineRule="auto"/>
        <w:jc w:val="both"/>
      </w:pPr>
      <w:r>
        <w:rPr>
          <w:rFonts w:ascii="Times New Roman" w:eastAsia="Times New Roman" w:hAnsi="Times New Roman"/>
          <w:b/>
          <w:sz w:val="24"/>
        </w:rPr>
        <w:t xml:space="preserve">Background: </w:t>
      </w:r>
      <w:r>
        <w:rPr>
          <w:rFonts w:ascii="Times New Roman" w:eastAsia="Times New Roman" w:hAnsi="Times New Roman"/>
          <w:sz w:val="24"/>
        </w:rPr>
        <w:t xml:space="preserve">Pregnancy-associated gingival inflammation can be overlooked within routine antenatal services, particularly when oral health education and referral practices are inconsistent. This study explored experiences, perceptions, and barriers related to pregnancy gingivitis prevention and identified needs for digital support. </w:t>
      </w:r>
      <w:r>
        <w:rPr>
          <w:rFonts w:ascii="Times New Roman" w:eastAsia="Times New Roman" w:hAnsi="Times New Roman"/>
          <w:b/>
          <w:sz w:val="24"/>
        </w:rPr>
        <w:t xml:space="preserve">Methods: </w:t>
      </w:r>
      <w:r>
        <w:rPr>
          <w:rFonts w:ascii="Times New Roman" w:eastAsia="Times New Roman" w:hAnsi="Times New Roman"/>
          <w:sz w:val="24"/>
        </w:rPr>
        <w:t xml:space="preserve">An interpretative phenomenological qualitative study was conducted with 11 purposively selected informants: maternal and child health program managers at a health office and a community health center, two midwives, three dental nurses, and four pregnant women. Data were collected through semi-structured in-depth interviews and analyzed using Interpretative Phenomenological Analysis. Trustworthiness was supported through source triangulation, member checking, and peer debriefing. </w:t>
      </w:r>
      <w:r>
        <w:rPr>
          <w:rFonts w:ascii="Times New Roman" w:eastAsia="Times New Roman" w:hAnsi="Times New Roman"/>
          <w:b/>
          <w:sz w:val="24"/>
        </w:rPr>
        <w:t xml:space="preserve">Results: </w:t>
      </w:r>
      <w:r>
        <w:rPr>
          <w:rFonts w:ascii="Times New Roman" w:eastAsia="Times New Roman" w:hAnsi="Times New Roman"/>
          <w:sz w:val="24"/>
        </w:rPr>
        <w:t xml:space="preserve">Five themes were identified. Integrated antenatal care policy included oral health services, but implementation was inconsistent. Interprofessional collaboration relied mainly on an electronic referral system and monthly meetings, while day-to-day coordination remained vulnerable to staff rotation and workload. Oral health education was not structured, and midwives often perceived it as outside their role. Three of four pregnant women had not heard of gingivitis and some considered gingival bleeding during pregnancy normal. Informants supported simple digital support incorporating education, self-screening, reminders, consultation, and referral, while emphasizing limitations related to connectivity, digital literacy, device access, and staff workload. </w:t>
      </w:r>
      <w:r>
        <w:rPr>
          <w:rFonts w:ascii="Times New Roman" w:eastAsia="Times New Roman" w:hAnsi="Times New Roman"/>
          <w:b/>
          <w:sz w:val="24"/>
        </w:rPr>
        <w:t xml:space="preserve">Conclusion: </w:t>
      </w:r>
      <w:r>
        <w:rPr>
          <w:rFonts w:ascii="Times New Roman" w:eastAsia="Times New Roman" w:hAnsi="Times New Roman"/>
          <w:sz w:val="24"/>
        </w:rPr>
        <w:t xml:space="preserve">Pregnancy </w:t>
      </w:r>
      <w:r>
        <w:rPr>
          <w:rFonts w:ascii="Times New Roman" w:eastAsia="Times New Roman" w:hAnsi="Times New Roman"/>
          <w:sz w:val="24"/>
        </w:rPr>
        <w:lastRenderedPageBreak/>
        <w:t xml:space="preserve">gingivitis prevention requires stronger integration of oral health into antenatal care, clearer interprofessional responsibilities, targeted training, structured education, and accessible digital support designed around local service constraints. </w:t>
      </w:r>
    </w:p>
    <w:p w14:paraId="60A78502" w14:textId="77777777" w:rsidR="0079709A" w:rsidRDefault="00000000" w:rsidP="00E36BFB">
      <w:pPr>
        <w:spacing w:after="0" w:line="480" w:lineRule="auto"/>
        <w:jc w:val="both"/>
      </w:pPr>
      <w:r>
        <w:rPr>
          <w:rFonts w:ascii="Times New Roman" w:eastAsia="Times New Roman" w:hAnsi="Times New Roman"/>
          <w:b/>
          <w:sz w:val="24"/>
        </w:rPr>
        <w:t xml:space="preserve">Keywords: </w:t>
      </w:r>
      <w:r>
        <w:rPr>
          <w:rFonts w:ascii="Times New Roman" w:eastAsia="Times New Roman" w:hAnsi="Times New Roman"/>
          <w:sz w:val="24"/>
        </w:rPr>
        <w:t>pregnancy; gingivitis; oral health; antenatal care; interprofessional relations; digital health</w:t>
      </w:r>
    </w:p>
    <w:p w14:paraId="15A69850" w14:textId="77777777" w:rsidR="0079709A" w:rsidRDefault="00000000" w:rsidP="00E36BFB">
      <w:pPr>
        <w:keepNext/>
        <w:spacing w:before="120" w:after="0" w:line="480" w:lineRule="auto"/>
        <w:jc w:val="both"/>
      </w:pPr>
      <w:r>
        <w:rPr>
          <w:rFonts w:ascii="Times New Roman" w:eastAsia="Times New Roman" w:hAnsi="Times New Roman"/>
          <w:b/>
          <w:sz w:val="24"/>
        </w:rPr>
        <w:t>Introduction</w:t>
      </w:r>
    </w:p>
    <w:p w14:paraId="332DEED5" w14:textId="77777777" w:rsidR="0079709A" w:rsidRDefault="00000000" w:rsidP="00E36BFB">
      <w:pPr>
        <w:spacing w:after="0" w:line="480" w:lineRule="auto"/>
        <w:jc w:val="both"/>
      </w:pPr>
      <w:r>
        <w:rPr>
          <w:rFonts w:ascii="Times New Roman" w:eastAsia="Times New Roman" w:hAnsi="Times New Roman"/>
          <w:sz w:val="24"/>
        </w:rPr>
        <w:t>Pregnancy is accompanied by hormonal and physiologic changes that can modify the gingival response to dental plaque. Increased estrogen and progesterone levels are associated with greater gingival vascularity, edema, and bleeding, and pregnancy can aggravate pre-existing gingival inflammation (1-4). These changes make preventive oral health care particularly important during pregnancy. Clinical studies have also documented a substantial burden of oral symptoms and periodontal conditions during pregnancy (5). Periodontal conditions have been associated with adverse pregnancy outcomes, although the strength and causality of these relationships vary across the literature (3,4).</w:t>
      </w:r>
    </w:p>
    <w:p w14:paraId="04303CF2" w14:textId="77777777" w:rsidR="0079709A" w:rsidRDefault="00000000" w:rsidP="00E36BFB">
      <w:pPr>
        <w:spacing w:after="0" w:line="480" w:lineRule="auto"/>
        <w:jc w:val="both"/>
      </w:pPr>
      <w:r>
        <w:rPr>
          <w:rFonts w:ascii="Times New Roman" w:eastAsia="Times New Roman" w:hAnsi="Times New Roman"/>
          <w:sz w:val="24"/>
        </w:rPr>
        <w:t xml:space="preserve">Prevention depends not only on individual oral hygiene but also on access to reliable information and coordinated care. Studies of pregnant women in different settings have documented gaps in oral health knowledge, inconsistent preventive dental attendance, uncertainty about gingival bleeding and treatment safety, and limited receipt of oral health information from health professionals (6-14). Qualitative studies similarly show that beliefs, perceived need, and the way information is delivered influence whether pregnant women seek preventive dental care (15,16). More recent work among women of reproductive age continues to identify limited understanding of oral health in relation to pregnancy (17). Prenatal care providers are well positioned to reinforce </w:t>
      </w:r>
      <w:r>
        <w:rPr>
          <w:rFonts w:ascii="Times New Roman" w:eastAsia="Times New Roman" w:hAnsi="Times New Roman"/>
          <w:sz w:val="24"/>
        </w:rPr>
        <w:lastRenderedPageBreak/>
        <w:t>basic oral health messages and facilitate referral, yet their involvement may be constrained by limited training, time, confidence, and unclear role boundaries (18).</w:t>
      </w:r>
    </w:p>
    <w:p w14:paraId="499EC20A" w14:textId="77777777" w:rsidR="0079709A" w:rsidRDefault="00000000" w:rsidP="00E36BFB">
      <w:pPr>
        <w:spacing w:after="0" w:line="480" w:lineRule="auto"/>
        <w:jc w:val="both"/>
      </w:pPr>
      <w:r>
        <w:rPr>
          <w:rFonts w:ascii="Times New Roman" w:eastAsia="Times New Roman" w:hAnsi="Times New Roman"/>
          <w:sz w:val="24"/>
        </w:rPr>
        <w:t>Integrating oral health into antenatal services therefore requires collaboration between maternal health and dental professionals. Studies of obstetricians, gynecologists, and midwives indicate that oral health prevention, screening, and referral are not consistently embedded in routine pregnancy care (18-20). Qualitative work with health-care providers has shown that preventive oral health is valued within prenatal care, but implementation can be hindered by fragmented communication, unclear roles, and service structures (21). Programs that train midwives to promote maternal oral health and facilitate dental referral suggest that structured interprofessional approaches can improve maternal oral health knowledge and preventive behaviors (22).</w:t>
      </w:r>
    </w:p>
    <w:p w14:paraId="6A86E753" w14:textId="77777777" w:rsidR="0079709A" w:rsidRDefault="00000000" w:rsidP="00E36BFB">
      <w:pPr>
        <w:spacing w:after="0" w:line="480" w:lineRule="auto"/>
        <w:jc w:val="both"/>
      </w:pPr>
      <w:r>
        <w:rPr>
          <w:rFonts w:ascii="Times New Roman" w:eastAsia="Times New Roman" w:hAnsi="Times New Roman"/>
          <w:sz w:val="24"/>
        </w:rPr>
        <w:t>Digital health may complement these service-level strategies. Qualitative research has identified smartphones as a potential channel for prenatal oral health education and service navigation when used alongside interprofessional care (23). Mobile and web-based interventions developed for pregnant women have demonstrated feasibility for oral health promotion and have improved knowledge, attitudes, health beliefs, or preventive behaviors in several settings (24-28). However, technology is most useful when it responds to actual workflow barriers and user needs rather than operating as a stand-alone educational product.</w:t>
      </w:r>
    </w:p>
    <w:p w14:paraId="5465585B" w14:textId="77777777" w:rsidR="0079709A" w:rsidRDefault="00000000" w:rsidP="00E36BFB">
      <w:pPr>
        <w:spacing w:after="0" w:line="480" w:lineRule="auto"/>
        <w:jc w:val="both"/>
      </w:pPr>
      <w:r>
        <w:rPr>
          <w:rFonts w:ascii="Times New Roman" w:eastAsia="Times New Roman" w:hAnsi="Times New Roman"/>
          <w:sz w:val="24"/>
        </w:rPr>
        <w:t>The present study explored, in depth, the experiences and perceptions of pregnant women and health workers regarding pregnancy gingivitis prevention. It focused on policy implementation, interprofessional collaboration, oral health education, pregnant women's understanding of gingivitis, and the perceived need for digital support. The study aimed to identify barriers in current practice and generate user-informed requirements that can guide subsequent development of a digital prevention model integrated with antenatal care.</w:t>
      </w:r>
    </w:p>
    <w:p w14:paraId="4EFB88E7" w14:textId="77777777" w:rsidR="0079709A" w:rsidRDefault="00000000" w:rsidP="00E36BFB">
      <w:pPr>
        <w:keepNext/>
        <w:spacing w:after="0" w:line="480" w:lineRule="auto"/>
        <w:jc w:val="both"/>
      </w:pPr>
      <w:r>
        <w:rPr>
          <w:rFonts w:ascii="Times New Roman" w:eastAsia="Times New Roman" w:hAnsi="Times New Roman"/>
          <w:b/>
          <w:sz w:val="24"/>
        </w:rPr>
        <w:lastRenderedPageBreak/>
        <w:t>Methods</w:t>
      </w:r>
    </w:p>
    <w:p w14:paraId="22BFEAB3" w14:textId="77777777" w:rsidR="0079709A" w:rsidRDefault="00000000" w:rsidP="00E36BFB">
      <w:pPr>
        <w:keepNext/>
        <w:spacing w:after="0" w:line="480" w:lineRule="auto"/>
        <w:jc w:val="both"/>
      </w:pPr>
      <w:r>
        <w:rPr>
          <w:rFonts w:ascii="Times New Roman" w:eastAsia="Times New Roman" w:hAnsi="Times New Roman"/>
          <w:b/>
          <w:sz w:val="24"/>
        </w:rPr>
        <w:t>Study Design and Analytical Orientation</w:t>
      </w:r>
    </w:p>
    <w:p w14:paraId="379B9445" w14:textId="77777777" w:rsidR="0079709A" w:rsidRDefault="00000000" w:rsidP="00E36BFB">
      <w:pPr>
        <w:keepNext/>
        <w:spacing w:after="0" w:line="480" w:lineRule="auto"/>
        <w:jc w:val="both"/>
      </w:pPr>
      <w:r>
        <w:rPr>
          <w:rFonts w:ascii="Times New Roman" w:eastAsia="Times New Roman" w:hAnsi="Times New Roman"/>
          <w:sz w:val="24"/>
        </w:rPr>
        <w:t>This study employed an interpretative phenomenological qualitative design to explore how pregnant women and healthcare providers experienced and understood barriers to pregnancy gingivitis prevention within antenatal care. The design was appropriate because the study sought to move beyond a descriptive account of service barriers and to examine how participants made sense of oral-health needs, professional roles, referral practices, and opportunities for prevention within their everyday care context. Interpretative Phenomenological Analysis (IPA) provided the analytic orientation for interpreting these experiences and the meanings attached to them.</w:t>
      </w:r>
    </w:p>
    <w:p w14:paraId="6693DA3B" w14:textId="77777777" w:rsidR="0079709A" w:rsidRDefault="00000000" w:rsidP="00E36BFB">
      <w:pPr>
        <w:keepNext/>
        <w:spacing w:after="0" w:line="480" w:lineRule="auto"/>
        <w:jc w:val="both"/>
      </w:pPr>
      <w:r>
        <w:rPr>
          <w:rFonts w:ascii="Times New Roman" w:eastAsia="Times New Roman" w:hAnsi="Times New Roman"/>
          <w:sz w:val="24"/>
        </w:rPr>
        <w:t>The phenomenon was examined from several positions within the same service pathway. Program managers contributed a policy and program-implementation perspective; midwives represented routine antenatal care; dental nurses represented oral-health service delivery; and pregnant women contributed the service-user perspective. These perspectives were not treated as interchangeable. Attention was retained to the context and role from which each account was produced so that similarities, differences, and points of tension across the care pathway could be identified.</w:t>
      </w:r>
    </w:p>
    <w:p w14:paraId="5127E7FE" w14:textId="77777777" w:rsidR="0079709A" w:rsidRDefault="00000000" w:rsidP="00E36BFB">
      <w:pPr>
        <w:keepNext/>
        <w:spacing w:after="0" w:line="480" w:lineRule="auto"/>
        <w:jc w:val="both"/>
      </w:pPr>
      <w:r>
        <w:rPr>
          <w:rFonts w:ascii="Times New Roman" w:eastAsia="Times New Roman" w:hAnsi="Times New Roman"/>
          <w:b/>
          <w:sz w:val="24"/>
        </w:rPr>
        <w:t>Participants and Study Context</w:t>
      </w:r>
    </w:p>
    <w:p w14:paraId="02FBDDF5" w14:textId="77777777" w:rsidR="0079709A" w:rsidRDefault="00000000" w:rsidP="00E36BFB">
      <w:pPr>
        <w:keepNext/>
        <w:spacing w:after="0" w:line="480" w:lineRule="auto"/>
        <w:jc w:val="both"/>
      </w:pPr>
      <w:r>
        <w:rPr>
          <w:rFonts w:ascii="Times New Roman" w:eastAsia="Times New Roman" w:hAnsi="Times New Roman"/>
          <w:sz w:val="24"/>
        </w:rPr>
        <w:t xml:space="preserve">Eleven participants were selected purposively because they were directly involved in organizing, providing, or receiving maternal and oral-health services relevant to pregnancy gingivitis prevention. The sample comprised one Maternal and Child Health program manager at the Health Office, one Maternal and Child Health program manager at a community health center, two midwives, three dental nurses, and four pregnant women. The healthcare workers had 15 to 35 </w:t>
      </w:r>
      <w:r>
        <w:rPr>
          <w:rFonts w:ascii="Times New Roman" w:eastAsia="Times New Roman" w:hAnsi="Times New Roman"/>
          <w:sz w:val="24"/>
        </w:rPr>
        <w:lastRenderedPageBreak/>
        <w:t>years of professional experience, providing perspectives from staff with substantial experience in maternal or oral-health service delivery.</w:t>
      </w:r>
    </w:p>
    <w:p w14:paraId="137EBBF3" w14:textId="77777777" w:rsidR="0079709A" w:rsidRDefault="00000000" w:rsidP="00E36BFB">
      <w:pPr>
        <w:keepNext/>
        <w:spacing w:after="0" w:line="480" w:lineRule="auto"/>
        <w:jc w:val="both"/>
      </w:pPr>
      <w:r>
        <w:rPr>
          <w:rFonts w:ascii="Times New Roman" w:eastAsia="Times New Roman" w:hAnsi="Times New Roman"/>
          <w:sz w:val="24"/>
        </w:rPr>
        <w:t>Participants represented the Health Office and community health centers anonymized as X, Y, and Z. The purposive composition of the sample enabled exploration of the prevention pathway across policy, service-management, front-line maternal care, dental care, and service-user perspectives. Participant characteristics are summarized in Table 1. Identifying information for the community health centers was withheld in the manuscript to preserve anonymity.</w:t>
      </w:r>
    </w:p>
    <w:p w14:paraId="7FFD18BE" w14:textId="77777777" w:rsidR="0079709A" w:rsidRDefault="00000000" w:rsidP="00E36BFB">
      <w:pPr>
        <w:keepNext/>
        <w:spacing w:after="0" w:line="480" w:lineRule="auto"/>
        <w:jc w:val="both"/>
      </w:pPr>
      <w:r>
        <w:rPr>
          <w:rFonts w:ascii="Times New Roman" w:eastAsia="Times New Roman" w:hAnsi="Times New Roman"/>
          <w:b/>
          <w:sz w:val="24"/>
        </w:rPr>
        <w:t>Data Collection</w:t>
      </w:r>
    </w:p>
    <w:p w14:paraId="2BAB1C19" w14:textId="77777777" w:rsidR="0079709A" w:rsidRDefault="00000000" w:rsidP="00E36BFB">
      <w:pPr>
        <w:keepNext/>
        <w:spacing w:after="0" w:line="480" w:lineRule="auto"/>
        <w:jc w:val="both"/>
      </w:pPr>
      <w:r>
        <w:rPr>
          <w:rFonts w:ascii="Times New Roman" w:eastAsia="Times New Roman" w:hAnsi="Times New Roman"/>
          <w:sz w:val="24"/>
        </w:rPr>
        <w:t>Data were collected through semi-structured in-depth interviews. The interviews explored participants' experiences and perceptions of integrated antenatal care, referral of pregnant women to dental services, interprofessional communication, responsibility for oral-health education, knowledge and perceptions of pregnancy gingivitis, barriers to accessing or providing preventive care, and expectations regarding digital support. The semi-structured format allowed the same core issues to be explored across participant groups while allowing participants to elaborate on experiences that were particularly relevant to their role or care experience.</w:t>
      </w:r>
    </w:p>
    <w:p w14:paraId="5E61B449" w14:textId="77777777" w:rsidR="0079709A" w:rsidRDefault="00000000" w:rsidP="00E36BFB">
      <w:pPr>
        <w:keepNext/>
        <w:spacing w:after="0" w:line="480" w:lineRule="auto"/>
        <w:jc w:val="both"/>
      </w:pPr>
      <w:r>
        <w:rPr>
          <w:rFonts w:ascii="Times New Roman" w:eastAsia="Times New Roman" w:hAnsi="Times New Roman"/>
          <w:sz w:val="24"/>
        </w:rPr>
        <w:t xml:space="preserve">Questions concerning digital support were used to identify perceived needs rather than to evaluate an existing application. Participants were encouraged to describe functions that they considered useful, as well as practical barriers that could affect implementation. All participants provided consent before taking part in the research procedures. The study therefore used the interviews both </w:t>
      </w:r>
      <w:r>
        <w:rPr>
          <w:rFonts w:ascii="Times New Roman" w:eastAsia="Times New Roman" w:hAnsi="Times New Roman"/>
          <w:sz w:val="24"/>
        </w:rPr>
        <w:lastRenderedPageBreak/>
        <w:t>to characterize current service barriers and to identify user- and provider-informed requirements that could guide a later stage of digital intervention development.</w:t>
      </w:r>
    </w:p>
    <w:p w14:paraId="654E401D" w14:textId="77777777" w:rsidR="0079709A" w:rsidRDefault="00000000" w:rsidP="00E36BFB">
      <w:pPr>
        <w:keepNext/>
        <w:spacing w:after="0" w:line="480" w:lineRule="auto"/>
        <w:jc w:val="both"/>
      </w:pPr>
      <w:r>
        <w:rPr>
          <w:rFonts w:ascii="Times New Roman" w:eastAsia="Times New Roman" w:hAnsi="Times New Roman"/>
          <w:b/>
          <w:sz w:val="24"/>
        </w:rPr>
        <w:t>Data Analysis</w:t>
      </w:r>
    </w:p>
    <w:p w14:paraId="05FE9273" w14:textId="77777777" w:rsidR="0079709A" w:rsidRDefault="00000000" w:rsidP="00E36BFB">
      <w:pPr>
        <w:keepNext/>
        <w:spacing w:after="0" w:line="480" w:lineRule="auto"/>
        <w:jc w:val="both"/>
      </w:pPr>
      <w:r>
        <w:rPr>
          <w:rFonts w:ascii="Times New Roman" w:eastAsia="Times New Roman" w:hAnsi="Times New Roman"/>
          <w:sz w:val="24"/>
        </w:rPr>
        <w:t>Interview data were analyzed using Interpretative Phenomenological Analysis. The analytic focus was on how participants understood and gave meaning to their experiences of pregnancy gingivitis prevention. Accounts were considered in relation to the participant's position in the service pathway, with attention to statements concerning policy implementation, referral routines, professional boundaries, educational practices, maternal knowledge, access barriers, and expectations of digital support.</w:t>
      </w:r>
    </w:p>
    <w:p w14:paraId="1244E733" w14:textId="77777777" w:rsidR="0079709A" w:rsidRDefault="00000000" w:rsidP="00E36BFB">
      <w:pPr>
        <w:keepNext/>
        <w:spacing w:after="0" w:line="480" w:lineRule="auto"/>
        <w:jc w:val="both"/>
      </w:pPr>
      <w:r>
        <w:rPr>
          <w:rFonts w:ascii="Times New Roman" w:eastAsia="Times New Roman" w:hAnsi="Times New Roman"/>
          <w:sz w:val="24"/>
        </w:rPr>
        <w:t>Theme development emphasized recurrent experiential patterns while preserving meaningful differences between stakeholder perspectives. Convergences and contrasts were examined particularly between policy-level accounts and front-line service experiences, between midwives and dental personnel, and between provider assumptions and pregnant women's reported knowledge and experiences. Related patterns were consolidated into higher-order themes that captured both shared barriers and points of divergence across the prevention pathway. This interpretative process resulted in five overarching themes presented in the Results section.</w:t>
      </w:r>
    </w:p>
    <w:p w14:paraId="78664373" w14:textId="77777777" w:rsidR="0079709A" w:rsidRDefault="00000000" w:rsidP="00E36BFB">
      <w:pPr>
        <w:keepNext/>
        <w:spacing w:after="0" w:line="480" w:lineRule="auto"/>
        <w:jc w:val="both"/>
      </w:pPr>
      <w:r>
        <w:rPr>
          <w:rFonts w:ascii="Times New Roman" w:eastAsia="Times New Roman" w:hAnsi="Times New Roman"/>
          <w:b/>
          <w:sz w:val="24"/>
        </w:rPr>
        <w:t>Trustworthiness</w:t>
      </w:r>
    </w:p>
    <w:p w14:paraId="06368E43" w14:textId="77777777" w:rsidR="0079709A" w:rsidRDefault="00000000" w:rsidP="00E36BFB">
      <w:pPr>
        <w:keepNext/>
        <w:spacing w:after="0" w:line="480" w:lineRule="auto"/>
        <w:jc w:val="both"/>
      </w:pPr>
      <w:r>
        <w:rPr>
          <w:rFonts w:ascii="Times New Roman" w:eastAsia="Times New Roman" w:hAnsi="Times New Roman"/>
          <w:sz w:val="24"/>
        </w:rPr>
        <w:t xml:space="preserve">Trustworthiness was strengthened through source triangulation, member checking, and peer debriefing. Source triangulation was achieved by comparing accounts from program managers, midwives, dental nurses, and pregnant women, allowing findings to be examined across different positions in the service pathway. Member checking was used to support congruence between participants' intended meanings and the researchers' interpretations, while peer debriefing provided an additional opportunity to critically examine emerging interpretations. Together, these strategies </w:t>
      </w:r>
      <w:r>
        <w:rPr>
          <w:rFonts w:ascii="Times New Roman" w:eastAsia="Times New Roman" w:hAnsi="Times New Roman"/>
          <w:sz w:val="24"/>
        </w:rPr>
        <w:lastRenderedPageBreak/>
        <w:t>were used to reduce reliance on a single professional perspective and to strengthen the credibility of the final thematic interpretation.</w:t>
      </w:r>
    </w:p>
    <w:p w14:paraId="75FC6100" w14:textId="77777777" w:rsidR="0079709A" w:rsidRDefault="00000000" w:rsidP="00E36BFB">
      <w:pPr>
        <w:keepNext/>
        <w:spacing w:after="0" w:line="480" w:lineRule="auto"/>
        <w:jc w:val="both"/>
      </w:pPr>
      <w:r>
        <w:rPr>
          <w:rFonts w:ascii="Times New Roman" w:eastAsia="Times New Roman" w:hAnsi="Times New Roman"/>
          <w:b/>
          <w:sz w:val="24"/>
        </w:rPr>
        <w:t>Results</w:t>
      </w:r>
    </w:p>
    <w:p w14:paraId="6E2233D5" w14:textId="77777777" w:rsidR="0079709A" w:rsidRDefault="00000000" w:rsidP="00E36BFB">
      <w:pPr>
        <w:spacing w:after="0" w:line="480" w:lineRule="auto"/>
        <w:jc w:val="both"/>
      </w:pPr>
      <w:r>
        <w:rPr>
          <w:rFonts w:ascii="Times New Roman" w:eastAsia="Times New Roman" w:hAnsi="Times New Roman"/>
          <w:sz w:val="24"/>
        </w:rPr>
        <w:t>Five themes described barriers and needs related to pregnancy gingivitis prevention. The themes were interconnected: policy implementation influenced referral practices, referral practices shaped opportunities for education, and gaps in education contributed to limited awareness among pregnant women. Digital support was viewed as a possible mechanism to strengthen these processes rather than as a replacement for professional care.</w:t>
      </w:r>
    </w:p>
    <w:p w14:paraId="312B75E1" w14:textId="77777777" w:rsidR="0079709A" w:rsidRDefault="00000000" w:rsidP="00E36BFB">
      <w:pPr>
        <w:keepNext/>
        <w:spacing w:before="60" w:after="0" w:line="480" w:lineRule="auto"/>
        <w:jc w:val="both"/>
      </w:pPr>
      <w:r>
        <w:rPr>
          <w:rFonts w:ascii="Times New Roman" w:eastAsia="Times New Roman" w:hAnsi="Times New Roman"/>
          <w:b/>
          <w:sz w:val="24"/>
        </w:rPr>
        <w:t>Theme 1. Integrated Antenatal Care Policy Existed, but Implementation Was Inconsistent</w:t>
      </w:r>
    </w:p>
    <w:p w14:paraId="6B560A2F" w14:textId="77777777" w:rsidR="0079709A" w:rsidRDefault="00000000" w:rsidP="00E36BFB">
      <w:pPr>
        <w:spacing w:after="0" w:line="480" w:lineRule="auto"/>
        <w:jc w:val="both"/>
      </w:pPr>
      <w:r>
        <w:rPr>
          <w:rFonts w:ascii="Times New Roman" w:eastAsia="Times New Roman" w:hAnsi="Times New Roman"/>
          <w:sz w:val="24"/>
        </w:rPr>
        <w:t>Informants at the program level described integrated antenatal care as already incorporating dental and oral health services. The Health Office program manager explained, "For program policies related to teeth and mouth, we have something called integrated antenatal care. Integrated antenatal care is integrated with dental and oral health services, among other things." However, no specific achievement indicator for maternal oral health or gingivitis was identified; performance continued to be assessed through general maternal health service standards.</w:t>
      </w:r>
    </w:p>
    <w:p w14:paraId="5ED197EC" w14:textId="77777777" w:rsidR="0079709A" w:rsidRDefault="00000000" w:rsidP="00E36BFB">
      <w:pPr>
        <w:spacing w:after="0" w:line="480" w:lineRule="auto"/>
        <w:jc w:val="both"/>
      </w:pPr>
      <w:r>
        <w:rPr>
          <w:rFonts w:ascii="Times New Roman" w:eastAsia="Times New Roman" w:hAnsi="Times New Roman"/>
          <w:sz w:val="24"/>
        </w:rPr>
        <w:t>At community health-center level, first-trimester referral to the dental clinic was described as an expected practice, but referrals could be missed when workload was high or when maternal and child health staff rotated. One program manager stated, "Because in this service, there are only two officers in the room... sometimes that gets forgotten." A dental nurse reported the same problem, noting that dental staff sometimes had to remind the maternal and child health unit when a pregnant woman had not been referred.</w:t>
      </w:r>
    </w:p>
    <w:p w14:paraId="29BE1379" w14:textId="77777777" w:rsidR="0079709A" w:rsidRDefault="00000000" w:rsidP="00E36BFB">
      <w:pPr>
        <w:spacing w:after="0" w:line="480" w:lineRule="auto"/>
        <w:jc w:val="both"/>
      </w:pPr>
      <w:r>
        <w:rPr>
          <w:rFonts w:ascii="Times New Roman" w:eastAsia="Times New Roman" w:hAnsi="Times New Roman"/>
          <w:sz w:val="24"/>
        </w:rPr>
        <w:lastRenderedPageBreak/>
        <w:t>This created an implementation gap between the perception that the integrated system was functioning and front-line experiences in which referral depended partly on individual memory and daily staffing patterns.</w:t>
      </w:r>
    </w:p>
    <w:p w14:paraId="7BFDE185" w14:textId="77777777" w:rsidR="0079709A" w:rsidRDefault="00000000" w:rsidP="00E36BFB">
      <w:pPr>
        <w:keepNext/>
        <w:spacing w:before="60" w:after="0" w:line="480" w:lineRule="auto"/>
        <w:jc w:val="both"/>
      </w:pPr>
      <w:r>
        <w:rPr>
          <w:rFonts w:ascii="Times New Roman" w:eastAsia="Times New Roman" w:hAnsi="Times New Roman"/>
          <w:b/>
          <w:sz w:val="24"/>
        </w:rPr>
        <w:t>Theme 2. Interprofessional Collaboration Was Present but Not Embedded in Daily Practice</w:t>
      </w:r>
    </w:p>
    <w:p w14:paraId="55C19FFB" w14:textId="77777777" w:rsidR="0079709A" w:rsidRDefault="00000000" w:rsidP="00E36BFB">
      <w:pPr>
        <w:spacing w:after="0" w:line="480" w:lineRule="auto"/>
        <w:jc w:val="both"/>
      </w:pPr>
      <w:r>
        <w:rPr>
          <w:rFonts w:ascii="Times New Roman" w:eastAsia="Times New Roman" w:hAnsi="Times New Roman"/>
          <w:sz w:val="24"/>
        </w:rPr>
        <w:t>Collaboration occurred through an electronic health-center referral system, monthly mini-workshops for service evaluation, and selected joint activities such as community health posts and classes for pregnant women. A community health-center program manager described communication as occurring "through the system" and during mini-workshops at the beginning of the month.</w:t>
      </w:r>
    </w:p>
    <w:p w14:paraId="002332FC" w14:textId="77777777" w:rsidR="0079709A" w:rsidRDefault="00000000" w:rsidP="00E36BFB">
      <w:pPr>
        <w:spacing w:after="0" w:line="480" w:lineRule="auto"/>
        <w:jc w:val="both"/>
      </w:pPr>
      <w:r>
        <w:rPr>
          <w:rFonts w:ascii="Times New Roman" w:eastAsia="Times New Roman" w:hAnsi="Times New Roman"/>
          <w:sz w:val="24"/>
        </w:rPr>
        <w:t>Perceptions of effectiveness differed across professions. Midwives tended to describe collaboration as adequate, whereas dental nurses emphasized gaps caused by staff rotation and limited personnel. One dental nurse stated, "It is not optimal, because midwives do not have the same duties every day. One day they remember, but tomorrow they are different." Another explained that optimal collaboration was difficult because of staff shortages. Dental personnel were also not routinely involved in all educational activities for pregnant women.</w:t>
      </w:r>
    </w:p>
    <w:p w14:paraId="61679602" w14:textId="77777777" w:rsidR="0079709A" w:rsidRDefault="00000000" w:rsidP="00E36BFB">
      <w:pPr>
        <w:spacing w:after="0" w:line="480" w:lineRule="auto"/>
        <w:jc w:val="both"/>
      </w:pPr>
      <w:r>
        <w:rPr>
          <w:rFonts w:ascii="Times New Roman" w:eastAsia="Times New Roman" w:hAnsi="Times New Roman"/>
          <w:sz w:val="24"/>
        </w:rPr>
        <w:t>The findings indicate that formal channels existed, but continuity of collaboration remained vulnerable when responsibilities were not consistently carried across shifts and professional boundaries.</w:t>
      </w:r>
    </w:p>
    <w:p w14:paraId="5DF2A7DD" w14:textId="77777777" w:rsidR="0079709A" w:rsidRDefault="00000000" w:rsidP="00E36BFB">
      <w:pPr>
        <w:keepNext/>
        <w:spacing w:before="60" w:after="0" w:line="480" w:lineRule="auto"/>
        <w:jc w:val="both"/>
      </w:pPr>
      <w:r>
        <w:rPr>
          <w:rFonts w:ascii="Times New Roman" w:eastAsia="Times New Roman" w:hAnsi="Times New Roman"/>
          <w:b/>
          <w:sz w:val="24"/>
        </w:rPr>
        <w:t>Theme 3. Oral Health Education Was Not Structured Within Routine Antenatal Care</w:t>
      </w:r>
    </w:p>
    <w:p w14:paraId="411EA90B" w14:textId="77777777" w:rsidR="0079709A" w:rsidRDefault="00000000" w:rsidP="00E36BFB">
      <w:pPr>
        <w:spacing w:after="0" w:line="480" w:lineRule="auto"/>
        <w:jc w:val="both"/>
      </w:pPr>
      <w:r>
        <w:rPr>
          <w:rFonts w:ascii="Times New Roman" w:eastAsia="Times New Roman" w:hAnsi="Times New Roman"/>
          <w:sz w:val="24"/>
        </w:rPr>
        <w:t xml:space="preserve">The interviewed midwives reported that they did not routinely provide direct dental health education. Their reasons included perceiving dental education as outside their authority or expertise, the availability of dental professionals who were considered more competent to provide </w:t>
      </w:r>
      <w:r>
        <w:rPr>
          <w:rFonts w:ascii="Times New Roman" w:eastAsia="Times New Roman" w:hAnsi="Times New Roman"/>
          <w:sz w:val="24"/>
        </w:rPr>
        <w:lastRenderedPageBreak/>
        <w:t>it, and limited service time. One midwife explained, "We do not provide it directly. But we refer pregnant women to the dental clinic, so the right person can provide the education."</w:t>
      </w:r>
    </w:p>
    <w:p w14:paraId="5047EA14" w14:textId="77777777" w:rsidR="0079709A" w:rsidRDefault="00000000" w:rsidP="00E36BFB">
      <w:pPr>
        <w:spacing w:after="0" w:line="480" w:lineRule="auto"/>
        <w:jc w:val="both"/>
      </w:pPr>
      <w:r>
        <w:rPr>
          <w:rFonts w:ascii="Times New Roman" w:eastAsia="Times New Roman" w:hAnsi="Times New Roman"/>
          <w:sz w:val="24"/>
        </w:rPr>
        <w:t>Specific educational media for pregnancy gingivitis were also limited. Informants described education as largely verbal and expressed a need for posters, leaflets, dental models or other teaching aids, and videos. Health workers additionally reported that routine training or knowledge refreshment on oral health in pregnancy was lacking. One midwife stated that she had never received training on early dental screening for pregnant women and would participate if training were available.</w:t>
      </w:r>
    </w:p>
    <w:p w14:paraId="71EBEE5C" w14:textId="77777777" w:rsidR="0079709A" w:rsidRDefault="00000000" w:rsidP="00E36BFB">
      <w:pPr>
        <w:spacing w:after="0" w:line="480" w:lineRule="auto"/>
        <w:jc w:val="both"/>
      </w:pPr>
      <w:r>
        <w:rPr>
          <w:rFonts w:ascii="Times New Roman" w:eastAsia="Times New Roman" w:hAnsi="Times New Roman"/>
          <w:sz w:val="24"/>
        </w:rPr>
        <w:t>The central gap was therefore not only a shortage of information materials, but the absence of a structured educational pathway that defined what basic oral health information should be delivered, by whom, and at which point in antenatal care.</w:t>
      </w:r>
    </w:p>
    <w:p w14:paraId="03242B3F" w14:textId="77777777" w:rsidR="0079709A" w:rsidRDefault="00000000" w:rsidP="00E36BFB">
      <w:pPr>
        <w:keepNext/>
        <w:spacing w:before="60" w:after="0" w:line="480" w:lineRule="auto"/>
        <w:jc w:val="both"/>
      </w:pPr>
      <w:r>
        <w:rPr>
          <w:rFonts w:ascii="Times New Roman" w:eastAsia="Times New Roman" w:hAnsi="Times New Roman"/>
          <w:b/>
          <w:sz w:val="24"/>
        </w:rPr>
        <w:t>Theme 4. Pregnant Women Had Limited Knowledge and Misconceptions About Gingivitis</w:t>
      </w:r>
    </w:p>
    <w:p w14:paraId="1D9BD20D" w14:textId="77777777" w:rsidR="0079709A" w:rsidRDefault="00000000" w:rsidP="00E36BFB">
      <w:pPr>
        <w:spacing w:after="0" w:line="480" w:lineRule="auto"/>
        <w:jc w:val="both"/>
      </w:pPr>
      <w:r>
        <w:rPr>
          <w:rFonts w:ascii="Times New Roman" w:eastAsia="Times New Roman" w:hAnsi="Times New Roman"/>
          <w:sz w:val="24"/>
        </w:rPr>
        <w:t>Three of the four pregnant women interviewed had not heard of gingivitis. Understanding of the relationship between pregnancy and gingival health varied substantially. One participant stated that pregnancy had "nothing to do with" oral health, while another believed gum problems might be normal because the baby needs calcium. The only participant who demonstrated stronger prior knowledge worked as a physician.</w:t>
      </w:r>
    </w:p>
    <w:p w14:paraId="7DD5FF1C" w14:textId="77777777" w:rsidR="0079709A" w:rsidRDefault="00000000" w:rsidP="00E36BFB">
      <w:pPr>
        <w:spacing w:after="0" w:line="480" w:lineRule="auto"/>
        <w:jc w:val="both"/>
      </w:pPr>
      <w:r>
        <w:rPr>
          <w:rFonts w:ascii="Times New Roman" w:eastAsia="Times New Roman" w:hAnsi="Times New Roman"/>
          <w:sz w:val="24"/>
        </w:rPr>
        <w:t>Experiences of receiving oral health education were inconsistent. One pregnant woman reported never receiving education from a midwife or dental nurse, whereas others had obtained information from dental personnel or, in one case, from a midwife. Reported barriers to seeking dental services included not knowing the importance of dental check-ups, cost, distance or access, limited time, nausea or vomiting, and the absence of symptoms. These accounts suggest that lack of symptoms and misconceptions can reduce perceived need for preventive care.</w:t>
      </w:r>
    </w:p>
    <w:p w14:paraId="15A8C378" w14:textId="77777777" w:rsidR="0079709A" w:rsidRDefault="00000000" w:rsidP="00E36BFB">
      <w:pPr>
        <w:keepNext/>
        <w:spacing w:before="60" w:after="0" w:line="480" w:lineRule="auto"/>
        <w:jc w:val="both"/>
      </w:pPr>
      <w:r>
        <w:rPr>
          <w:rFonts w:ascii="Times New Roman" w:eastAsia="Times New Roman" w:hAnsi="Times New Roman"/>
          <w:b/>
          <w:sz w:val="24"/>
        </w:rPr>
        <w:lastRenderedPageBreak/>
        <w:t>Theme 5. Digital Support Was Desired, but It Needed to Be Simple and Service-Oriented</w:t>
      </w:r>
    </w:p>
    <w:p w14:paraId="065F9476" w14:textId="77777777" w:rsidR="0079709A" w:rsidRDefault="00000000" w:rsidP="00E36BFB">
      <w:pPr>
        <w:spacing w:after="0" w:line="480" w:lineRule="auto"/>
        <w:jc w:val="both"/>
      </w:pPr>
      <w:r>
        <w:rPr>
          <w:rFonts w:ascii="Times New Roman" w:eastAsia="Times New Roman" w:hAnsi="Times New Roman"/>
          <w:sz w:val="24"/>
        </w:rPr>
        <w:t>All informant groups supported the idea of digital support for pregnancy gingivitis prevention. Expected functions included education using text or video, self-screening or early detection, reminders and notifications, consultation, referral, monitoring, and communication between health workers and community health centers. A Health Office informant expected that digital support could help pregnant women gain knowledge and conduct basic self-screening.</w:t>
      </w:r>
    </w:p>
    <w:p w14:paraId="1BCF1962" w14:textId="77777777" w:rsidR="0079709A" w:rsidRDefault="00000000" w:rsidP="00E36BFB">
      <w:pPr>
        <w:spacing w:after="0" w:line="480" w:lineRule="auto"/>
        <w:jc w:val="both"/>
      </w:pPr>
      <w:r>
        <w:rPr>
          <w:rFonts w:ascii="Times New Roman" w:eastAsia="Times New Roman" w:hAnsi="Times New Roman"/>
          <w:sz w:val="24"/>
        </w:rPr>
        <w:t>Participants nevertheless emphasized that digital implementation could create new barriers. Concerns included unstable internet signals, data costs, limited digital literacy, unequal access to smartphones, low engagement among some pregnant women, and the possibility of increasing health-worker workload if the application became an additional reporting system. Informants therefore favored a simple design with low data demands and, where possible, offline functionality. The application was conceptualized as a support for education, referral, and communication rather than a substitute for clinical assessment.</w:t>
      </w:r>
    </w:p>
    <w:p w14:paraId="730D8603" w14:textId="77777777" w:rsidR="0079709A" w:rsidRDefault="00000000" w:rsidP="00E36BFB">
      <w:pPr>
        <w:keepNext/>
        <w:spacing w:before="120" w:after="0" w:line="480" w:lineRule="auto"/>
        <w:jc w:val="both"/>
      </w:pPr>
      <w:r>
        <w:rPr>
          <w:rFonts w:ascii="Times New Roman" w:eastAsia="Times New Roman" w:hAnsi="Times New Roman"/>
          <w:b/>
          <w:sz w:val="24"/>
        </w:rPr>
        <w:t>Discussion</w:t>
      </w:r>
    </w:p>
    <w:p w14:paraId="68DB10E1" w14:textId="77777777" w:rsidR="0079709A" w:rsidRDefault="00000000" w:rsidP="00E36BFB">
      <w:pPr>
        <w:spacing w:after="0" w:line="480" w:lineRule="auto"/>
        <w:jc w:val="both"/>
      </w:pPr>
      <w:r>
        <w:rPr>
          <w:rFonts w:ascii="Times New Roman" w:eastAsia="Times New Roman" w:hAnsi="Times New Roman"/>
          <w:sz w:val="24"/>
        </w:rPr>
        <w:t>This study identified a service-level chain of barriers to pregnancy gingivitis prevention. Integrated antenatal care policy recognized oral health, yet implementation depended on referral routines that could be disrupted by workload and staff rotation. Collaboration existed through electronic referrals and periodic meetings, but it was not consistently embedded in daily practice. Midwives did not routinely deliver basic oral health education, and pregnant women consequently encountered uneven information and persistent misconceptions. Digital support was widely accepted, but participants wanted it to solve specific communication, education, and referral problems without adding to workload.</w:t>
      </w:r>
    </w:p>
    <w:p w14:paraId="3723883E" w14:textId="77777777" w:rsidR="0079709A" w:rsidRDefault="00000000" w:rsidP="00E36BFB">
      <w:pPr>
        <w:keepNext/>
        <w:spacing w:before="60" w:after="0" w:line="480" w:lineRule="auto"/>
        <w:jc w:val="both"/>
      </w:pPr>
      <w:r>
        <w:rPr>
          <w:rFonts w:ascii="Times New Roman" w:eastAsia="Times New Roman" w:hAnsi="Times New Roman"/>
          <w:b/>
          <w:sz w:val="24"/>
        </w:rPr>
        <w:lastRenderedPageBreak/>
        <w:t>Policy-to-Practice Gap in Integrated Antenatal Oral Health Care</w:t>
      </w:r>
    </w:p>
    <w:p w14:paraId="692E79B4" w14:textId="77777777" w:rsidR="0079709A" w:rsidRDefault="00000000" w:rsidP="00E36BFB">
      <w:pPr>
        <w:spacing w:after="0" w:line="480" w:lineRule="auto"/>
        <w:jc w:val="both"/>
      </w:pPr>
      <w:r>
        <w:rPr>
          <w:rFonts w:ascii="Times New Roman" w:eastAsia="Times New Roman" w:hAnsi="Times New Roman"/>
          <w:sz w:val="24"/>
        </w:rPr>
        <w:t>The gap between formal integration and daily implementation is consistent with qualitative evidence showing that preventive oral health can be recognized as part of prenatal care while still remaining weakly operationalized (21). In the present study, the absence of a specific oral health performance indicator and reliance on staff memory contributed to missed referrals. Similar work has emphasized that prenatal oral health integration requires clear referral pathways, shared responsibilities, and organizational support rather than policy statements alone (21,23).</w:t>
      </w:r>
    </w:p>
    <w:p w14:paraId="36FFDDA9" w14:textId="77777777" w:rsidR="0079709A" w:rsidRDefault="00000000" w:rsidP="00E36BFB">
      <w:pPr>
        <w:spacing w:after="0" w:line="480" w:lineRule="auto"/>
        <w:jc w:val="both"/>
      </w:pPr>
      <w:r>
        <w:rPr>
          <w:rFonts w:ascii="Times New Roman" w:eastAsia="Times New Roman" w:hAnsi="Times New Roman"/>
          <w:sz w:val="24"/>
        </w:rPr>
        <w:t>A practical implication is that oral health should be made visible within routine antenatal workflows. This can include a simple screening prompt, a documented referral step, and a feedback mechanism from the dental unit. Such measures would reduce dependence on individual recall and make oral health integration auditable at service level.</w:t>
      </w:r>
    </w:p>
    <w:p w14:paraId="10E76C1F" w14:textId="77777777" w:rsidR="0079709A" w:rsidRDefault="00000000" w:rsidP="00E36BFB">
      <w:pPr>
        <w:keepNext/>
        <w:spacing w:before="60" w:after="0" w:line="480" w:lineRule="auto"/>
        <w:jc w:val="both"/>
      </w:pPr>
      <w:r>
        <w:rPr>
          <w:rFonts w:ascii="Times New Roman" w:eastAsia="Times New Roman" w:hAnsi="Times New Roman"/>
          <w:b/>
          <w:sz w:val="24"/>
        </w:rPr>
        <w:t>Interprofessional Collaboration and Role Clarity</w:t>
      </w:r>
    </w:p>
    <w:p w14:paraId="192B9EEE" w14:textId="77777777" w:rsidR="0079709A" w:rsidRDefault="00000000" w:rsidP="00E36BFB">
      <w:pPr>
        <w:spacing w:after="0" w:line="480" w:lineRule="auto"/>
        <w:jc w:val="both"/>
      </w:pPr>
      <w:r>
        <w:rPr>
          <w:rFonts w:ascii="Times New Roman" w:eastAsia="Times New Roman" w:hAnsi="Times New Roman"/>
          <w:sz w:val="24"/>
        </w:rPr>
        <w:t>Differences between midwives' and dental nurses' assessments of collaboration are important because each group experienced the referral pathway differently. Research among medical and dental professionals has shown that collaborative attitudes and trust can vary across professional groups (29). Structured communication frameworks are also used in health care to reduce information loss during handover and clarify what should be communicated between teams (30). Although the present study did not test a specific communication framework, its findings indicate a need for clearer daily coordination, especially when staff rotate.</w:t>
      </w:r>
    </w:p>
    <w:p w14:paraId="397CD6BF" w14:textId="77777777" w:rsidR="0079709A" w:rsidRDefault="00000000" w:rsidP="00E36BFB">
      <w:pPr>
        <w:spacing w:after="0" w:line="480" w:lineRule="auto"/>
        <w:jc w:val="both"/>
      </w:pPr>
      <w:r>
        <w:rPr>
          <w:rFonts w:ascii="Times New Roman" w:eastAsia="Times New Roman" w:hAnsi="Times New Roman"/>
          <w:sz w:val="24"/>
        </w:rPr>
        <w:t>For primary care, collaboration should extend beyond electronic referral. Shared standard operating procedures, brief role definitions, and routine feedback on completed referrals may help transform a nominally integrated service into a more dependable care pathway.</w:t>
      </w:r>
    </w:p>
    <w:p w14:paraId="05471F67" w14:textId="77777777" w:rsidR="0079709A" w:rsidRDefault="00000000" w:rsidP="00E36BFB">
      <w:pPr>
        <w:keepNext/>
        <w:spacing w:before="60" w:after="0" w:line="480" w:lineRule="auto"/>
        <w:jc w:val="both"/>
      </w:pPr>
      <w:r>
        <w:rPr>
          <w:rFonts w:ascii="Times New Roman" w:eastAsia="Times New Roman" w:hAnsi="Times New Roman"/>
          <w:b/>
          <w:sz w:val="24"/>
        </w:rPr>
        <w:lastRenderedPageBreak/>
        <w:t>Midwives as an Entry Point for Basic Oral Health Education</w:t>
      </w:r>
    </w:p>
    <w:p w14:paraId="148C66DF" w14:textId="77777777" w:rsidR="0079709A" w:rsidRDefault="00000000" w:rsidP="00E36BFB">
      <w:pPr>
        <w:spacing w:after="0" w:line="480" w:lineRule="auto"/>
        <w:jc w:val="both"/>
      </w:pPr>
      <w:r>
        <w:rPr>
          <w:rFonts w:ascii="Times New Roman" w:eastAsia="Times New Roman" w:hAnsi="Times New Roman"/>
          <w:sz w:val="24"/>
        </w:rPr>
        <w:t>Midwives in this study often considered dental health education outside their scope, even though they were a consistent point of contact during pregnancy. This resembles findings from other settings where prenatal-care professionals and midwives reported incomplete incorporation of periodontal health promotion, screening, or referral into routine practice because of gaps in training, knowledge, confidence, time, or role definition (18-20,31). Importantly, a basic educational and referral role does not require midwives to replace dental professionals. Rather, it involves recognizing common oral health concerns, delivering brief preventive messages, and directing pregnant women to appropriate dental care.</w:t>
      </w:r>
    </w:p>
    <w:p w14:paraId="6953322E" w14:textId="77777777" w:rsidR="0079709A" w:rsidRDefault="00000000" w:rsidP="00E36BFB">
      <w:pPr>
        <w:spacing w:after="0" w:line="480" w:lineRule="auto"/>
        <w:jc w:val="both"/>
      </w:pPr>
      <w:r>
        <w:rPr>
          <w:rFonts w:ascii="Times New Roman" w:eastAsia="Times New Roman" w:hAnsi="Times New Roman"/>
          <w:sz w:val="24"/>
        </w:rPr>
        <w:t>Evidence from the Midwifery Initiated Oral Health-Dental Service shows that structured training can strengthen maternal oral health knowledge, preventive behaviors, and referral-related practice (22). Educational interventions delivered during antenatal care have also improved pregnant women's oral health knowledge and related behaviors in different settings (25-27). These findings support the participants' request for regular training and practical educational media that can be used during routine antenatal encounters.</w:t>
      </w:r>
    </w:p>
    <w:p w14:paraId="37B8FF41" w14:textId="77777777" w:rsidR="0079709A" w:rsidRDefault="00000000" w:rsidP="00E36BFB">
      <w:pPr>
        <w:keepNext/>
        <w:spacing w:before="60" w:after="0" w:line="480" w:lineRule="auto"/>
        <w:jc w:val="both"/>
      </w:pPr>
      <w:r>
        <w:rPr>
          <w:rFonts w:ascii="Times New Roman" w:eastAsia="Times New Roman" w:hAnsi="Times New Roman"/>
          <w:b/>
          <w:sz w:val="24"/>
        </w:rPr>
        <w:t>Pregnant Women's Knowledge and the Need for Accessible Education</w:t>
      </w:r>
    </w:p>
    <w:p w14:paraId="4F2533B5" w14:textId="77777777" w:rsidR="0079709A" w:rsidRDefault="00000000" w:rsidP="00E36BFB">
      <w:pPr>
        <w:spacing w:after="0" w:line="480" w:lineRule="auto"/>
        <w:jc w:val="both"/>
      </w:pPr>
      <w:r>
        <w:rPr>
          <w:rFonts w:ascii="Times New Roman" w:eastAsia="Times New Roman" w:hAnsi="Times New Roman"/>
          <w:sz w:val="24"/>
        </w:rPr>
        <w:t>The finding that three of four pregnant women had not heard of gingivitis highlights a substantial information gap within this small qualitative sample. Surveys and qualitative studies elsewhere have likewise identified incomplete oral health knowledge, misconceptions, and inconsistent preventive dental attendance during pregnancy (6-17). In the present study, the belief that gingival bleeding can be normal during pregnancy and the tendency to seek care only when symptoms are present may reduce motivation for preventive visits.</w:t>
      </w:r>
    </w:p>
    <w:p w14:paraId="613D9173" w14:textId="77777777" w:rsidR="0079709A" w:rsidRDefault="00000000" w:rsidP="00E36BFB">
      <w:pPr>
        <w:spacing w:after="0" w:line="480" w:lineRule="auto"/>
        <w:jc w:val="both"/>
      </w:pPr>
      <w:r>
        <w:rPr>
          <w:rFonts w:ascii="Times New Roman" w:eastAsia="Times New Roman" w:hAnsi="Times New Roman"/>
          <w:sz w:val="24"/>
        </w:rPr>
        <w:lastRenderedPageBreak/>
        <w:t>Education should therefore address both knowledge and perceived relevance. Messages need to explain common gingival changes, distinguish expected physiologic changes from signs that warrant professional assessment, and clarify that preventive dental care remains important even in the absence of pain. Repeated exposure through antenatal visits, dental services, and digital media may be more effective than relying on a single source of information.</w:t>
      </w:r>
    </w:p>
    <w:p w14:paraId="1201DBCC" w14:textId="77777777" w:rsidR="0079709A" w:rsidRDefault="00000000" w:rsidP="00E36BFB">
      <w:pPr>
        <w:keepNext/>
        <w:spacing w:before="60" w:after="0" w:line="480" w:lineRule="auto"/>
        <w:jc w:val="both"/>
      </w:pPr>
      <w:r>
        <w:rPr>
          <w:rFonts w:ascii="Times New Roman" w:eastAsia="Times New Roman" w:hAnsi="Times New Roman"/>
          <w:b/>
          <w:sz w:val="24"/>
        </w:rPr>
        <w:t>Digital Support as an Enabler, Not a Stand-Alone Solution</w:t>
      </w:r>
    </w:p>
    <w:p w14:paraId="6C59CD9D" w14:textId="77777777" w:rsidR="0079709A" w:rsidRDefault="00000000" w:rsidP="00E36BFB">
      <w:pPr>
        <w:spacing w:after="0" w:line="480" w:lineRule="auto"/>
        <w:jc w:val="both"/>
      </w:pPr>
      <w:r>
        <w:rPr>
          <w:rFonts w:ascii="Times New Roman" w:eastAsia="Times New Roman" w:hAnsi="Times New Roman"/>
          <w:sz w:val="24"/>
        </w:rPr>
        <w:t>Participants' desired features closely align with existing digital approaches to prenatal oral health. A prototype mobile application developed in India demonstrated the feasibility of app-based oral health promotion for pregnant women (24), while web-based and other digitally supported educational interventions have improved oral health knowledge, attitudes, beliefs, or preventive behaviors (25-28). Qualitative research has also identified smartphones as a promising route for education and prenatal oral health service utilization when combined with interprofessional collaboration (23).</w:t>
      </w:r>
    </w:p>
    <w:p w14:paraId="4C31FC31" w14:textId="77777777" w:rsidR="0079709A" w:rsidRDefault="00000000" w:rsidP="00E36BFB">
      <w:pPr>
        <w:spacing w:after="0" w:line="480" w:lineRule="auto"/>
        <w:jc w:val="both"/>
      </w:pPr>
      <w:r>
        <w:rPr>
          <w:rFonts w:ascii="Times New Roman" w:eastAsia="Times New Roman" w:hAnsi="Times New Roman"/>
          <w:sz w:val="24"/>
        </w:rPr>
        <w:t>The present study adds a service-design perspective: digital support was expected not only to educate pregnant women but also to reduce missed referrals, provide reminders, and bridge communication with community health centers. At the same time, informants warned that an application could fail if it required constant internet access, high data use, sophisticated digital skills, or additional reporting work. Future development should therefore prioritize usability, low data requirements, offline access where feasible, clear referral logic, and minimal duplication of existing health-worker tasks.</w:t>
      </w:r>
    </w:p>
    <w:p w14:paraId="34A4BCE4" w14:textId="77777777" w:rsidR="0079709A" w:rsidRDefault="00000000" w:rsidP="00E36BFB">
      <w:pPr>
        <w:keepNext/>
        <w:spacing w:before="60" w:after="0" w:line="480" w:lineRule="auto"/>
        <w:jc w:val="both"/>
      </w:pPr>
      <w:r>
        <w:rPr>
          <w:rFonts w:ascii="Times New Roman" w:eastAsia="Times New Roman" w:hAnsi="Times New Roman"/>
          <w:b/>
          <w:sz w:val="24"/>
        </w:rPr>
        <w:t>Practical Implications</w:t>
      </w:r>
    </w:p>
    <w:p w14:paraId="2EEF4F8B" w14:textId="77777777" w:rsidR="0079709A" w:rsidRDefault="00000000" w:rsidP="00E36BFB">
      <w:pPr>
        <w:spacing w:after="0" w:line="480" w:lineRule="auto"/>
        <w:jc w:val="both"/>
      </w:pPr>
      <w:r>
        <w:rPr>
          <w:rFonts w:ascii="Times New Roman" w:eastAsia="Times New Roman" w:hAnsi="Times New Roman"/>
          <w:sz w:val="24"/>
        </w:rPr>
        <w:t xml:space="preserve">The findings support four practical priorities: training midwives in basic oral health screening and brief education; providing standardized, easy-to-understand educational media for pregnant </w:t>
      </w:r>
      <w:r>
        <w:rPr>
          <w:rFonts w:ascii="Times New Roman" w:eastAsia="Times New Roman" w:hAnsi="Times New Roman"/>
          <w:sz w:val="24"/>
        </w:rPr>
        <w:lastRenderedPageBreak/>
        <w:t>women; strengthening collaboration between maternal and child health and dental units through explicit referral procedures and feedback; and developing simple digital support for education, early detection, reminders, consultation, and referral. These actions should be implemented as complementary components of integrated antenatal care.</w:t>
      </w:r>
    </w:p>
    <w:p w14:paraId="2DCB63BC" w14:textId="77777777" w:rsidR="0079709A" w:rsidRDefault="00000000" w:rsidP="00E36BFB">
      <w:pPr>
        <w:keepNext/>
        <w:spacing w:before="60" w:after="0" w:line="480" w:lineRule="auto"/>
        <w:jc w:val="both"/>
      </w:pPr>
      <w:r>
        <w:rPr>
          <w:rFonts w:ascii="Times New Roman" w:eastAsia="Times New Roman" w:hAnsi="Times New Roman"/>
          <w:b/>
          <w:sz w:val="24"/>
        </w:rPr>
        <w:t>Study Limitations</w:t>
      </w:r>
    </w:p>
    <w:p w14:paraId="6EBDEDC6" w14:textId="77777777" w:rsidR="0079709A" w:rsidRDefault="00000000" w:rsidP="00E36BFB">
      <w:pPr>
        <w:spacing w:after="0" w:line="480" w:lineRule="auto"/>
        <w:jc w:val="both"/>
      </w:pPr>
      <w:r>
        <w:rPr>
          <w:rFonts w:ascii="Times New Roman" w:eastAsia="Times New Roman" w:hAnsi="Times New Roman"/>
          <w:sz w:val="24"/>
        </w:rPr>
        <w:t>The findings should be interpreted in relation to the study context. The sample comprised 11 purposively selected informants, including four pregnant women, and represented a limited number of service settings. The study was designed to provide depth of understanding rather than statistical generalizability. In addition, perspectives on digital support represent perceived needs and expectations; the study did not develop, validate, or test the effectiveness of a digital application. Subsequent work should translate these requirements into a prototype and evaluate usability, feasibility, and service impact with a broader group of users.</w:t>
      </w:r>
    </w:p>
    <w:p w14:paraId="0757B3E7" w14:textId="77777777" w:rsidR="0079709A" w:rsidRDefault="00000000" w:rsidP="00E36BFB">
      <w:pPr>
        <w:keepNext/>
        <w:spacing w:before="120" w:after="0" w:line="480" w:lineRule="auto"/>
        <w:jc w:val="both"/>
      </w:pPr>
      <w:r>
        <w:rPr>
          <w:rFonts w:ascii="Times New Roman" w:eastAsia="Times New Roman" w:hAnsi="Times New Roman"/>
          <w:b/>
          <w:sz w:val="24"/>
        </w:rPr>
        <w:t>Conclusion</w:t>
      </w:r>
    </w:p>
    <w:p w14:paraId="4A9D58D8" w14:textId="77777777" w:rsidR="0079709A" w:rsidRDefault="00000000" w:rsidP="00E36BFB">
      <w:pPr>
        <w:spacing w:after="0" w:line="480" w:lineRule="auto"/>
        <w:jc w:val="both"/>
      </w:pPr>
      <w:r>
        <w:rPr>
          <w:rFonts w:ascii="Times New Roman" w:eastAsia="Times New Roman" w:hAnsi="Times New Roman"/>
          <w:sz w:val="24"/>
        </w:rPr>
        <w:t>Pregnancy gingivitis prevention was constrained by a gap between integrated antenatal care policy and daily implementation, inconsistent interprofessional coordination, limited structured oral health education, and low awareness among pregnant women. Participants supported digital support that combines education, self-screening, reminders, consultation, and referral, but emphasized that it must be simple, accessible, and compatible with existing workflows. Strengthening role clarity, staff training, educational resources, and referral processes should accompany any digital intervention. The present findings provide user-informed requirements for subsequent development and evaluation of a digital prevention model rather than evidence of the effectiveness of such a model.</w:t>
      </w:r>
    </w:p>
    <w:p w14:paraId="11662B97" w14:textId="77777777" w:rsidR="0079709A" w:rsidRDefault="00000000" w:rsidP="00E36BFB">
      <w:pPr>
        <w:keepNext/>
        <w:spacing w:before="120" w:after="0" w:line="480" w:lineRule="auto"/>
        <w:jc w:val="both"/>
      </w:pPr>
      <w:r>
        <w:rPr>
          <w:rFonts w:ascii="Times New Roman" w:eastAsia="Times New Roman" w:hAnsi="Times New Roman"/>
          <w:b/>
          <w:sz w:val="24"/>
        </w:rPr>
        <w:lastRenderedPageBreak/>
        <w:t>Competing Interests</w:t>
      </w:r>
    </w:p>
    <w:p w14:paraId="17A30085" w14:textId="77777777" w:rsidR="0079709A" w:rsidRDefault="00000000" w:rsidP="00E36BFB">
      <w:pPr>
        <w:spacing w:after="0" w:line="480" w:lineRule="auto"/>
        <w:jc w:val="both"/>
      </w:pPr>
      <w:r>
        <w:rPr>
          <w:rFonts w:ascii="Times New Roman" w:eastAsia="Times New Roman" w:hAnsi="Times New Roman"/>
          <w:sz w:val="24"/>
        </w:rPr>
        <w:t>The authors declare no competing interests.</w:t>
      </w:r>
    </w:p>
    <w:p w14:paraId="6357BECA" w14:textId="77777777" w:rsidR="0079709A" w:rsidRDefault="00000000" w:rsidP="00E36BFB">
      <w:pPr>
        <w:keepNext/>
        <w:spacing w:before="120" w:after="0" w:line="480" w:lineRule="auto"/>
        <w:jc w:val="both"/>
      </w:pPr>
      <w:r>
        <w:rPr>
          <w:rFonts w:ascii="Times New Roman" w:eastAsia="Times New Roman" w:hAnsi="Times New Roman"/>
          <w:b/>
          <w:sz w:val="24"/>
        </w:rPr>
        <w:t>AI Use Disclosure Statement (NEW)</w:t>
      </w:r>
    </w:p>
    <w:p w14:paraId="383F285F" w14:textId="21B3A6B0" w:rsidR="0079709A" w:rsidRDefault="00000000" w:rsidP="00E36BFB">
      <w:pPr>
        <w:spacing w:after="0" w:line="480" w:lineRule="auto"/>
        <w:jc w:val="both"/>
      </w:pPr>
      <w:r>
        <w:rPr>
          <w:rFonts w:ascii="Times New Roman" w:eastAsia="Times New Roman" w:hAnsi="Times New Roman"/>
          <w:sz w:val="24"/>
        </w:rPr>
        <w:t>ChatGPT (OpenAI) was used for language editing. It was not used to generate, modify, analyze, or interpret research data or to generate scientific results or conclusions. All AI-assisted edits were reviewed and approved by the authors, who take full responsibility for the final manuscript. A completed AI Use Disclosure Statement is submitted separately.</w:t>
      </w:r>
    </w:p>
    <w:p w14:paraId="69FC87F2" w14:textId="77777777" w:rsidR="0079709A" w:rsidRDefault="00000000" w:rsidP="00E36BFB">
      <w:pPr>
        <w:keepNext/>
        <w:spacing w:before="120" w:after="0" w:line="480" w:lineRule="auto"/>
        <w:jc w:val="both"/>
      </w:pPr>
      <w:r>
        <w:rPr>
          <w:rFonts w:ascii="Times New Roman" w:eastAsia="Times New Roman" w:hAnsi="Times New Roman"/>
          <w:b/>
          <w:sz w:val="24"/>
        </w:rPr>
        <w:t>References</w:t>
      </w:r>
    </w:p>
    <w:p w14:paraId="17F83B0A" w14:textId="77777777" w:rsidR="0079709A" w:rsidRDefault="00000000" w:rsidP="00E36BFB">
      <w:pPr>
        <w:spacing w:after="0" w:line="480" w:lineRule="auto"/>
        <w:jc w:val="both"/>
      </w:pPr>
      <w:r>
        <w:rPr>
          <w:rFonts w:ascii="Times New Roman" w:eastAsia="Times New Roman" w:hAnsi="Times New Roman"/>
          <w:sz w:val="24"/>
        </w:rPr>
        <w:t>1. Jawed STM, Tul Kubra Jawed K. Understanding the link between hormonal changes and gingival health in women: a review. Cureus. 2025;17(6):e85270. doi:10.7759/cureus.85270.</w:t>
      </w:r>
    </w:p>
    <w:p w14:paraId="28FDA63B" w14:textId="77777777" w:rsidR="0079709A" w:rsidRDefault="00000000" w:rsidP="00E36BFB">
      <w:pPr>
        <w:spacing w:after="0" w:line="480" w:lineRule="auto"/>
        <w:jc w:val="both"/>
      </w:pPr>
      <w:r>
        <w:rPr>
          <w:rFonts w:ascii="Times New Roman" w:eastAsia="Times New Roman" w:hAnsi="Times New Roman"/>
          <w:sz w:val="24"/>
        </w:rPr>
        <w:t>2. Varsha A, Garg A, Thakur R. Effects of pregnancy on oral health: a narrative review. Cureus. 2025;17(10):e94929. doi:10.7759/cureus.94929.</w:t>
      </w:r>
    </w:p>
    <w:p w14:paraId="25DEF6BC" w14:textId="77777777" w:rsidR="0079709A" w:rsidRDefault="00000000" w:rsidP="00E36BFB">
      <w:pPr>
        <w:spacing w:after="0" w:line="480" w:lineRule="auto"/>
        <w:jc w:val="both"/>
      </w:pPr>
      <w:r>
        <w:rPr>
          <w:rFonts w:ascii="Times New Roman" w:eastAsia="Times New Roman" w:hAnsi="Times New Roman"/>
          <w:sz w:val="24"/>
        </w:rPr>
        <w:t>3. Jang H, Patoine A, Wu TT, Castillo DA, Xiao J. Oral microflora and pregnancy: a systematic review and meta-analysis. Sci Rep. 2021;11(1):16870. doi:10.1038/s41598-021-96495-1.</w:t>
      </w:r>
    </w:p>
    <w:p w14:paraId="75AC40D7" w14:textId="77777777" w:rsidR="0079709A" w:rsidRDefault="00000000" w:rsidP="00E36BFB">
      <w:pPr>
        <w:spacing w:after="0" w:line="480" w:lineRule="auto"/>
        <w:jc w:val="both"/>
      </w:pPr>
      <w:r>
        <w:rPr>
          <w:rFonts w:ascii="Times New Roman" w:eastAsia="Times New Roman" w:hAnsi="Times New Roman"/>
          <w:sz w:val="24"/>
        </w:rPr>
        <w:t>4. AlSharief M, Alabdurubalnabi E. Periodontal pathogens and adverse pregnancy outcomes: a narrative review. Life (Basel). 2023;13(7):1559. doi:10.3390/life13071559.</w:t>
      </w:r>
    </w:p>
    <w:p w14:paraId="6C40814C" w14:textId="77777777" w:rsidR="0079709A" w:rsidRDefault="00000000" w:rsidP="00E36BFB">
      <w:pPr>
        <w:spacing w:after="0" w:line="480" w:lineRule="auto"/>
        <w:jc w:val="both"/>
      </w:pPr>
      <w:r>
        <w:rPr>
          <w:rFonts w:ascii="Times New Roman" w:eastAsia="Times New Roman" w:hAnsi="Times New Roman"/>
          <w:sz w:val="24"/>
        </w:rPr>
        <w:t>5. Sari EY, Saddki N, Yusoff A. Association between perceived oral symptoms and presence of clinically diagnosed oral diseases in a sample of pregnant women in Malaysia. Int J Environ Res Public Health. 2020;17(19):7337. doi:10.3390/ijerph17197337.</w:t>
      </w:r>
    </w:p>
    <w:p w14:paraId="01AD30EE" w14:textId="77777777" w:rsidR="0079709A" w:rsidRDefault="00000000" w:rsidP="00E36BFB">
      <w:pPr>
        <w:spacing w:after="0" w:line="480" w:lineRule="auto"/>
        <w:jc w:val="both"/>
      </w:pPr>
      <w:r>
        <w:rPr>
          <w:rFonts w:ascii="Times New Roman" w:eastAsia="Times New Roman" w:hAnsi="Times New Roman"/>
          <w:sz w:val="24"/>
        </w:rPr>
        <w:t>6. Lazaridi I, Zekeridou A, Schaub L, Prudente D, Razban M, Giannopoulou C. A survey on oral health knowledge, attitudes and practices of pregnant women attending four general health hospitals in Switzerland. Oral Health Prev Dent. 2022;20:33-44. doi:10.3290/j.ohpd.b2573007.</w:t>
      </w:r>
    </w:p>
    <w:p w14:paraId="6C3AD8B9" w14:textId="77777777" w:rsidR="0079709A" w:rsidRDefault="00000000" w:rsidP="00E36BFB">
      <w:pPr>
        <w:spacing w:after="0" w:line="480" w:lineRule="auto"/>
        <w:jc w:val="both"/>
      </w:pPr>
      <w:r>
        <w:rPr>
          <w:rFonts w:ascii="Times New Roman" w:eastAsia="Times New Roman" w:hAnsi="Times New Roman"/>
          <w:sz w:val="24"/>
        </w:rPr>
        <w:lastRenderedPageBreak/>
        <w:t>7. Cabuk AI, Cabuk DS, Ustdal K, Sucu M, Akpinar E. Oral health literacy status, knowledge levels, beliefs, and behaviors of pregnant women. Niger J Clin Pract. 2024;27(8):977-982. doi:10.4103/njcp.njcp_173_24.</w:t>
      </w:r>
    </w:p>
    <w:p w14:paraId="28992F3E" w14:textId="77777777" w:rsidR="0079709A" w:rsidRDefault="00000000" w:rsidP="00E36BFB">
      <w:pPr>
        <w:spacing w:after="0" w:line="480" w:lineRule="auto"/>
        <w:jc w:val="both"/>
      </w:pPr>
      <w:r>
        <w:rPr>
          <w:rFonts w:ascii="Times New Roman" w:eastAsia="Times New Roman" w:hAnsi="Times New Roman"/>
          <w:sz w:val="24"/>
        </w:rPr>
        <w:t>8. Javali MA, Saquib SA, Abdul Khader M, Khalid I, AlShahrani AY, Kanji MA, et al. Oral health knowledge, attitude, and practice of pregnant women in Deccan, South India: a cross-sectional prenatal survey. J Med Life. 2022;15(3):420-424. doi:10.25122/jml-2019-0095.</w:t>
      </w:r>
    </w:p>
    <w:p w14:paraId="17B615A6" w14:textId="77777777" w:rsidR="0079709A" w:rsidRDefault="00000000" w:rsidP="00E36BFB">
      <w:pPr>
        <w:spacing w:after="0" w:line="480" w:lineRule="auto"/>
        <w:jc w:val="both"/>
      </w:pPr>
      <w:r>
        <w:rPr>
          <w:rFonts w:ascii="Times New Roman" w:eastAsia="Times New Roman" w:hAnsi="Times New Roman"/>
          <w:sz w:val="24"/>
        </w:rPr>
        <w:t>9. Gavic L, Maretic A, Putica S, Tadin A. Attitudes and knowledge of pregnant women about oral health. J Educ Health Promot. 2022;11:77. doi:10.4103/jehp.jehp_382_21.</w:t>
      </w:r>
    </w:p>
    <w:p w14:paraId="3F6936A7" w14:textId="77777777" w:rsidR="0079709A" w:rsidRDefault="00000000" w:rsidP="00E36BFB">
      <w:pPr>
        <w:spacing w:after="0" w:line="480" w:lineRule="auto"/>
        <w:jc w:val="both"/>
      </w:pPr>
      <w:r>
        <w:rPr>
          <w:rFonts w:ascii="Times New Roman" w:eastAsia="Times New Roman" w:hAnsi="Times New Roman"/>
          <w:sz w:val="24"/>
        </w:rPr>
        <w:t>10. Cagetti MG, Salerno C, Ionescu AC, La Rocca S, Camoni N, Cirio S, et al. Knowledge and attitudes on oral health of women during pregnancy and their children: an online survey. BMC Oral Health. 2024;24(1):85. doi:10.1186/s12903-023-03732-2.</w:t>
      </w:r>
    </w:p>
    <w:p w14:paraId="42628B18" w14:textId="77777777" w:rsidR="0079709A" w:rsidRDefault="00000000" w:rsidP="00E36BFB">
      <w:pPr>
        <w:spacing w:after="0" w:line="480" w:lineRule="auto"/>
        <w:jc w:val="both"/>
      </w:pPr>
      <w:r>
        <w:rPr>
          <w:rFonts w:ascii="Times New Roman" w:eastAsia="Times New Roman" w:hAnsi="Times New Roman"/>
          <w:sz w:val="24"/>
        </w:rPr>
        <w:t>11. Radwan-Oczko M, Hirnle L, Szczepaniak M, Dus-Ilnicka I. How much do pregnant women know about the importance of oral health in pregnancy? Questionnaire-based survey. BMC Pregnancy Childbirth. 2023;23(1):348. doi:10.1186/s12884-023-05677-4.</w:t>
      </w:r>
    </w:p>
    <w:p w14:paraId="597EFD2C" w14:textId="77777777" w:rsidR="0079709A" w:rsidRDefault="00000000" w:rsidP="00E36BFB">
      <w:pPr>
        <w:spacing w:after="0" w:line="480" w:lineRule="auto"/>
        <w:jc w:val="both"/>
      </w:pPr>
      <w:r>
        <w:rPr>
          <w:rFonts w:ascii="Times New Roman" w:eastAsia="Times New Roman" w:hAnsi="Times New Roman"/>
          <w:sz w:val="24"/>
        </w:rPr>
        <w:t>12. Hebbal M, AlSagob EI, Kotha SL, Santhosh VN, Kumar RS, Mertins S, et al. Oral health-related knowledge, practice, and utilization of dental services among pregnant women in Riyadh, Saudi Arabia. PLoS One. 2025;20(4):e0319508. doi:10.1371/journal.pone.0319508.</w:t>
      </w:r>
    </w:p>
    <w:p w14:paraId="77C35893" w14:textId="77777777" w:rsidR="0079709A" w:rsidRDefault="00000000" w:rsidP="00E36BFB">
      <w:pPr>
        <w:spacing w:after="0" w:line="480" w:lineRule="auto"/>
        <w:jc w:val="both"/>
      </w:pPr>
      <w:r>
        <w:rPr>
          <w:rFonts w:ascii="Times New Roman" w:eastAsia="Times New Roman" w:hAnsi="Times New Roman"/>
          <w:sz w:val="24"/>
        </w:rPr>
        <w:t>13. Naavaal S, Carrico CK, Williams TL, Brickhouse TH, Raskin SE. Oral health knowledge, barriers to dental care, and awareness of a Medicaid pregnancy dental coverage among reproductive-age women. J Womens Health (Larchmt). 2022;31(3):401-408. doi:10.1089/jwh.2021.0252.</w:t>
      </w:r>
    </w:p>
    <w:p w14:paraId="1C29E635" w14:textId="77777777" w:rsidR="0079709A" w:rsidRDefault="00000000" w:rsidP="00E36BFB">
      <w:pPr>
        <w:spacing w:after="0" w:line="480" w:lineRule="auto"/>
        <w:jc w:val="both"/>
      </w:pPr>
      <w:r>
        <w:rPr>
          <w:rFonts w:ascii="Times New Roman" w:eastAsia="Times New Roman" w:hAnsi="Times New Roman"/>
          <w:sz w:val="24"/>
        </w:rPr>
        <w:t>14. Hu W, Wang Y, Chen R, Pan T. Oral health status and literacy/knowledge amongst pregnant women in Shanghai. Int Dent J. 2023;73(2):212-218. doi:10.1016/j.identj.2022.06.005.</w:t>
      </w:r>
    </w:p>
    <w:p w14:paraId="0E713AD3" w14:textId="77777777" w:rsidR="0079709A" w:rsidRDefault="00000000" w:rsidP="00E36BFB">
      <w:pPr>
        <w:spacing w:after="0" w:line="480" w:lineRule="auto"/>
        <w:jc w:val="both"/>
      </w:pPr>
      <w:r>
        <w:rPr>
          <w:rFonts w:ascii="Times New Roman" w:eastAsia="Times New Roman" w:hAnsi="Times New Roman"/>
          <w:sz w:val="24"/>
        </w:rPr>
        <w:lastRenderedPageBreak/>
        <w:t>15. Velosa-Porras J, Rodriguez Malagon N. Perceptions, knowledge, and practices related to oral health in a group of pregnant women: a qualitative study. Clin Exp Dent Res. 2024;10(1):e823. doi:10.1002/cre2.823.</w:t>
      </w:r>
    </w:p>
    <w:p w14:paraId="28EA73A4" w14:textId="77777777" w:rsidR="0079709A" w:rsidRDefault="00000000" w:rsidP="00E36BFB">
      <w:pPr>
        <w:spacing w:after="0" w:line="480" w:lineRule="auto"/>
        <w:jc w:val="both"/>
      </w:pPr>
      <w:r>
        <w:rPr>
          <w:rFonts w:ascii="Times New Roman" w:eastAsia="Times New Roman" w:hAnsi="Times New Roman"/>
          <w:sz w:val="24"/>
        </w:rPr>
        <w:t>16. Phoosuwan N, Bunnatee P, Lundberg PC. Oral health knowledge, literacy and behavior of pregnant women: a qualitative study in a northeastern province of Thailand. BMC Oral Health. 2024;24(1):653. doi:10.1186/s12903-024-04414-3.</w:t>
      </w:r>
    </w:p>
    <w:p w14:paraId="06582728" w14:textId="46C1642A" w:rsidR="0079709A" w:rsidRDefault="00000000" w:rsidP="00E36BFB">
      <w:pPr>
        <w:spacing w:after="0" w:line="480" w:lineRule="auto"/>
        <w:jc w:val="both"/>
      </w:pPr>
      <w:r>
        <w:rPr>
          <w:rFonts w:ascii="Times New Roman" w:eastAsia="Times New Roman" w:hAnsi="Times New Roman"/>
          <w:sz w:val="24"/>
        </w:rPr>
        <w:t>17. Adamska P, Sobczak-Zagalska H, Gromek Z, Wojciechowska B, Doroszkiewicz P, Chmielewski M, et al. The impact of oral health and dental care on pregnancy: a cross-sectional study among women of reproductive age. J Clin Med. 2025;14(14):5153. doi:10.3390/jcm14145153.</w:t>
      </w:r>
    </w:p>
    <w:p w14:paraId="7EE2D237" w14:textId="77777777" w:rsidR="0079709A" w:rsidRDefault="00000000" w:rsidP="00E36BFB">
      <w:pPr>
        <w:spacing w:after="0" w:line="480" w:lineRule="auto"/>
        <w:jc w:val="both"/>
      </w:pPr>
      <w:r>
        <w:rPr>
          <w:rFonts w:ascii="Times New Roman" w:eastAsia="Times New Roman" w:hAnsi="Times New Roman"/>
          <w:sz w:val="24"/>
        </w:rPr>
        <w:t>18. Nguyen JGL, Nanayakkara S, Holden ACL. Knowledge, attitudes and practice behaviour of midwives concerning periodontal health of pregnant patients. Int J Environ Res Public Health. 2020;17(7):2246. doi:10.3390/ijerph17072246.</w:t>
      </w:r>
    </w:p>
    <w:p w14:paraId="5EA77A05" w14:textId="77777777" w:rsidR="0079709A" w:rsidRDefault="00000000" w:rsidP="00E36BFB">
      <w:pPr>
        <w:spacing w:after="0" w:line="480" w:lineRule="auto"/>
        <w:jc w:val="both"/>
      </w:pPr>
      <w:r>
        <w:rPr>
          <w:rFonts w:ascii="Times New Roman" w:eastAsia="Times New Roman" w:hAnsi="Times New Roman"/>
          <w:sz w:val="24"/>
        </w:rPr>
        <w:t>19. Bechina C, Bonvillain G, Rethore G, Soueidan A, Winer N, Maitre Y, et al. Knowledge and practice behaviours of obstetricians/gynecologists and midwives concerning periodontal health and pregnancy. Oral Health Prev Dent. 2023;21:383-390. doi:10.3290/j.ohpd.b4586823.</w:t>
      </w:r>
    </w:p>
    <w:p w14:paraId="5A00FD56" w14:textId="77777777" w:rsidR="0079709A" w:rsidRDefault="00000000" w:rsidP="00E36BFB">
      <w:pPr>
        <w:spacing w:after="0" w:line="480" w:lineRule="auto"/>
        <w:jc w:val="both"/>
      </w:pPr>
      <w:r>
        <w:rPr>
          <w:rFonts w:ascii="Times New Roman" w:eastAsia="Times New Roman" w:hAnsi="Times New Roman"/>
          <w:sz w:val="24"/>
        </w:rPr>
        <w:t>20. Novello S, Pailleau M, Le Devehat P, Jeanne S. Periodontal diseases and pregnancy: knowledge and clinical practice habits of French midwives. Oral Health Prev Dent. 2022;20:525-532. doi:10.3290/j.ohpd.b3680323.</w:t>
      </w:r>
    </w:p>
    <w:p w14:paraId="7303BF2E" w14:textId="77777777" w:rsidR="0079709A" w:rsidRDefault="00000000" w:rsidP="00E36BFB">
      <w:pPr>
        <w:spacing w:after="0" w:line="480" w:lineRule="auto"/>
        <w:jc w:val="both"/>
      </w:pPr>
      <w:r>
        <w:rPr>
          <w:rFonts w:ascii="Times New Roman" w:eastAsia="Times New Roman" w:hAnsi="Times New Roman"/>
          <w:sz w:val="24"/>
        </w:rPr>
        <w:t>21. Adeniyi A, Donnelly L, Janssen P, Jevitt C, von Bergman H, Brondani M. A qualitative study of health care providers' views on integrating oral health into prenatal care. JDR Clin Trans Res. 2021;6(4):409-419. doi:10.1177/2380084420961998.</w:t>
      </w:r>
    </w:p>
    <w:p w14:paraId="71CA39F9" w14:textId="77777777" w:rsidR="0079709A" w:rsidRDefault="00000000" w:rsidP="00E36BFB">
      <w:pPr>
        <w:spacing w:after="0" w:line="480" w:lineRule="auto"/>
        <w:jc w:val="both"/>
      </w:pPr>
      <w:r>
        <w:rPr>
          <w:rFonts w:ascii="Times New Roman" w:eastAsia="Times New Roman" w:hAnsi="Times New Roman"/>
          <w:sz w:val="24"/>
        </w:rPr>
        <w:lastRenderedPageBreak/>
        <w:t>22. George A, Kong A, Sousa MS, Villarosa A, Ajwani S, Dahlen HG, et al. Long-term effectiveness of the midwifery initiated oral health-dental service program on maternal oral health knowledge, preventative dental behaviours and the oral health status of children in Australia. Acta Odontol Scand. 2023;81(2):164-175. doi:10.1080/00016357.2022.2108896.</w:t>
      </w:r>
    </w:p>
    <w:p w14:paraId="761F05CE" w14:textId="77777777" w:rsidR="0079709A" w:rsidRDefault="00000000" w:rsidP="00E36BFB">
      <w:pPr>
        <w:spacing w:after="0" w:line="480" w:lineRule="auto"/>
        <w:jc w:val="both"/>
      </w:pPr>
      <w:r>
        <w:rPr>
          <w:rFonts w:ascii="Times New Roman" w:eastAsia="Times New Roman" w:hAnsi="Times New Roman"/>
          <w:sz w:val="24"/>
        </w:rPr>
        <w:t>23. Wang L, Ren J, Fiscella KA, Bullock S, Sanders MR, Loomis EL, et al. Interprofessional collaboration and smartphone use as promising strategies to improve prenatal oral health care utilization among US underserved women: results from a qualitative study. BMC Oral Health. 2020;20:333. doi:10.1186/s12903-020-01327-9.</w:t>
      </w:r>
    </w:p>
    <w:p w14:paraId="1F2EB5E3" w14:textId="77777777" w:rsidR="0079709A" w:rsidRDefault="00000000" w:rsidP="00E36BFB">
      <w:pPr>
        <w:spacing w:after="0" w:line="480" w:lineRule="auto"/>
        <w:jc w:val="both"/>
      </w:pPr>
      <w:r>
        <w:rPr>
          <w:rFonts w:ascii="Times New Roman" w:eastAsia="Times New Roman" w:hAnsi="Times New Roman"/>
          <w:sz w:val="24"/>
        </w:rPr>
        <w:t>24. Sarkar C, Mohanty V, Balappanavar AY, Rijhwani K, Chahar P. Development, validation, and usability testing of prototype mobile application for oral health promotion during pregnancy in India. Indian J Public Health. 2023;67(3):376-381. doi:10.4103/ijph.ijph_10_23.</w:t>
      </w:r>
    </w:p>
    <w:p w14:paraId="5E04774A" w14:textId="77777777" w:rsidR="0079709A" w:rsidRDefault="00000000" w:rsidP="00E36BFB">
      <w:pPr>
        <w:spacing w:after="0" w:line="480" w:lineRule="auto"/>
        <w:jc w:val="both"/>
      </w:pPr>
      <w:r>
        <w:rPr>
          <w:rFonts w:ascii="Times New Roman" w:eastAsia="Times New Roman" w:hAnsi="Times New Roman"/>
          <w:sz w:val="24"/>
        </w:rPr>
        <w:t>25. Kheirandish S, Javadzadeh H, Mahmoodi M, Mousavi SH, Abbasi H. The effect of web-based educational intervention on caries-preventive oral health behaviors in pregnant women: an application of the health belief model. BMC Public Health. 2026;26:903. doi:10.1186/s12889-026-26315-6.</w:t>
      </w:r>
    </w:p>
    <w:p w14:paraId="6C614A11" w14:textId="77777777" w:rsidR="0079709A" w:rsidRDefault="00000000" w:rsidP="00E36BFB">
      <w:pPr>
        <w:spacing w:after="0" w:line="480" w:lineRule="auto"/>
        <w:jc w:val="both"/>
      </w:pPr>
      <w:r>
        <w:rPr>
          <w:rFonts w:ascii="Times New Roman" w:eastAsia="Times New Roman" w:hAnsi="Times New Roman"/>
          <w:sz w:val="24"/>
        </w:rPr>
        <w:t>26. Seyyedi SA, Dalirsani Z, Bahadori F, Askari N, Maleki M, Ghorbani Afkhami MR. Effect of an oral health education program on knowledge, attitude, and clinical oral health indices in pregnant women in Urmia, Iran: a nonrandomized controlled intervention study. Clin Exp Dent Res. 2026;12(2):e70357. doi:10.1002/cre2.70357.</w:t>
      </w:r>
    </w:p>
    <w:p w14:paraId="6B635580" w14:textId="77777777" w:rsidR="0079709A" w:rsidRDefault="00000000" w:rsidP="00E36BFB">
      <w:pPr>
        <w:spacing w:after="0" w:line="480" w:lineRule="auto"/>
        <w:jc w:val="both"/>
      </w:pPr>
      <w:r>
        <w:rPr>
          <w:rFonts w:ascii="Times New Roman" w:eastAsia="Times New Roman" w:hAnsi="Times New Roman"/>
          <w:sz w:val="24"/>
        </w:rPr>
        <w:t>27. Abd El-Kader AI, Abduo S, Hagrass SAA, Hassan MA. Maternal and neonatal outcomes for Egyptian primigravida women after antenatal dental health education program. Womens Health Rep (New Rochelle). 2025;6(1):671-680. doi:10.1089/whr.2024.0133.</w:t>
      </w:r>
    </w:p>
    <w:p w14:paraId="5CD3FBEB" w14:textId="77777777" w:rsidR="0079709A" w:rsidRDefault="00000000" w:rsidP="00E36BFB">
      <w:pPr>
        <w:spacing w:after="0" w:line="480" w:lineRule="auto"/>
        <w:jc w:val="both"/>
      </w:pPr>
      <w:r>
        <w:rPr>
          <w:rFonts w:ascii="Times New Roman" w:eastAsia="Times New Roman" w:hAnsi="Times New Roman"/>
          <w:sz w:val="24"/>
        </w:rPr>
        <w:lastRenderedPageBreak/>
        <w:t>28. Fratiwi W, Kristen A. Efforts to improve knowledge, attitudes and behaviors about dental and oral health through the use of TikTok app for pregnant women. J Cent Excell Health Assist Technol. 2024;2(2):119-122. doi:10.36082/jchat.v2i2.1870.</w:t>
      </w:r>
    </w:p>
    <w:p w14:paraId="4B746047" w14:textId="77777777" w:rsidR="0079709A" w:rsidRDefault="00000000" w:rsidP="00E36BFB">
      <w:pPr>
        <w:spacing w:after="0" w:line="480" w:lineRule="auto"/>
        <w:jc w:val="both"/>
      </w:pPr>
      <w:r>
        <w:rPr>
          <w:rFonts w:ascii="Times New Roman" w:eastAsia="Times New Roman" w:hAnsi="Times New Roman"/>
          <w:sz w:val="24"/>
        </w:rPr>
        <w:t>29. Aboalshamat K, Alzahrani E, Maqlan A, Almatrafi A, Alsulami A. Collaborative attitudes and trust among medical and dental professionals in Saudi Arabia. PLoS One. 2024;19(8):e0309744. doi:10.1371/journal.pone.0309744.</w:t>
      </w:r>
    </w:p>
    <w:p w14:paraId="4A9E71F0" w14:textId="77777777" w:rsidR="0079709A" w:rsidRDefault="00000000" w:rsidP="00E36BFB">
      <w:pPr>
        <w:spacing w:after="0" w:line="480" w:lineRule="auto"/>
        <w:jc w:val="both"/>
      </w:pPr>
      <w:r>
        <w:rPr>
          <w:rFonts w:ascii="Times New Roman" w:eastAsia="Times New Roman" w:hAnsi="Times New Roman"/>
          <w:sz w:val="24"/>
        </w:rPr>
        <w:t>30. Burgess A, van Diggele C, Roberts C, Mellis C. Teaching clinical handover with ISBAR. BMC Med Educ. 2020;20(Suppl 2):459. doi:10.1186/s12909-020-02285-0.</w:t>
      </w:r>
    </w:p>
    <w:p w14:paraId="3B85DE7A" w14:textId="77777777" w:rsidR="0079709A" w:rsidRDefault="00000000" w:rsidP="00E36BFB">
      <w:pPr>
        <w:spacing w:after="0" w:line="480" w:lineRule="auto"/>
        <w:jc w:val="both"/>
      </w:pPr>
      <w:r>
        <w:rPr>
          <w:rFonts w:ascii="Times New Roman" w:eastAsia="Times New Roman" w:hAnsi="Times New Roman"/>
          <w:sz w:val="24"/>
        </w:rPr>
        <w:t>31. Syahputra A, Wulandari P, Sinaga SM. Knowledge level, attitude, and behavior of midwifery students about periodontal health to pregnant women. Makassar Dent J. 2022;11(3):243-249. doi:10.35856/mdj.v11i3.635.</w:t>
      </w:r>
    </w:p>
    <w:p w14:paraId="19B4C371" w14:textId="77777777" w:rsidR="0079709A" w:rsidRDefault="00000000">
      <w:pPr>
        <w:keepNext/>
        <w:pageBreakBefore/>
        <w:spacing w:after="0" w:line="240" w:lineRule="auto"/>
      </w:pPr>
      <w:r>
        <w:rPr>
          <w:rFonts w:ascii="Times New Roman" w:eastAsia="Times New Roman" w:hAnsi="Times New Roman"/>
          <w:b/>
          <w:sz w:val="24"/>
        </w:rPr>
        <w:lastRenderedPageBreak/>
        <w:t>Table 1. Informant characteristics</w:t>
      </w:r>
    </w:p>
    <w:tbl>
      <w:tblPr>
        <w:tblW w:w="0" w:type="auto"/>
        <w:jc w:val="center"/>
        <w:tblBorders>
          <w:top w:val="single" w:sz="4" w:space="0" w:color="000000"/>
          <w:bottom w:val="single" w:sz="4" w:space="0" w:color="000000"/>
        </w:tblBorders>
        <w:tblLayout w:type="fixed"/>
        <w:tblLook w:val="04A0" w:firstRow="1" w:lastRow="0" w:firstColumn="1" w:lastColumn="0" w:noHBand="0" w:noVBand="1"/>
      </w:tblPr>
      <w:tblGrid>
        <w:gridCol w:w="936"/>
        <w:gridCol w:w="1368"/>
        <w:gridCol w:w="2880"/>
        <w:gridCol w:w="2592"/>
        <w:gridCol w:w="1440"/>
      </w:tblGrid>
      <w:tr w:rsidR="0079709A" w14:paraId="5E940468" w14:textId="77777777" w:rsidTr="00E36BFB">
        <w:trPr>
          <w:cantSplit/>
          <w:tblHeader/>
          <w:jc w:val="center"/>
        </w:trPr>
        <w:tc>
          <w:tcPr>
            <w:tcW w:w="936" w:type="dxa"/>
            <w:vAlign w:val="center"/>
          </w:tcPr>
          <w:p w14:paraId="46BA86B7" w14:textId="77777777" w:rsidR="0079709A" w:rsidRDefault="00000000">
            <w:pPr>
              <w:spacing w:after="0" w:line="240" w:lineRule="auto"/>
            </w:pPr>
            <w:r>
              <w:rPr>
                <w:rFonts w:ascii="Times New Roman" w:eastAsia="Times New Roman" w:hAnsi="Times New Roman"/>
                <w:b/>
                <w:sz w:val="18"/>
              </w:rPr>
              <w:t>Code</w:t>
            </w:r>
          </w:p>
        </w:tc>
        <w:tc>
          <w:tcPr>
            <w:tcW w:w="1368" w:type="dxa"/>
            <w:vAlign w:val="center"/>
          </w:tcPr>
          <w:p w14:paraId="7CCEEAF3" w14:textId="77777777" w:rsidR="0079709A" w:rsidRDefault="00000000">
            <w:pPr>
              <w:spacing w:after="0" w:line="240" w:lineRule="auto"/>
            </w:pPr>
            <w:r>
              <w:rPr>
                <w:rFonts w:ascii="Times New Roman" w:eastAsia="Times New Roman" w:hAnsi="Times New Roman"/>
                <w:b/>
                <w:sz w:val="18"/>
              </w:rPr>
              <w:t>Education</w:t>
            </w:r>
          </w:p>
        </w:tc>
        <w:tc>
          <w:tcPr>
            <w:tcW w:w="2880" w:type="dxa"/>
            <w:vAlign w:val="center"/>
          </w:tcPr>
          <w:p w14:paraId="29186FA1" w14:textId="77777777" w:rsidR="0079709A" w:rsidRDefault="00000000">
            <w:pPr>
              <w:spacing w:after="0" w:line="240" w:lineRule="auto"/>
            </w:pPr>
            <w:r>
              <w:rPr>
                <w:rFonts w:ascii="Times New Roman" w:eastAsia="Times New Roman" w:hAnsi="Times New Roman"/>
                <w:b/>
                <w:sz w:val="18"/>
              </w:rPr>
              <w:t>Profession / role</w:t>
            </w:r>
          </w:p>
        </w:tc>
        <w:tc>
          <w:tcPr>
            <w:tcW w:w="2592" w:type="dxa"/>
            <w:vAlign w:val="center"/>
          </w:tcPr>
          <w:p w14:paraId="297F3700" w14:textId="77777777" w:rsidR="0079709A" w:rsidRDefault="00000000">
            <w:pPr>
              <w:spacing w:after="0" w:line="240" w:lineRule="auto"/>
            </w:pPr>
            <w:r>
              <w:rPr>
                <w:rFonts w:ascii="Times New Roman" w:eastAsia="Times New Roman" w:hAnsi="Times New Roman"/>
                <w:b/>
                <w:sz w:val="18"/>
              </w:rPr>
              <w:t>Setting</w:t>
            </w:r>
          </w:p>
        </w:tc>
        <w:tc>
          <w:tcPr>
            <w:tcW w:w="1440" w:type="dxa"/>
            <w:vAlign w:val="center"/>
          </w:tcPr>
          <w:p w14:paraId="106DC7BB" w14:textId="77777777" w:rsidR="0079709A" w:rsidRDefault="00000000">
            <w:pPr>
              <w:spacing w:after="0" w:line="240" w:lineRule="auto"/>
            </w:pPr>
            <w:r>
              <w:rPr>
                <w:rFonts w:ascii="Times New Roman" w:eastAsia="Times New Roman" w:hAnsi="Times New Roman"/>
                <w:b/>
                <w:sz w:val="18"/>
              </w:rPr>
              <w:t>Work experience</w:t>
            </w:r>
          </w:p>
        </w:tc>
      </w:tr>
      <w:tr w:rsidR="0079709A" w14:paraId="25B616C7" w14:textId="77777777" w:rsidTr="00E36BFB">
        <w:trPr>
          <w:cantSplit/>
          <w:jc w:val="center"/>
        </w:trPr>
        <w:tc>
          <w:tcPr>
            <w:tcW w:w="936" w:type="dxa"/>
            <w:tcBorders>
              <w:top w:val="single" w:sz="4" w:space="0" w:color="auto"/>
            </w:tcBorders>
            <w:vAlign w:val="center"/>
          </w:tcPr>
          <w:p w14:paraId="6F7A01D0" w14:textId="77777777" w:rsidR="0079709A" w:rsidRDefault="00000000">
            <w:pPr>
              <w:spacing w:after="0" w:line="240" w:lineRule="auto"/>
            </w:pPr>
            <w:r>
              <w:rPr>
                <w:rFonts w:ascii="Times New Roman" w:eastAsia="Times New Roman" w:hAnsi="Times New Roman"/>
                <w:sz w:val="18"/>
              </w:rPr>
              <w:t>PPD</w:t>
            </w:r>
          </w:p>
        </w:tc>
        <w:tc>
          <w:tcPr>
            <w:tcW w:w="1368" w:type="dxa"/>
            <w:tcBorders>
              <w:top w:val="single" w:sz="4" w:space="0" w:color="auto"/>
            </w:tcBorders>
            <w:vAlign w:val="center"/>
          </w:tcPr>
          <w:p w14:paraId="36A48851" w14:textId="77777777" w:rsidR="0079709A" w:rsidRDefault="00000000">
            <w:pPr>
              <w:spacing w:after="0" w:line="240" w:lineRule="auto"/>
            </w:pPr>
            <w:r>
              <w:rPr>
                <w:rFonts w:ascii="Times New Roman" w:eastAsia="Times New Roman" w:hAnsi="Times New Roman"/>
                <w:sz w:val="18"/>
              </w:rPr>
              <w:t>Master's</w:t>
            </w:r>
          </w:p>
        </w:tc>
        <w:tc>
          <w:tcPr>
            <w:tcW w:w="2880" w:type="dxa"/>
            <w:tcBorders>
              <w:top w:val="single" w:sz="4" w:space="0" w:color="auto"/>
            </w:tcBorders>
            <w:vAlign w:val="center"/>
          </w:tcPr>
          <w:p w14:paraId="610E59B9" w14:textId="77777777" w:rsidR="0079709A" w:rsidRDefault="00000000">
            <w:pPr>
              <w:spacing w:after="0" w:line="240" w:lineRule="auto"/>
            </w:pPr>
            <w:r>
              <w:rPr>
                <w:rFonts w:ascii="Times New Roman" w:eastAsia="Times New Roman" w:hAnsi="Times New Roman"/>
                <w:sz w:val="18"/>
              </w:rPr>
              <w:t>Midwife / maternal and child health program manager</w:t>
            </w:r>
          </w:p>
        </w:tc>
        <w:tc>
          <w:tcPr>
            <w:tcW w:w="2592" w:type="dxa"/>
            <w:tcBorders>
              <w:top w:val="single" w:sz="4" w:space="0" w:color="auto"/>
            </w:tcBorders>
            <w:vAlign w:val="center"/>
          </w:tcPr>
          <w:p w14:paraId="7E95074A" w14:textId="77777777" w:rsidR="0079709A" w:rsidRDefault="00000000">
            <w:pPr>
              <w:spacing w:after="0" w:line="240" w:lineRule="auto"/>
            </w:pPr>
            <w:r>
              <w:rPr>
                <w:rFonts w:ascii="Times New Roman" w:eastAsia="Times New Roman" w:hAnsi="Times New Roman"/>
                <w:sz w:val="18"/>
              </w:rPr>
              <w:t>Health Office</w:t>
            </w:r>
          </w:p>
        </w:tc>
        <w:tc>
          <w:tcPr>
            <w:tcW w:w="1440" w:type="dxa"/>
            <w:tcBorders>
              <w:top w:val="single" w:sz="4" w:space="0" w:color="auto"/>
            </w:tcBorders>
            <w:vAlign w:val="center"/>
          </w:tcPr>
          <w:p w14:paraId="3645901A" w14:textId="77777777" w:rsidR="0079709A" w:rsidRDefault="00000000">
            <w:pPr>
              <w:spacing w:after="0" w:line="240" w:lineRule="auto"/>
            </w:pPr>
            <w:r>
              <w:rPr>
                <w:rFonts w:ascii="Times New Roman" w:eastAsia="Times New Roman" w:hAnsi="Times New Roman"/>
                <w:sz w:val="18"/>
              </w:rPr>
              <w:t>35 years</w:t>
            </w:r>
          </w:p>
        </w:tc>
      </w:tr>
      <w:tr w:rsidR="0079709A" w14:paraId="780DE5D1" w14:textId="77777777" w:rsidTr="00E36BFB">
        <w:trPr>
          <w:cantSplit/>
          <w:jc w:val="center"/>
        </w:trPr>
        <w:tc>
          <w:tcPr>
            <w:tcW w:w="936" w:type="dxa"/>
            <w:vAlign w:val="center"/>
          </w:tcPr>
          <w:p w14:paraId="5594A842" w14:textId="77777777" w:rsidR="0079709A" w:rsidRDefault="00000000">
            <w:pPr>
              <w:spacing w:after="0" w:line="240" w:lineRule="auto"/>
            </w:pPr>
            <w:r>
              <w:rPr>
                <w:rFonts w:ascii="Times New Roman" w:eastAsia="Times New Roman" w:hAnsi="Times New Roman"/>
                <w:sz w:val="18"/>
              </w:rPr>
              <w:t>PPP</w:t>
            </w:r>
          </w:p>
        </w:tc>
        <w:tc>
          <w:tcPr>
            <w:tcW w:w="1368" w:type="dxa"/>
            <w:vAlign w:val="center"/>
          </w:tcPr>
          <w:p w14:paraId="4307CF42" w14:textId="77777777" w:rsidR="0079709A" w:rsidRDefault="00000000">
            <w:pPr>
              <w:spacing w:after="0" w:line="240" w:lineRule="auto"/>
            </w:pPr>
            <w:r>
              <w:rPr>
                <w:rFonts w:ascii="Times New Roman" w:eastAsia="Times New Roman" w:hAnsi="Times New Roman"/>
                <w:sz w:val="18"/>
              </w:rPr>
              <w:t>Bachelor's</w:t>
            </w:r>
          </w:p>
        </w:tc>
        <w:tc>
          <w:tcPr>
            <w:tcW w:w="2880" w:type="dxa"/>
            <w:vAlign w:val="center"/>
          </w:tcPr>
          <w:p w14:paraId="1DA6E44E" w14:textId="77777777" w:rsidR="0079709A" w:rsidRDefault="00000000">
            <w:pPr>
              <w:spacing w:after="0" w:line="240" w:lineRule="auto"/>
            </w:pPr>
            <w:r>
              <w:rPr>
                <w:rFonts w:ascii="Times New Roman" w:eastAsia="Times New Roman" w:hAnsi="Times New Roman"/>
                <w:sz w:val="18"/>
              </w:rPr>
              <w:t>Midwife / maternal and child health program manager</w:t>
            </w:r>
          </w:p>
        </w:tc>
        <w:tc>
          <w:tcPr>
            <w:tcW w:w="2592" w:type="dxa"/>
            <w:vAlign w:val="center"/>
          </w:tcPr>
          <w:p w14:paraId="26914932" w14:textId="77777777" w:rsidR="0079709A" w:rsidRDefault="00000000">
            <w:pPr>
              <w:spacing w:after="0" w:line="240" w:lineRule="auto"/>
            </w:pPr>
            <w:r>
              <w:rPr>
                <w:rFonts w:ascii="Times New Roman" w:eastAsia="Times New Roman" w:hAnsi="Times New Roman"/>
                <w:sz w:val="18"/>
              </w:rPr>
              <w:t>Community Health Center X</w:t>
            </w:r>
          </w:p>
        </w:tc>
        <w:tc>
          <w:tcPr>
            <w:tcW w:w="1440" w:type="dxa"/>
            <w:vAlign w:val="center"/>
          </w:tcPr>
          <w:p w14:paraId="2EB1DA3B" w14:textId="77777777" w:rsidR="0079709A" w:rsidRDefault="00000000">
            <w:pPr>
              <w:spacing w:after="0" w:line="240" w:lineRule="auto"/>
            </w:pPr>
            <w:r>
              <w:rPr>
                <w:rFonts w:ascii="Times New Roman" w:eastAsia="Times New Roman" w:hAnsi="Times New Roman"/>
                <w:sz w:val="18"/>
              </w:rPr>
              <w:t>15 years</w:t>
            </w:r>
          </w:p>
        </w:tc>
      </w:tr>
      <w:tr w:rsidR="0079709A" w14:paraId="3E83731D" w14:textId="77777777" w:rsidTr="00E36BFB">
        <w:trPr>
          <w:cantSplit/>
          <w:jc w:val="center"/>
        </w:trPr>
        <w:tc>
          <w:tcPr>
            <w:tcW w:w="936" w:type="dxa"/>
            <w:vAlign w:val="center"/>
          </w:tcPr>
          <w:p w14:paraId="483681B4" w14:textId="77777777" w:rsidR="0079709A" w:rsidRDefault="00000000">
            <w:pPr>
              <w:spacing w:after="0" w:line="240" w:lineRule="auto"/>
            </w:pPr>
            <w:r>
              <w:rPr>
                <w:rFonts w:ascii="Times New Roman" w:eastAsia="Times New Roman" w:hAnsi="Times New Roman"/>
                <w:sz w:val="18"/>
              </w:rPr>
              <w:t>B1</w:t>
            </w:r>
          </w:p>
        </w:tc>
        <w:tc>
          <w:tcPr>
            <w:tcW w:w="1368" w:type="dxa"/>
            <w:vAlign w:val="center"/>
          </w:tcPr>
          <w:p w14:paraId="6E1ABD1D" w14:textId="77777777" w:rsidR="0079709A" w:rsidRDefault="00000000">
            <w:pPr>
              <w:spacing w:after="0" w:line="240" w:lineRule="auto"/>
            </w:pPr>
            <w:r>
              <w:rPr>
                <w:rFonts w:ascii="Times New Roman" w:eastAsia="Times New Roman" w:hAnsi="Times New Roman"/>
                <w:sz w:val="18"/>
              </w:rPr>
              <w:t>Diploma IV</w:t>
            </w:r>
          </w:p>
        </w:tc>
        <w:tc>
          <w:tcPr>
            <w:tcW w:w="2880" w:type="dxa"/>
            <w:vAlign w:val="center"/>
          </w:tcPr>
          <w:p w14:paraId="12D602DD" w14:textId="77777777" w:rsidR="0079709A" w:rsidRDefault="00000000">
            <w:pPr>
              <w:spacing w:after="0" w:line="240" w:lineRule="auto"/>
            </w:pPr>
            <w:r>
              <w:rPr>
                <w:rFonts w:ascii="Times New Roman" w:eastAsia="Times New Roman" w:hAnsi="Times New Roman"/>
                <w:sz w:val="18"/>
              </w:rPr>
              <w:t>Midwife</w:t>
            </w:r>
          </w:p>
        </w:tc>
        <w:tc>
          <w:tcPr>
            <w:tcW w:w="2592" w:type="dxa"/>
            <w:vAlign w:val="center"/>
          </w:tcPr>
          <w:p w14:paraId="37389F8B" w14:textId="77777777" w:rsidR="0079709A" w:rsidRDefault="00000000">
            <w:pPr>
              <w:spacing w:after="0" w:line="240" w:lineRule="auto"/>
            </w:pPr>
            <w:r>
              <w:rPr>
                <w:rFonts w:ascii="Times New Roman" w:eastAsia="Times New Roman" w:hAnsi="Times New Roman"/>
                <w:sz w:val="18"/>
              </w:rPr>
              <w:t>Community Health Center Y</w:t>
            </w:r>
          </w:p>
        </w:tc>
        <w:tc>
          <w:tcPr>
            <w:tcW w:w="1440" w:type="dxa"/>
            <w:vAlign w:val="center"/>
          </w:tcPr>
          <w:p w14:paraId="124D675F" w14:textId="77777777" w:rsidR="0079709A" w:rsidRDefault="00000000">
            <w:pPr>
              <w:spacing w:after="0" w:line="240" w:lineRule="auto"/>
            </w:pPr>
            <w:r>
              <w:rPr>
                <w:rFonts w:ascii="Times New Roman" w:eastAsia="Times New Roman" w:hAnsi="Times New Roman"/>
                <w:sz w:val="18"/>
              </w:rPr>
              <w:t>23 years</w:t>
            </w:r>
          </w:p>
        </w:tc>
      </w:tr>
      <w:tr w:rsidR="0079709A" w14:paraId="0EAC009F" w14:textId="77777777" w:rsidTr="00E36BFB">
        <w:trPr>
          <w:cantSplit/>
          <w:jc w:val="center"/>
        </w:trPr>
        <w:tc>
          <w:tcPr>
            <w:tcW w:w="936" w:type="dxa"/>
            <w:vAlign w:val="center"/>
          </w:tcPr>
          <w:p w14:paraId="53E403F0" w14:textId="77777777" w:rsidR="0079709A" w:rsidRDefault="00000000">
            <w:pPr>
              <w:spacing w:after="0" w:line="240" w:lineRule="auto"/>
            </w:pPr>
            <w:r>
              <w:rPr>
                <w:rFonts w:ascii="Times New Roman" w:eastAsia="Times New Roman" w:hAnsi="Times New Roman"/>
                <w:sz w:val="18"/>
              </w:rPr>
              <w:t>B2</w:t>
            </w:r>
          </w:p>
        </w:tc>
        <w:tc>
          <w:tcPr>
            <w:tcW w:w="1368" w:type="dxa"/>
            <w:vAlign w:val="center"/>
          </w:tcPr>
          <w:p w14:paraId="6D77F74F" w14:textId="77777777" w:rsidR="0079709A" w:rsidRDefault="00000000">
            <w:pPr>
              <w:spacing w:after="0" w:line="240" w:lineRule="auto"/>
            </w:pPr>
            <w:r>
              <w:rPr>
                <w:rFonts w:ascii="Times New Roman" w:eastAsia="Times New Roman" w:hAnsi="Times New Roman"/>
                <w:sz w:val="18"/>
              </w:rPr>
              <w:t>Master's</w:t>
            </w:r>
          </w:p>
        </w:tc>
        <w:tc>
          <w:tcPr>
            <w:tcW w:w="2880" w:type="dxa"/>
            <w:vAlign w:val="center"/>
          </w:tcPr>
          <w:p w14:paraId="2E578BD5" w14:textId="77777777" w:rsidR="0079709A" w:rsidRDefault="00000000">
            <w:pPr>
              <w:spacing w:after="0" w:line="240" w:lineRule="auto"/>
            </w:pPr>
            <w:r>
              <w:rPr>
                <w:rFonts w:ascii="Times New Roman" w:eastAsia="Times New Roman" w:hAnsi="Times New Roman"/>
                <w:sz w:val="18"/>
              </w:rPr>
              <w:t>Midwife</w:t>
            </w:r>
          </w:p>
        </w:tc>
        <w:tc>
          <w:tcPr>
            <w:tcW w:w="2592" w:type="dxa"/>
            <w:vAlign w:val="center"/>
          </w:tcPr>
          <w:p w14:paraId="6F9C4736" w14:textId="77777777" w:rsidR="0079709A" w:rsidRDefault="00000000">
            <w:pPr>
              <w:spacing w:after="0" w:line="240" w:lineRule="auto"/>
            </w:pPr>
            <w:r>
              <w:rPr>
                <w:rFonts w:ascii="Times New Roman" w:eastAsia="Times New Roman" w:hAnsi="Times New Roman"/>
                <w:sz w:val="18"/>
              </w:rPr>
              <w:t>Community Health Center Z</w:t>
            </w:r>
          </w:p>
        </w:tc>
        <w:tc>
          <w:tcPr>
            <w:tcW w:w="1440" w:type="dxa"/>
            <w:vAlign w:val="center"/>
          </w:tcPr>
          <w:p w14:paraId="5964E4D7" w14:textId="77777777" w:rsidR="0079709A" w:rsidRDefault="00000000">
            <w:pPr>
              <w:spacing w:after="0" w:line="240" w:lineRule="auto"/>
            </w:pPr>
            <w:r>
              <w:rPr>
                <w:rFonts w:ascii="Times New Roman" w:eastAsia="Times New Roman" w:hAnsi="Times New Roman"/>
                <w:sz w:val="18"/>
              </w:rPr>
              <w:t>28 years</w:t>
            </w:r>
          </w:p>
        </w:tc>
      </w:tr>
      <w:tr w:rsidR="0079709A" w14:paraId="4052A411" w14:textId="77777777" w:rsidTr="00E36BFB">
        <w:trPr>
          <w:cantSplit/>
          <w:jc w:val="center"/>
        </w:trPr>
        <w:tc>
          <w:tcPr>
            <w:tcW w:w="936" w:type="dxa"/>
            <w:vAlign w:val="center"/>
          </w:tcPr>
          <w:p w14:paraId="77A0988B" w14:textId="77777777" w:rsidR="0079709A" w:rsidRDefault="00000000">
            <w:pPr>
              <w:spacing w:after="0" w:line="240" w:lineRule="auto"/>
            </w:pPr>
            <w:r>
              <w:rPr>
                <w:rFonts w:ascii="Times New Roman" w:eastAsia="Times New Roman" w:hAnsi="Times New Roman"/>
                <w:sz w:val="18"/>
              </w:rPr>
              <w:t>PG1</w:t>
            </w:r>
          </w:p>
        </w:tc>
        <w:tc>
          <w:tcPr>
            <w:tcW w:w="1368" w:type="dxa"/>
            <w:vAlign w:val="center"/>
          </w:tcPr>
          <w:p w14:paraId="670902F5" w14:textId="77777777" w:rsidR="0079709A" w:rsidRDefault="00000000">
            <w:pPr>
              <w:spacing w:after="0" w:line="240" w:lineRule="auto"/>
            </w:pPr>
            <w:r>
              <w:rPr>
                <w:rFonts w:ascii="Times New Roman" w:eastAsia="Times New Roman" w:hAnsi="Times New Roman"/>
                <w:sz w:val="18"/>
              </w:rPr>
              <w:t>Diploma III</w:t>
            </w:r>
          </w:p>
        </w:tc>
        <w:tc>
          <w:tcPr>
            <w:tcW w:w="2880" w:type="dxa"/>
            <w:vAlign w:val="center"/>
          </w:tcPr>
          <w:p w14:paraId="5FC35196" w14:textId="77777777" w:rsidR="0079709A" w:rsidRDefault="00000000">
            <w:pPr>
              <w:spacing w:after="0" w:line="240" w:lineRule="auto"/>
            </w:pPr>
            <w:r>
              <w:rPr>
                <w:rFonts w:ascii="Times New Roman" w:eastAsia="Times New Roman" w:hAnsi="Times New Roman"/>
                <w:sz w:val="18"/>
              </w:rPr>
              <w:t>Dental nurse</w:t>
            </w:r>
          </w:p>
        </w:tc>
        <w:tc>
          <w:tcPr>
            <w:tcW w:w="2592" w:type="dxa"/>
            <w:vAlign w:val="center"/>
          </w:tcPr>
          <w:p w14:paraId="631DC680" w14:textId="77777777" w:rsidR="0079709A" w:rsidRDefault="00000000">
            <w:pPr>
              <w:spacing w:after="0" w:line="240" w:lineRule="auto"/>
            </w:pPr>
            <w:r>
              <w:rPr>
                <w:rFonts w:ascii="Times New Roman" w:eastAsia="Times New Roman" w:hAnsi="Times New Roman"/>
                <w:sz w:val="18"/>
              </w:rPr>
              <w:t>Community Health Center X</w:t>
            </w:r>
          </w:p>
        </w:tc>
        <w:tc>
          <w:tcPr>
            <w:tcW w:w="1440" w:type="dxa"/>
            <w:vAlign w:val="center"/>
          </w:tcPr>
          <w:p w14:paraId="085502A2" w14:textId="77777777" w:rsidR="0079709A" w:rsidRDefault="00000000">
            <w:pPr>
              <w:spacing w:after="0" w:line="240" w:lineRule="auto"/>
            </w:pPr>
            <w:r>
              <w:rPr>
                <w:rFonts w:ascii="Times New Roman" w:eastAsia="Times New Roman" w:hAnsi="Times New Roman"/>
                <w:sz w:val="18"/>
              </w:rPr>
              <w:t>33 years</w:t>
            </w:r>
          </w:p>
        </w:tc>
      </w:tr>
      <w:tr w:rsidR="0079709A" w14:paraId="717DC2AC" w14:textId="77777777" w:rsidTr="00E36BFB">
        <w:trPr>
          <w:cantSplit/>
          <w:jc w:val="center"/>
        </w:trPr>
        <w:tc>
          <w:tcPr>
            <w:tcW w:w="936" w:type="dxa"/>
            <w:vAlign w:val="center"/>
          </w:tcPr>
          <w:p w14:paraId="3D6D0840" w14:textId="77777777" w:rsidR="0079709A" w:rsidRDefault="00000000">
            <w:pPr>
              <w:spacing w:after="0" w:line="240" w:lineRule="auto"/>
            </w:pPr>
            <w:r>
              <w:rPr>
                <w:rFonts w:ascii="Times New Roman" w:eastAsia="Times New Roman" w:hAnsi="Times New Roman"/>
                <w:sz w:val="18"/>
              </w:rPr>
              <w:t>PG2</w:t>
            </w:r>
          </w:p>
        </w:tc>
        <w:tc>
          <w:tcPr>
            <w:tcW w:w="1368" w:type="dxa"/>
            <w:vAlign w:val="center"/>
          </w:tcPr>
          <w:p w14:paraId="1AE2648E" w14:textId="77777777" w:rsidR="0079709A" w:rsidRDefault="00000000">
            <w:pPr>
              <w:spacing w:after="0" w:line="240" w:lineRule="auto"/>
            </w:pPr>
            <w:r>
              <w:rPr>
                <w:rFonts w:ascii="Times New Roman" w:eastAsia="Times New Roman" w:hAnsi="Times New Roman"/>
                <w:sz w:val="18"/>
              </w:rPr>
              <w:t>Diploma III</w:t>
            </w:r>
          </w:p>
        </w:tc>
        <w:tc>
          <w:tcPr>
            <w:tcW w:w="2880" w:type="dxa"/>
            <w:vAlign w:val="center"/>
          </w:tcPr>
          <w:p w14:paraId="7A38653D" w14:textId="77777777" w:rsidR="0079709A" w:rsidRDefault="00000000">
            <w:pPr>
              <w:spacing w:after="0" w:line="240" w:lineRule="auto"/>
            </w:pPr>
            <w:r>
              <w:rPr>
                <w:rFonts w:ascii="Times New Roman" w:eastAsia="Times New Roman" w:hAnsi="Times New Roman"/>
                <w:sz w:val="18"/>
              </w:rPr>
              <w:t>Dental nurse</w:t>
            </w:r>
          </w:p>
        </w:tc>
        <w:tc>
          <w:tcPr>
            <w:tcW w:w="2592" w:type="dxa"/>
            <w:vAlign w:val="center"/>
          </w:tcPr>
          <w:p w14:paraId="6090C434" w14:textId="77777777" w:rsidR="0079709A" w:rsidRDefault="00000000">
            <w:pPr>
              <w:spacing w:after="0" w:line="240" w:lineRule="auto"/>
            </w:pPr>
            <w:r>
              <w:rPr>
                <w:rFonts w:ascii="Times New Roman" w:eastAsia="Times New Roman" w:hAnsi="Times New Roman"/>
                <w:sz w:val="18"/>
              </w:rPr>
              <w:t>Community Health Center Y</w:t>
            </w:r>
          </w:p>
        </w:tc>
        <w:tc>
          <w:tcPr>
            <w:tcW w:w="1440" w:type="dxa"/>
            <w:vAlign w:val="center"/>
          </w:tcPr>
          <w:p w14:paraId="2CC3E039" w14:textId="77777777" w:rsidR="0079709A" w:rsidRDefault="00000000">
            <w:pPr>
              <w:spacing w:after="0" w:line="240" w:lineRule="auto"/>
            </w:pPr>
            <w:r>
              <w:rPr>
                <w:rFonts w:ascii="Times New Roman" w:eastAsia="Times New Roman" w:hAnsi="Times New Roman"/>
                <w:sz w:val="18"/>
              </w:rPr>
              <w:t>30 years</w:t>
            </w:r>
          </w:p>
        </w:tc>
      </w:tr>
      <w:tr w:rsidR="0079709A" w14:paraId="073856B3" w14:textId="77777777" w:rsidTr="00E36BFB">
        <w:trPr>
          <w:cantSplit/>
          <w:jc w:val="center"/>
        </w:trPr>
        <w:tc>
          <w:tcPr>
            <w:tcW w:w="936" w:type="dxa"/>
            <w:vAlign w:val="center"/>
          </w:tcPr>
          <w:p w14:paraId="00A223C5" w14:textId="77777777" w:rsidR="0079709A" w:rsidRDefault="00000000">
            <w:pPr>
              <w:spacing w:after="0" w:line="240" w:lineRule="auto"/>
            </w:pPr>
            <w:r>
              <w:rPr>
                <w:rFonts w:ascii="Times New Roman" w:eastAsia="Times New Roman" w:hAnsi="Times New Roman"/>
                <w:sz w:val="18"/>
              </w:rPr>
              <w:t>PG3</w:t>
            </w:r>
          </w:p>
        </w:tc>
        <w:tc>
          <w:tcPr>
            <w:tcW w:w="1368" w:type="dxa"/>
            <w:vAlign w:val="center"/>
          </w:tcPr>
          <w:p w14:paraId="6742E39A" w14:textId="77777777" w:rsidR="0079709A" w:rsidRDefault="00000000">
            <w:pPr>
              <w:spacing w:after="0" w:line="240" w:lineRule="auto"/>
            </w:pPr>
            <w:r>
              <w:rPr>
                <w:rFonts w:ascii="Times New Roman" w:eastAsia="Times New Roman" w:hAnsi="Times New Roman"/>
                <w:sz w:val="18"/>
              </w:rPr>
              <w:t>Diploma III</w:t>
            </w:r>
          </w:p>
        </w:tc>
        <w:tc>
          <w:tcPr>
            <w:tcW w:w="2880" w:type="dxa"/>
            <w:vAlign w:val="center"/>
          </w:tcPr>
          <w:p w14:paraId="0C227D24" w14:textId="77777777" w:rsidR="0079709A" w:rsidRDefault="00000000">
            <w:pPr>
              <w:spacing w:after="0" w:line="240" w:lineRule="auto"/>
            </w:pPr>
            <w:r>
              <w:rPr>
                <w:rFonts w:ascii="Times New Roman" w:eastAsia="Times New Roman" w:hAnsi="Times New Roman"/>
                <w:sz w:val="18"/>
              </w:rPr>
              <w:t>Dental nurse</w:t>
            </w:r>
          </w:p>
        </w:tc>
        <w:tc>
          <w:tcPr>
            <w:tcW w:w="2592" w:type="dxa"/>
            <w:vAlign w:val="center"/>
          </w:tcPr>
          <w:p w14:paraId="22278620" w14:textId="77777777" w:rsidR="0079709A" w:rsidRDefault="00000000">
            <w:pPr>
              <w:spacing w:after="0" w:line="240" w:lineRule="auto"/>
            </w:pPr>
            <w:r>
              <w:rPr>
                <w:rFonts w:ascii="Times New Roman" w:eastAsia="Times New Roman" w:hAnsi="Times New Roman"/>
                <w:sz w:val="18"/>
              </w:rPr>
              <w:t>Community Health Center Z</w:t>
            </w:r>
          </w:p>
        </w:tc>
        <w:tc>
          <w:tcPr>
            <w:tcW w:w="1440" w:type="dxa"/>
            <w:vAlign w:val="center"/>
          </w:tcPr>
          <w:p w14:paraId="61514E5E" w14:textId="77777777" w:rsidR="0079709A" w:rsidRDefault="00000000">
            <w:pPr>
              <w:spacing w:after="0" w:line="240" w:lineRule="auto"/>
            </w:pPr>
            <w:r>
              <w:rPr>
                <w:rFonts w:ascii="Times New Roman" w:eastAsia="Times New Roman" w:hAnsi="Times New Roman"/>
                <w:sz w:val="18"/>
              </w:rPr>
              <w:t>25 years</w:t>
            </w:r>
          </w:p>
        </w:tc>
      </w:tr>
      <w:tr w:rsidR="0079709A" w14:paraId="48B3D065" w14:textId="77777777" w:rsidTr="00E36BFB">
        <w:trPr>
          <w:cantSplit/>
          <w:jc w:val="center"/>
        </w:trPr>
        <w:tc>
          <w:tcPr>
            <w:tcW w:w="936" w:type="dxa"/>
            <w:vAlign w:val="center"/>
          </w:tcPr>
          <w:p w14:paraId="1762CFBF" w14:textId="77777777" w:rsidR="0079709A" w:rsidRDefault="00000000">
            <w:pPr>
              <w:spacing w:after="0" w:line="240" w:lineRule="auto"/>
            </w:pPr>
            <w:r>
              <w:rPr>
                <w:rFonts w:ascii="Times New Roman" w:eastAsia="Times New Roman" w:hAnsi="Times New Roman"/>
                <w:sz w:val="18"/>
              </w:rPr>
              <w:t>IB1</w:t>
            </w:r>
          </w:p>
        </w:tc>
        <w:tc>
          <w:tcPr>
            <w:tcW w:w="1368" w:type="dxa"/>
            <w:vAlign w:val="center"/>
          </w:tcPr>
          <w:p w14:paraId="44C88723" w14:textId="77777777" w:rsidR="0079709A" w:rsidRDefault="00000000">
            <w:pPr>
              <w:spacing w:after="0" w:line="240" w:lineRule="auto"/>
            </w:pPr>
            <w:r>
              <w:rPr>
                <w:rFonts w:ascii="Times New Roman" w:eastAsia="Times New Roman" w:hAnsi="Times New Roman"/>
                <w:sz w:val="18"/>
              </w:rPr>
              <w:t>Senior high school</w:t>
            </w:r>
          </w:p>
        </w:tc>
        <w:tc>
          <w:tcPr>
            <w:tcW w:w="2880" w:type="dxa"/>
            <w:vAlign w:val="center"/>
          </w:tcPr>
          <w:p w14:paraId="5BF51EC2" w14:textId="77777777" w:rsidR="0079709A" w:rsidRDefault="00000000">
            <w:pPr>
              <w:spacing w:after="0" w:line="240" w:lineRule="auto"/>
            </w:pPr>
            <w:r>
              <w:rPr>
                <w:rFonts w:ascii="Times New Roman" w:eastAsia="Times New Roman" w:hAnsi="Times New Roman"/>
                <w:sz w:val="18"/>
              </w:rPr>
              <w:t>Housewife / pregnant woman</w:t>
            </w:r>
          </w:p>
        </w:tc>
        <w:tc>
          <w:tcPr>
            <w:tcW w:w="2592" w:type="dxa"/>
            <w:vAlign w:val="center"/>
          </w:tcPr>
          <w:p w14:paraId="65A9D888" w14:textId="77777777" w:rsidR="0079709A" w:rsidRDefault="00000000">
            <w:pPr>
              <w:spacing w:after="0" w:line="240" w:lineRule="auto"/>
            </w:pPr>
            <w:r>
              <w:rPr>
                <w:rFonts w:ascii="Times New Roman" w:eastAsia="Times New Roman" w:hAnsi="Times New Roman"/>
                <w:sz w:val="18"/>
              </w:rPr>
              <w:t>Community Health Center X</w:t>
            </w:r>
          </w:p>
        </w:tc>
        <w:tc>
          <w:tcPr>
            <w:tcW w:w="1440" w:type="dxa"/>
            <w:tcBorders>
              <w:top w:val="single" w:sz="4" w:space="0" w:color="auto"/>
            </w:tcBorders>
            <w:vAlign w:val="center"/>
          </w:tcPr>
          <w:p w14:paraId="3FE4D45D" w14:textId="77777777" w:rsidR="0079709A" w:rsidRDefault="00000000">
            <w:pPr>
              <w:spacing w:after="0" w:line="240" w:lineRule="auto"/>
            </w:pPr>
            <w:r>
              <w:rPr>
                <w:rFonts w:ascii="Times New Roman" w:eastAsia="Times New Roman" w:hAnsi="Times New Roman"/>
                <w:sz w:val="18"/>
              </w:rPr>
              <w:t>-</w:t>
            </w:r>
          </w:p>
        </w:tc>
      </w:tr>
      <w:tr w:rsidR="0079709A" w14:paraId="7A93E295" w14:textId="77777777" w:rsidTr="00E36BFB">
        <w:trPr>
          <w:cantSplit/>
          <w:jc w:val="center"/>
        </w:trPr>
        <w:tc>
          <w:tcPr>
            <w:tcW w:w="936" w:type="dxa"/>
            <w:vAlign w:val="center"/>
          </w:tcPr>
          <w:p w14:paraId="354EA003" w14:textId="77777777" w:rsidR="0079709A" w:rsidRDefault="00000000">
            <w:pPr>
              <w:spacing w:after="0" w:line="240" w:lineRule="auto"/>
            </w:pPr>
            <w:r>
              <w:rPr>
                <w:rFonts w:ascii="Times New Roman" w:eastAsia="Times New Roman" w:hAnsi="Times New Roman"/>
                <w:sz w:val="18"/>
              </w:rPr>
              <w:t>IB2</w:t>
            </w:r>
          </w:p>
        </w:tc>
        <w:tc>
          <w:tcPr>
            <w:tcW w:w="1368" w:type="dxa"/>
            <w:vAlign w:val="center"/>
          </w:tcPr>
          <w:p w14:paraId="245D6D75" w14:textId="77777777" w:rsidR="0079709A" w:rsidRDefault="00000000">
            <w:pPr>
              <w:spacing w:after="0" w:line="240" w:lineRule="auto"/>
            </w:pPr>
            <w:r>
              <w:rPr>
                <w:rFonts w:ascii="Times New Roman" w:eastAsia="Times New Roman" w:hAnsi="Times New Roman"/>
                <w:sz w:val="18"/>
              </w:rPr>
              <w:t>Senior high school</w:t>
            </w:r>
          </w:p>
        </w:tc>
        <w:tc>
          <w:tcPr>
            <w:tcW w:w="2880" w:type="dxa"/>
            <w:vAlign w:val="center"/>
          </w:tcPr>
          <w:p w14:paraId="2F3CD73B" w14:textId="77777777" w:rsidR="0079709A" w:rsidRDefault="00000000">
            <w:pPr>
              <w:spacing w:after="0" w:line="240" w:lineRule="auto"/>
            </w:pPr>
            <w:r>
              <w:rPr>
                <w:rFonts w:ascii="Times New Roman" w:eastAsia="Times New Roman" w:hAnsi="Times New Roman"/>
                <w:sz w:val="18"/>
              </w:rPr>
              <w:t>Housewife / pregnant woman</w:t>
            </w:r>
          </w:p>
        </w:tc>
        <w:tc>
          <w:tcPr>
            <w:tcW w:w="2592" w:type="dxa"/>
            <w:vAlign w:val="center"/>
          </w:tcPr>
          <w:p w14:paraId="4C19AEFA" w14:textId="77777777" w:rsidR="0079709A" w:rsidRDefault="00000000">
            <w:pPr>
              <w:spacing w:after="0" w:line="240" w:lineRule="auto"/>
            </w:pPr>
            <w:r>
              <w:rPr>
                <w:rFonts w:ascii="Times New Roman" w:eastAsia="Times New Roman" w:hAnsi="Times New Roman"/>
                <w:sz w:val="18"/>
              </w:rPr>
              <w:t>Community Health Center Y</w:t>
            </w:r>
          </w:p>
        </w:tc>
        <w:tc>
          <w:tcPr>
            <w:tcW w:w="1440" w:type="dxa"/>
            <w:vAlign w:val="center"/>
          </w:tcPr>
          <w:p w14:paraId="105A7DAC" w14:textId="77777777" w:rsidR="0079709A" w:rsidRDefault="00000000">
            <w:pPr>
              <w:spacing w:after="0" w:line="240" w:lineRule="auto"/>
            </w:pPr>
            <w:r>
              <w:rPr>
                <w:rFonts w:ascii="Times New Roman" w:eastAsia="Times New Roman" w:hAnsi="Times New Roman"/>
                <w:sz w:val="18"/>
              </w:rPr>
              <w:t>-</w:t>
            </w:r>
          </w:p>
        </w:tc>
      </w:tr>
      <w:tr w:rsidR="0079709A" w14:paraId="5DB328DD" w14:textId="77777777" w:rsidTr="00E36BFB">
        <w:trPr>
          <w:cantSplit/>
          <w:jc w:val="center"/>
        </w:trPr>
        <w:tc>
          <w:tcPr>
            <w:tcW w:w="936" w:type="dxa"/>
            <w:vAlign w:val="center"/>
          </w:tcPr>
          <w:p w14:paraId="166869B0" w14:textId="77777777" w:rsidR="0079709A" w:rsidRDefault="00000000">
            <w:pPr>
              <w:spacing w:after="0" w:line="240" w:lineRule="auto"/>
            </w:pPr>
            <w:r>
              <w:rPr>
                <w:rFonts w:ascii="Times New Roman" w:eastAsia="Times New Roman" w:hAnsi="Times New Roman"/>
                <w:sz w:val="18"/>
              </w:rPr>
              <w:t>IB3</w:t>
            </w:r>
          </w:p>
        </w:tc>
        <w:tc>
          <w:tcPr>
            <w:tcW w:w="1368" w:type="dxa"/>
            <w:vAlign w:val="center"/>
          </w:tcPr>
          <w:p w14:paraId="3EAB4CA5" w14:textId="77777777" w:rsidR="0079709A" w:rsidRDefault="00000000">
            <w:pPr>
              <w:spacing w:after="0" w:line="240" w:lineRule="auto"/>
            </w:pPr>
            <w:r>
              <w:rPr>
                <w:rFonts w:ascii="Times New Roman" w:eastAsia="Times New Roman" w:hAnsi="Times New Roman"/>
                <w:sz w:val="18"/>
              </w:rPr>
              <w:t>Bachelor's</w:t>
            </w:r>
          </w:p>
        </w:tc>
        <w:tc>
          <w:tcPr>
            <w:tcW w:w="2880" w:type="dxa"/>
            <w:vAlign w:val="center"/>
          </w:tcPr>
          <w:p w14:paraId="4CA82943" w14:textId="77777777" w:rsidR="0079709A" w:rsidRDefault="00000000">
            <w:pPr>
              <w:spacing w:after="0" w:line="240" w:lineRule="auto"/>
            </w:pPr>
            <w:r>
              <w:rPr>
                <w:rFonts w:ascii="Times New Roman" w:eastAsia="Times New Roman" w:hAnsi="Times New Roman"/>
                <w:sz w:val="18"/>
              </w:rPr>
              <w:t>Physician / pregnant woman</w:t>
            </w:r>
          </w:p>
        </w:tc>
        <w:tc>
          <w:tcPr>
            <w:tcW w:w="2592" w:type="dxa"/>
            <w:vAlign w:val="center"/>
          </w:tcPr>
          <w:p w14:paraId="6A43C894" w14:textId="77777777" w:rsidR="0079709A" w:rsidRDefault="00000000">
            <w:pPr>
              <w:spacing w:after="0" w:line="240" w:lineRule="auto"/>
            </w:pPr>
            <w:r>
              <w:rPr>
                <w:rFonts w:ascii="Times New Roman" w:eastAsia="Times New Roman" w:hAnsi="Times New Roman"/>
                <w:sz w:val="18"/>
              </w:rPr>
              <w:t>Community Health Center Z</w:t>
            </w:r>
          </w:p>
        </w:tc>
        <w:tc>
          <w:tcPr>
            <w:tcW w:w="1440" w:type="dxa"/>
            <w:vAlign w:val="center"/>
          </w:tcPr>
          <w:p w14:paraId="4572BC6B" w14:textId="77777777" w:rsidR="0079709A" w:rsidRDefault="00000000">
            <w:pPr>
              <w:spacing w:after="0" w:line="240" w:lineRule="auto"/>
            </w:pPr>
            <w:r>
              <w:rPr>
                <w:rFonts w:ascii="Times New Roman" w:eastAsia="Times New Roman" w:hAnsi="Times New Roman"/>
                <w:sz w:val="18"/>
              </w:rPr>
              <w:t>-</w:t>
            </w:r>
          </w:p>
        </w:tc>
      </w:tr>
      <w:tr w:rsidR="0079709A" w14:paraId="110EBFE8" w14:textId="77777777" w:rsidTr="00E36BFB">
        <w:trPr>
          <w:cantSplit/>
          <w:jc w:val="center"/>
        </w:trPr>
        <w:tc>
          <w:tcPr>
            <w:tcW w:w="936" w:type="dxa"/>
            <w:vAlign w:val="center"/>
          </w:tcPr>
          <w:p w14:paraId="3D3397E0" w14:textId="77777777" w:rsidR="0079709A" w:rsidRDefault="00000000">
            <w:pPr>
              <w:spacing w:after="0" w:line="240" w:lineRule="auto"/>
            </w:pPr>
            <w:r>
              <w:rPr>
                <w:rFonts w:ascii="Times New Roman" w:eastAsia="Times New Roman" w:hAnsi="Times New Roman"/>
                <w:sz w:val="18"/>
              </w:rPr>
              <w:t>IB4</w:t>
            </w:r>
          </w:p>
        </w:tc>
        <w:tc>
          <w:tcPr>
            <w:tcW w:w="1368" w:type="dxa"/>
            <w:vAlign w:val="center"/>
          </w:tcPr>
          <w:p w14:paraId="7F56544C" w14:textId="77777777" w:rsidR="0079709A" w:rsidRDefault="00000000">
            <w:pPr>
              <w:spacing w:after="0" w:line="240" w:lineRule="auto"/>
            </w:pPr>
            <w:r>
              <w:rPr>
                <w:rFonts w:ascii="Times New Roman" w:eastAsia="Times New Roman" w:hAnsi="Times New Roman"/>
                <w:sz w:val="18"/>
              </w:rPr>
              <w:t>Bachelor's</w:t>
            </w:r>
          </w:p>
        </w:tc>
        <w:tc>
          <w:tcPr>
            <w:tcW w:w="2880" w:type="dxa"/>
            <w:vAlign w:val="center"/>
          </w:tcPr>
          <w:p w14:paraId="2DECE557" w14:textId="77777777" w:rsidR="0079709A" w:rsidRDefault="00000000">
            <w:pPr>
              <w:spacing w:after="0" w:line="240" w:lineRule="auto"/>
            </w:pPr>
            <w:r>
              <w:rPr>
                <w:rFonts w:ascii="Times New Roman" w:eastAsia="Times New Roman" w:hAnsi="Times New Roman"/>
                <w:sz w:val="18"/>
              </w:rPr>
              <w:t>Teacher / pregnant woman</w:t>
            </w:r>
          </w:p>
        </w:tc>
        <w:tc>
          <w:tcPr>
            <w:tcW w:w="2592" w:type="dxa"/>
            <w:vAlign w:val="center"/>
          </w:tcPr>
          <w:p w14:paraId="74270CA6" w14:textId="77777777" w:rsidR="0079709A" w:rsidRDefault="00000000">
            <w:pPr>
              <w:spacing w:after="0" w:line="240" w:lineRule="auto"/>
            </w:pPr>
            <w:r>
              <w:rPr>
                <w:rFonts w:ascii="Times New Roman" w:eastAsia="Times New Roman" w:hAnsi="Times New Roman"/>
                <w:sz w:val="18"/>
              </w:rPr>
              <w:t>Community Health Center Z</w:t>
            </w:r>
          </w:p>
        </w:tc>
        <w:tc>
          <w:tcPr>
            <w:tcW w:w="1440" w:type="dxa"/>
            <w:vAlign w:val="center"/>
          </w:tcPr>
          <w:p w14:paraId="191D388A" w14:textId="77777777" w:rsidR="0079709A" w:rsidRDefault="00000000">
            <w:pPr>
              <w:spacing w:after="0" w:line="240" w:lineRule="auto"/>
            </w:pPr>
            <w:r>
              <w:rPr>
                <w:rFonts w:ascii="Times New Roman" w:eastAsia="Times New Roman" w:hAnsi="Times New Roman"/>
                <w:sz w:val="18"/>
              </w:rPr>
              <w:t>-</w:t>
            </w:r>
          </w:p>
        </w:tc>
      </w:tr>
    </w:tbl>
    <w:p w14:paraId="7DE4DC7A" w14:textId="77777777" w:rsidR="00CA5711" w:rsidRDefault="00CA5711"/>
    <w:sectPr w:rsidR="00CA5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34F9"/>
    <w:multiLevelType w:val="hybridMultilevel"/>
    <w:tmpl w:val="D2521134"/>
    <w:lvl w:ilvl="0" w:tplc="4F0E60D6">
      <w:numFmt w:val="bullet"/>
      <w:lvlText w:val=""/>
      <w:lvlJc w:val="left"/>
      <w:pPr>
        <w:ind w:left="630" w:hanging="360"/>
      </w:pPr>
      <w:rPr>
        <w:rFonts w:ascii="Symbol" w:eastAsiaTheme="minorHAnsi" w:hAnsi="Symbol" w:cstheme="minorBidi" w:hint="default"/>
        <w:color w:val="C00000"/>
        <w:sz w:val="2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344B54C4"/>
    <w:multiLevelType w:val="hybridMultilevel"/>
    <w:tmpl w:val="613008AC"/>
    <w:lvl w:ilvl="0" w:tplc="4C4EB4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818546">
    <w:abstractNumId w:val="0"/>
  </w:num>
  <w:num w:numId="2" w16cid:durableId="918946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26"/>
    <w:rsid w:val="000173D1"/>
    <w:rsid w:val="00020EAD"/>
    <w:rsid w:val="00022AB3"/>
    <w:rsid w:val="000A34D6"/>
    <w:rsid w:val="000C6A11"/>
    <w:rsid w:val="00165748"/>
    <w:rsid w:val="00191325"/>
    <w:rsid w:val="00261ED9"/>
    <w:rsid w:val="002A6BF9"/>
    <w:rsid w:val="002F5FD2"/>
    <w:rsid w:val="0035554C"/>
    <w:rsid w:val="00393147"/>
    <w:rsid w:val="004211C7"/>
    <w:rsid w:val="00480F26"/>
    <w:rsid w:val="004E125D"/>
    <w:rsid w:val="00545B12"/>
    <w:rsid w:val="00560581"/>
    <w:rsid w:val="00702C37"/>
    <w:rsid w:val="007135C4"/>
    <w:rsid w:val="0077246D"/>
    <w:rsid w:val="0079709A"/>
    <w:rsid w:val="00862201"/>
    <w:rsid w:val="008A6E38"/>
    <w:rsid w:val="008F01B4"/>
    <w:rsid w:val="009460DB"/>
    <w:rsid w:val="00A05719"/>
    <w:rsid w:val="00A73659"/>
    <w:rsid w:val="00BA5F5B"/>
    <w:rsid w:val="00BB1667"/>
    <w:rsid w:val="00C5343F"/>
    <w:rsid w:val="00C61934"/>
    <w:rsid w:val="00C72DC4"/>
    <w:rsid w:val="00C74673"/>
    <w:rsid w:val="00CA5711"/>
    <w:rsid w:val="00CB5DD4"/>
    <w:rsid w:val="00DC0F5A"/>
    <w:rsid w:val="00E36BFB"/>
    <w:rsid w:val="00E5107F"/>
    <w:rsid w:val="00E80309"/>
    <w:rsid w:val="00EF4BC7"/>
    <w:rsid w:val="00FC64AB"/>
    <w:rsid w:val="00FE03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8B875"/>
  <w15:chartTrackingRefBased/>
  <w15:docId w15:val="{1611FDF5-2BCF-4D3B-8D6B-0E4BB556F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F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F5B"/>
    <w:pPr>
      <w:ind w:left="720"/>
      <w:contextualSpacing/>
    </w:pPr>
  </w:style>
  <w:style w:type="character" w:styleId="Hyperlink">
    <w:name w:val="Hyperlink"/>
    <w:basedOn w:val="DefaultParagraphFont"/>
    <w:uiPriority w:val="99"/>
    <w:unhideWhenUsed/>
    <w:rsid w:val="00C61934"/>
    <w:rPr>
      <w:color w:val="0563C1" w:themeColor="hyperlink"/>
      <w:u w:val="single"/>
    </w:rPr>
  </w:style>
  <w:style w:type="character" w:styleId="UnresolvedMention">
    <w:name w:val="Unresolved Mention"/>
    <w:basedOn w:val="DefaultParagraphFont"/>
    <w:uiPriority w:val="99"/>
    <w:semiHidden/>
    <w:unhideWhenUsed/>
    <w:rsid w:val="00C61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5179</Words>
  <Characters>29526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Barriers to Pregnancy Gingivitis Prevention and Digital Support Needs: An Interpretative Phenomenological Study</vt:lpstr>
    </vt:vector>
  </TitlesOfParts>
  <Company/>
  <LinksUpToDate>false</LinksUpToDate>
  <CharactersWithSpaces>34636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Barriers to Pregnancy Gingivitis Prevention and Digital Support Needs: An Interpretative Phenomenological Study</dc:title>
  <dc:subject/>
  <dc:creator/>
  <cp:keywords/>
  <dc:description/>
  <cp:lastModifiedBy>PT. ANOA SEJAHTERA MANDIRI 06</cp:lastModifiedBy>
  <cp:revision>37</cp:revision>
  <dcterms:created xsi:type="dcterms:W3CDTF">2024-05-05T07:35:00Z</dcterms:created>
  <dcterms:modified xsi:type="dcterms:W3CDTF">2026-08-10T08:48:00Z</dcterms:modified>
  <cp:category/>
</cp:coreProperties>
</file>