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Editor-in-Chief,</w:t>
      </w:r>
    </w:p>
    <w:p>
      <w:r>
        <w:t>Translational Research in Urology</w:t>
      </w:r>
    </w:p>
    <w:p>
      <w:r>
        <w:rPr>
          <w:rFonts w:ascii="Times New Roman" w:hAnsi="Times New Roman" w:cs="Times New Roman"/>
          <w:b/>
          <w:sz w:val="24"/>
        </w:rPr>
        <w:t>Re: Submission of “Iatrogenic Glans Penis Injury During Circumcision: Clinical Spectrum, Mechanisms, and Medicolegal Implications—A Systematic Review” as a Systematic Review</w:t>
      </w:r>
    </w:p>
    <w:p>
      <w:pPr>
        <w:spacing w:line="360" w:lineRule="auto"/>
      </w:pPr>
      <w:r>
        <w:t>We are pleased to submit the above manuscript for consideration in Translational Research in Urology. This systematic review synthesizes evidence on the clinical spectrum, mechanisms, reported contributing factors, management outcomes, and medicolegal implications of iatrogenic glans and penile injury associated with circumcision.</w:t>
      </w:r>
    </w:p>
    <w:p>
      <w:pPr>
        <w:spacing w:line="360" w:lineRule="auto"/>
      </w:pPr>
      <w:r>
        <w:t>The review addresses a rare but potentially devastating urological complication and integrates clinical case-based evidence with medicolegal considerations relevant to procedural safety, operator competency, reconstruction, informed consent, and prevention. We believe these findings are directly relevant to the journal’s clinical and translational urology readership.</w:t>
      </w:r>
    </w:p>
    <w:p>
      <w:pPr>
        <w:spacing w:line="360" w:lineRule="auto"/>
      </w:pPr>
      <w:r>
        <w:t>The manuscript was prepared in accordance with PRISMA 2020. A PRISMA flow diagram and methodological quality appraisal using Joanna Briggs Institute tools are included.</w:t>
      </w:r>
    </w:p>
    <w:p>
      <w:pPr>
        <w:spacing w:line="360" w:lineRule="auto"/>
      </w:pPr>
      <w:r>
        <w:rPr>
          <w:shd w:fill="FFF200"/>
        </w:rPr>
        <w:t>[AUTHOR CONFIRMATION REQUIRED BEFORE SIGNING: confirm that this manuscript is original, has not been published previously, and is not under consideration by another journal.]</w:t>
      </w:r>
    </w:p>
    <w:p>
      <w:pPr>
        <w:spacing w:line="360" w:lineRule="auto"/>
      </w:pPr>
      <w:r>
        <w:t>During preparation of the revised manuscript, ChatGPT (OpenAI) was used for English-language editing, structural refinement, and journal-format alignment. The authors will review and approve all final content and accept full responsibility for the manuscript.</w:t>
      </w:r>
    </w:p>
    <w:p>
      <w:pPr>
        <w:spacing w:line="360" w:lineRule="auto"/>
      </w:pPr>
      <w:r>
        <w:t>Thank you for considering our manuscript. We look forward to your evaluation.</w:t>
      </w:r>
    </w:p>
    <w:p>
      <w:r>
        <w:t>Sincerely,</w:t>
      </w:r>
    </w:p>
    <w:p>
      <w:r>
        <w:t>Abdul Hakim Nitiprodjo</w:t>
        <w:br/>
        <w:t>Corresponding Author</w:t>
        <w:br/>
        <w:t>Faculty of Medicine, Universitas Muhammadiyah Purwokerto, Banyumas, Central Java 53182, Indonesia</w:t>
        <w:br/>
        <w:t>Email: hakims4n6@gmail.com</w:t>
        <w:br/>
        <w:t>Tel/WhatsApp: +62 821-3746-7162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