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cs="Times New Roman"/>
          <w:b/>
          <w:sz w:val="28"/>
        </w:rPr>
        <w:t>HIGHLIGHTS</w:t>
      </w:r>
    </w:p>
    <w:p>
      <w:pPr>
        <w:pStyle w:val="ListBullet"/>
        <w:spacing w:line="360" w:lineRule="auto"/>
      </w:pPr>
      <w:r>
        <w:t>Iatrogenic glans injury during circumcision ranges from reversible ischemia to partial or complete penile amputation.</w:t>
      </w:r>
    </w:p>
    <w:p>
      <w:pPr>
        <w:pStyle w:val="ListBullet"/>
        <w:spacing w:line="360" w:lineRule="auto"/>
      </w:pPr>
      <w:r>
        <w:t>Recurrent contributing factors include inadequate glans visualization, blind or clamp-based techniques, thermal injury, and vascular compromise.</w:t>
      </w:r>
    </w:p>
    <w:p>
      <w:pPr>
        <w:pStyle w:val="ListBullet"/>
        <w:spacing w:line="360" w:lineRule="auto"/>
      </w:pPr>
      <w:r>
        <w:t>Early replantation or reconstructive management may preserve urinary function and improve cosmetic outcomes in selected cases.</w:t>
      </w:r>
    </w:p>
    <w:p>
      <w:pPr>
        <w:pStyle w:val="ListBullet"/>
        <w:spacing w:line="360" w:lineRule="auto"/>
      </w:pPr>
      <w:r>
        <w:t>Severe injuries occur in both traditional and formal healthcare settings, emphasizing operator competency and standardized technique.</w:t>
      </w:r>
    </w:p>
    <w:p>
      <w:pPr>
        <w:pStyle w:val="ListBullet"/>
        <w:spacing w:line="360" w:lineRule="auto"/>
      </w:pPr>
      <w:r>
        <w:t>Training, procedural safety, documentation, and informed consent are central to reducing clinical and medicolegal risk.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