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141E" w14:textId="77777777" w:rsidR="00422323" w:rsidRDefault="00000000">
      <w:pPr>
        <w:jc w:val="center"/>
      </w:pPr>
      <w:r>
        <w:rPr>
          <w:b/>
          <w:sz w:val="28"/>
        </w:rPr>
        <w:t>Response to Reviewer 1</w:t>
      </w:r>
    </w:p>
    <w:p w14:paraId="0A49A522" w14:textId="77777777" w:rsidR="00422323" w:rsidRDefault="00000000">
      <w:pPr>
        <w:jc w:val="center"/>
      </w:pPr>
      <w:r>
        <w:rPr>
          <w:b/>
        </w:rPr>
        <w:t>Manuscript ID: IJNS-2607-1705</w:t>
      </w:r>
    </w:p>
    <w:p w14:paraId="4650C1D9" w14:textId="77777777" w:rsidR="00422323" w:rsidRDefault="00000000">
      <w:pPr>
        <w:jc w:val="center"/>
      </w:pPr>
      <w:r>
        <w:rPr>
          <w:i/>
        </w:rPr>
        <w:t>Revised title: Glycemic changes during an inulin-modified growol cookie intervention in adults: an uncontrolled exploratory study</w:t>
      </w:r>
    </w:p>
    <w:p w14:paraId="23297A06" w14:textId="77777777" w:rsidR="00422323" w:rsidRDefault="00000000">
      <w:r>
        <w:rPr>
          <w:b/>
        </w:rPr>
        <w:t>Dear Editor and Reviewer,</w:t>
      </w:r>
    </w:p>
    <w:p w14:paraId="093B0A01" w14:textId="77777777" w:rsidR="00422323" w:rsidRDefault="00000000" w:rsidP="003111DE">
      <w:pPr>
        <w:spacing w:after="100"/>
        <w:jc w:val="both"/>
      </w:pPr>
      <w:r>
        <w:t>Thank you for the careful review of our manuscript and for highlighting the two major concerns: the absence of a control group and the limited sample size across the three recorded glycemic categories. We agree that these limitations prevent causal conclusions and reliable comparisons of treatment efficacy. We have therefore revised the manuscript substantially to present the study as an uncontrolled exploratory pre-post intervention and to restrict the interpretation to changes observed within participants.</w:t>
      </w:r>
    </w:p>
    <w:tbl>
      <w:tblPr>
        <w:tblW w:w="0" w:type="auto"/>
        <w:jc w:val="center"/>
        <w:tblLook w:val="04A0" w:firstRow="1" w:lastRow="0" w:firstColumn="1" w:lastColumn="0" w:noHBand="0" w:noVBand="1"/>
      </w:tblPr>
      <w:tblGrid>
        <w:gridCol w:w="9648"/>
      </w:tblGrid>
      <w:tr w:rsidR="00422323" w14:paraId="5FA1F800" w14:textId="77777777">
        <w:trPr>
          <w:jc w:val="center"/>
        </w:trPr>
        <w:tc>
          <w:tcPr>
            <w:tcW w:w="9648" w:type="dxa"/>
            <w:shd w:val="clear" w:color="auto" w:fill="F2F2F2"/>
            <w:vAlign w:val="center"/>
          </w:tcPr>
          <w:p w14:paraId="38FB8954" w14:textId="77777777" w:rsidR="00422323" w:rsidRDefault="00000000">
            <w:r>
              <w:rPr>
                <w:b/>
              </w:rPr>
              <w:t>Reviewer comment</w:t>
            </w:r>
          </w:p>
          <w:p w14:paraId="24D02180" w14:textId="77777777" w:rsidR="00422323" w:rsidRDefault="00000000" w:rsidP="003111DE">
            <w:pPr>
              <w:jc w:val="both"/>
            </w:pPr>
            <w:r>
              <w:rPr>
                <w:i/>
              </w:rPr>
              <w:t>“The study compared the glycemic indices after the consumption of a cookie made with inulin. But there is a major issue that this interventional study has no control group, and besides, the sample size of 38 was divided between 3 groups of healthy, prediabetics, and diabetics, which is a very small number of participants and is not sufficient for comparisons.”</w:t>
            </w:r>
          </w:p>
        </w:tc>
      </w:tr>
    </w:tbl>
    <w:p w14:paraId="63B4034C" w14:textId="77777777" w:rsidR="00422323" w:rsidRDefault="00000000">
      <w:pPr>
        <w:spacing w:before="200" w:after="80"/>
      </w:pPr>
      <w:r>
        <w:rPr>
          <w:b/>
        </w:rPr>
        <w:t>Response 1. Absence of a control group</w:t>
      </w:r>
    </w:p>
    <w:p w14:paraId="0BEF58A6" w14:textId="77777777" w:rsidR="00422323" w:rsidRDefault="00000000" w:rsidP="003111DE">
      <w:pPr>
        <w:spacing w:after="120" w:line="259" w:lineRule="auto"/>
        <w:jc w:val="both"/>
      </w:pPr>
      <w:r>
        <w:t>We agree with the reviewer. All participants received the same intervention consisting of inulin-modified growol cookies together with dietary guidance. The healthy category was not an untreated control group, and the use of random sampling in the protocol did not represent random allocation to treatment arms. We have corrected this throughout the manuscript.</w:t>
      </w:r>
    </w:p>
    <w:p w14:paraId="78288A34" w14:textId="77777777" w:rsidR="00422323" w:rsidRDefault="00000000" w:rsidP="003111DE">
      <w:pPr>
        <w:spacing w:after="120" w:line="259" w:lineRule="auto"/>
        <w:jc w:val="both"/>
      </w:pPr>
      <w:r>
        <w:t>The title and abstract now identify the study as uncontrolled and exploratory. Statements that could be interpreted as showing a cookie-specific treatment effect have been removed. The revised Discussion explicitly states that dietary guidance, usual treatment, changes in eating behavior, repeated monitoring, natural fluctuation, and regression to the mean may explain part or all of the observed changes. Baseline measurements within the same participant cannot substitute for a concurrent control group.</w:t>
      </w:r>
    </w:p>
    <w:p w14:paraId="464AEC0B" w14:textId="77777777" w:rsidR="00422323" w:rsidRDefault="00000000" w:rsidP="003111DE">
      <w:pPr>
        <w:spacing w:after="120" w:line="259" w:lineRule="auto"/>
        <w:jc w:val="both"/>
      </w:pPr>
      <w:r>
        <w:t>Because the study had already completed recruitment, intervention, and follow-up before peer review, a control group cannot be added retrospectively to the existing study without initiating a new prospective study. We therefore did not create or infer a control group during revision. Instead, we limited the claims to within-participant observations and clearly acknowledged the absence of a concurrent comparator as the main limitation.</w:t>
      </w:r>
    </w:p>
    <w:p w14:paraId="434E4547" w14:textId="77777777" w:rsidR="00422323" w:rsidRDefault="00000000" w:rsidP="003111DE">
      <w:pPr>
        <w:spacing w:after="120" w:line="259" w:lineRule="auto"/>
        <w:jc w:val="both"/>
      </w:pPr>
      <w:r>
        <w:t>Changes made in the manuscript: revised title and abstract; Introduction; Study design and setting; Statistical analysis; Discussion; Conclusion; and the legends of Figures 1 and 2.</w:t>
      </w:r>
    </w:p>
    <w:p w14:paraId="2CC4821F" w14:textId="77777777" w:rsidR="00422323" w:rsidRDefault="00000000" w:rsidP="003111DE">
      <w:pPr>
        <w:spacing w:before="200" w:after="80"/>
        <w:jc w:val="both"/>
      </w:pPr>
      <w:r>
        <w:rPr>
          <w:b/>
        </w:rPr>
        <w:t>Response 2. Small sample size and comparisons across three categories</w:t>
      </w:r>
    </w:p>
    <w:p w14:paraId="09C0A420" w14:textId="77777777" w:rsidR="00422323" w:rsidRDefault="00000000" w:rsidP="003111DE">
      <w:pPr>
        <w:spacing w:after="120" w:line="259" w:lineRule="auto"/>
        <w:jc w:val="both"/>
      </w:pPr>
      <w:r>
        <w:t>We also agree that the final category sizes are too small for reliable comparisons of treatment efficacy. The retained study protocol specified a planned minimum of 13 participants per category after allowing for 10% dropout. Enrollment was 23 healthy, 10 prediabetes, and 14 diabetes participants; paired baseline and follow-up measurements were available for 18, 8, and 12 participants, respectively. Thus, the prediabetes category did not reach the planned minimum at enrollment, and both the prediabetes and diabetes categories were below the planned minimum at follow-up.</w:t>
      </w:r>
    </w:p>
    <w:p w14:paraId="3E651054" w14:textId="77777777" w:rsidR="00422323" w:rsidRDefault="00000000" w:rsidP="003111DE">
      <w:pPr>
        <w:spacing w:after="120" w:line="259" w:lineRule="auto"/>
        <w:jc w:val="both"/>
      </w:pPr>
      <w:r>
        <w:lastRenderedPageBreak/>
        <w:t>Recruitment and follow-up had been completed before peer review. Additional participants therefore could not be added retrospectively to the present dataset without starting a new prospective study under a new recruitment period and follow-up process. We have not attempted to compensate for this limitation by reconstructing the sample-size calculation, conducting a retrospective power calculation, or pooling participants in a way that would imply adequate power.</w:t>
      </w:r>
    </w:p>
    <w:p w14:paraId="463042E7" w14:textId="77777777" w:rsidR="00422323" w:rsidRDefault="00000000" w:rsidP="003111DE">
      <w:pPr>
        <w:spacing w:after="120" w:line="259" w:lineRule="auto"/>
        <w:jc w:val="both"/>
      </w:pPr>
      <w:r>
        <w:t>To address the reviewer’s concern, we removed the emphasis on between-category efficacy testing and removed the claim that the intervention was more effective in the diabetes category. The main analysis now focuses on within-participant changes among the 38 complete pairs, with bootstrap 95% confidence intervals. Category-specific findings are retained only as descriptive summaries in the Supplementary Material, without significance tests or claims of superiority between categories.</w:t>
      </w:r>
    </w:p>
    <w:p w14:paraId="44837055" w14:textId="77777777" w:rsidR="00422323" w:rsidRDefault="00000000" w:rsidP="003111DE">
      <w:pPr>
        <w:spacing w:after="120" w:line="259" w:lineRule="auto"/>
        <w:jc w:val="both"/>
      </w:pPr>
      <w:r>
        <w:t>Nine enrolled participants had no post-intervention glycemic measurements (five healthy, two prediabetes, and two diabetes). These missing outcomes were not replaced or imputed. The manuscript also states that complete-case estimates may be affected by attrition.</w:t>
      </w:r>
    </w:p>
    <w:p w14:paraId="0179539C" w14:textId="77777777" w:rsidR="00422323" w:rsidRDefault="00000000" w:rsidP="003111DE">
      <w:pPr>
        <w:spacing w:after="120" w:line="259" w:lineRule="auto"/>
        <w:jc w:val="both"/>
      </w:pPr>
      <w:r>
        <w:t>Changes made in the manuscript: Participants and sample-size planning; Statistical analysis; Results; Tables 1 and 2; Supplementary Tables S1-S2; Discussion; and Conclusion.</w:t>
      </w:r>
    </w:p>
    <w:p w14:paraId="26893C46" w14:textId="77777777" w:rsidR="00422323" w:rsidRDefault="00000000" w:rsidP="003111DE">
      <w:pPr>
        <w:spacing w:before="200" w:after="80"/>
        <w:jc w:val="both"/>
      </w:pPr>
      <w:r>
        <w:rPr>
          <w:b/>
        </w:rPr>
        <w:t>Additional corrections made during major revision</w:t>
      </w:r>
    </w:p>
    <w:p w14:paraId="79DA1089" w14:textId="77777777" w:rsidR="00422323" w:rsidRDefault="00000000" w:rsidP="003111DE">
      <w:pPr>
        <w:spacing w:after="120" w:line="259" w:lineRule="auto"/>
        <w:jc w:val="both"/>
      </w:pPr>
      <w:r>
        <w:t>During the revision, we also rechecked the participant-level data to improve the accuracy and transparency of the report. Paired changes are now calculated within the same participant rather than by subtracting different summary statistics. The original analyses are identified as having been performed in IBM SPSS Statistics 21.0, while the additional revision analyses and bootstrap confidence intervals are described separately.</w:t>
      </w:r>
    </w:p>
    <w:p w14:paraId="3DB94B92" w14:textId="77777777" w:rsidR="00422323" w:rsidRDefault="00000000" w:rsidP="003111DE">
      <w:pPr>
        <w:spacing w:after="120" w:line="259" w:lineRule="auto"/>
        <w:jc w:val="both"/>
      </w:pPr>
      <w:r>
        <w:t>A calculation check showed that the previously reported HOMA-Beta values were not generated using the full stated formula. We therefore withdrew the HOMA-Beta numerical results and related conclusions rather than presenting potentially misleading estimates. HOMA-IR was recalculated and was consistent with the source data.</w:t>
      </w:r>
    </w:p>
    <w:p w14:paraId="08950293" w14:textId="77777777" w:rsidR="00422323" w:rsidRDefault="00000000" w:rsidP="003111DE">
      <w:pPr>
        <w:spacing w:after="120" w:line="259" w:lineRule="auto"/>
        <w:jc w:val="both"/>
      </w:pPr>
      <w:r>
        <w:t>HbA1c findings are reported even though they do not show an average reduction. One unusually low HbA1c pair remains unverified against an original laboratory report; the manuscript presents both the as-recorded analysis and a sensitivity analysis excluding that pair. Low follow-up fasting glucose readings are also reported without being interpreted automatically as beneficial or as evidence of safety.</w:t>
      </w:r>
    </w:p>
    <w:p w14:paraId="57906F68" w14:textId="77777777" w:rsidR="00422323" w:rsidRDefault="00000000" w:rsidP="003111DE">
      <w:pPr>
        <w:spacing w:before="200" w:after="80"/>
        <w:jc w:val="both"/>
      </w:pPr>
      <w:r>
        <w:rPr>
          <w:b/>
        </w:rPr>
        <w:t>Figures in the revised submission</w:t>
      </w:r>
    </w:p>
    <w:p w14:paraId="5B0ED6D9" w14:textId="77777777" w:rsidR="00422323" w:rsidRDefault="00000000" w:rsidP="003111DE">
      <w:pPr>
        <w:spacing w:after="120" w:line="259" w:lineRule="auto"/>
        <w:jc w:val="both"/>
      </w:pPr>
      <w:r>
        <w:t>No additional figure was introduced because the reviewer did not request new visual analyses and the available data do not support a new confirmatory figure. Figure 1 is retained to show the intervention and measurement sequence, while Figure 2 shows participant screening, enrollment, and the reduction from 47 enrolled participants to 38 participants with paired measurements. Their legends now clarify that the glycemic categories were not randomized treatment arms and that none served as a control group. We believe adding another figure would not resolve the design limitations identified by the reviewer.</w:t>
      </w:r>
    </w:p>
    <w:p w14:paraId="63553C84" w14:textId="77777777" w:rsidR="00422323" w:rsidRDefault="00000000" w:rsidP="003111DE">
      <w:pPr>
        <w:spacing w:before="200" w:after="80"/>
        <w:jc w:val="both"/>
      </w:pPr>
      <w:r>
        <w:rPr>
          <w:b/>
        </w:rPr>
        <w:t>Closing response</w:t>
      </w:r>
    </w:p>
    <w:p w14:paraId="57FF6D31" w14:textId="77777777" w:rsidR="00422323" w:rsidRDefault="00000000" w:rsidP="003111DE">
      <w:pPr>
        <w:spacing w:after="120" w:line="259" w:lineRule="auto"/>
        <w:jc w:val="both"/>
      </w:pPr>
      <w:r>
        <w:t>We appreciate the reviewer’s concerns and have revised the manuscript to ensure that the conclusions do not exceed what the study design and sample can support. We respectfully ask that the revised manuscript be considered as a transparent exploratory report of within-participant glycemic changes, rather than as evidence of comparative efficacy or a causal treatment effect.</w:t>
      </w:r>
    </w:p>
    <w:p w14:paraId="7D0CD773" w14:textId="77777777" w:rsidR="00422323" w:rsidRDefault="00000000">
      <w:pPr>
        <w:spacing w:before="160" w:after="40"/>
      </w:pPr>
      <w:r>
        <w:rPr>
          <w:b/>
        </w:rPr>
        <w:t>Sincerely,</w:t>
      </w:r>
    </w:p>
    <w:p w14:paraId="70B25122" w14:textId="77777777" w:rsidR="00422323" w:rsidRDefault="00000000">
      <w:pPr>
        <w:spacing w:after="0"/>
      </w:pPr>
      <w:r>
        <w:rPr>
          <w:sz w:val="21"/>
        </w:rPr>
        <w:t>Desty Ervira Puspaningtyas | Corresponding Author | Manuscript ID: IJNS-2607-1705</w:t>
      </w:r>
    </w:p>
    <w:sectPr w:rsidR="00422323" w:rsidSect="00034616">
      <w:footerReference w:type="default" r:id="rId8"/>
      <w:pgSz w:w="12240" w:h="15840"/>
      <w:pgMar w:top="1008"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B988" w14:textId="77777777" w:rsidR="002836B9" w:rsidRDefault="002836B9">
      <w:pPr>
        <w:spacing w:after="0" w:line="240" w:lineRule="auto"/>
      </w:pPr>
      <w:r>
        <w:separator/>
      </w:r>
    </w:p>
  </w:endnote>
  <w:endnote w:type="continuationSeparator" w:id="0">
    <w:p w14:paraId="087D1BF2" w14:textId="77777777" w:rsidR="002836B9" w:rsidRDefault="00283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1CC8" w14:textId="77777777" w:rsidR="00422323" w:rsidRDefault="00000000">
    <w:pPr>
      <w:pStyle w:val="Footer"/>
      <w:jc w:val="center"/>
    </w:pPr>
    <w:r>
      <w:fldChar w:fldCharType="begin"/>
    </w:r>
    <w:r>
      <w:instrText xml:space="preserve"> PAGE </w:instrText>
    </w:r>
    <w:r w:rsidR="003111DE">
      <w:fldChar w:fldCharType="separate"/>
    </w:r>
    <w:r w:rsidR="003111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77DD" w14:textId="77777777" w:rsidR="002836B9" w:rsidRDefault="002836B9">
      <w:pPr>
        <w:spacing w:after="0" w:line="240" w:lineRule="auto"/>
      </w:pPr>
      <w:r>
        <w:separator/>
      </w:r>
    </w:p>
  </w:footnote>
  <w:footnote w:type="continuationSeparator" w:id="0">
    <w:p w14:paraId="3CB5CE33" w14:textId="77777777" w:rsidR="002836B9" w:rsidRDefault="00283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74463">
    <w:abstractNumId w:val="8"/>
  </w:num>
  <w:num w:numId="2" w16cid:durableId="823012853">
    <w:abstractNumId w:val="6"/>
  </w:num>
  <w:num w:numId="3" w16cid:durableId="337661896">
    <w:abstractNumId w:val="5"/>
  </w:num>
  <w:num w:numId="4" w16cid:durableId="1840806557">
    <w:abstractNumId w:val="4"/>
  </w:num>
  <w:num w:numId="5" w16cid:durableId="1290357178">
    <w:abstractNumId w:val="7"/>
  </w:num>
  <w:num w:numId="6" w16cid:durableId="706443305">
    <w:abstractNumId w:val="3"/>
  </w:num>
  <w:num w:numId="7" w16cid:durableId="1803766516">
    <w:abstractNumId w:val="2"/>
  </w:num>
  <w:num w:numId="8" w16cid:durableId="1830361348">
    <w:abstractNumId w:val="1"/>
  </w:num>
  <w:num w:numId="9" w16cid:durableId="79563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75"/>
    <w:rsid w:val="002836B9"/>
    <w:rsid w:val="0029639D"/>
    <w:rsid w:val="003111DE"/>
    <w:rsid w:val="00326F90"/>
    <w:rsid w:val="004223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2F29B"/>
  <w14:defaultImageDpi w14:val="300"/>
  <w15:docId w15:val="{D8436A21-CF19-4ECF-8131-6443F434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2026-10-24T01:19:00Z</dcterms:modified>
  <cp:category/>
</cp:coreProperties>
</file>