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D6A0" w14:textId="77777777" w:rsidR="00D8178A" w:rsidRDefault="00000000">
      <w:pPr>
        <w:pStyle w:val="Title"/>
      </w:pPr>
      <w:r>
        <w:rPr>
          <w:rFonts w:ascii="Times New Roman" w:hAnsi="Times New Roman"/>
          <w:highlight w:val="yellow"/>
        </w:rPr>
        <w:t>Glycemic changes during an inulin-modified growol cookie intervention in adults: an uncontrolled exploratory study</w:t>
      </w:r>
    </w:p>
    <w:p w14:paraId="1A54A380" w14:textId="77777777" w:rsidR="00D8178A" w:rsidRDefault="00000000">
      <w:pPr>
        <w:pStyle w:val="Heading1"/>
      </w:pPr>
      <w:r>
        <w:rPr>
          <w:rFonts w:ascii="Times New Roman" w:hAnsi="Times New Roman"/>
        </w:rPr>
        <w:t>Abstract</w:t>
      </w:r>
    </w:p>
    <w:p w14:paraId="3C112437" w14:textId="77777777" w:rsidR="00D8178A" w:rsidRDefault="00000000" w:rsidP="0027039D">
      <w:pPr>
        <w:jc w:val="both"/>
      </w:pPr>
      <w:r>
        <w:rPr>
          <w:b/>
          <w:highlight w:val="yellow"/>
        </w:rPr>
        <w:t xml:space="preserve">Background/Objectives: </w:t>
      </w:r>
      <w:r>
        <w:rPr>
          <w:highlight w:val="yellow"/>
        </w:rPr>
        <w:t>Growol is a traditional fermented cassava food. We described glycemic changes during a seven-week intervention combining inulin-modified growol cookies with dietary guidance.</w:t>
      </w:r>
    </w:p>
    <w:p w14:paraId="78A72D17" w14:textId="77777777" w:rsidR="00D8178A" w:rsidRDefault="00000000" w:rsidP="0027039D">
      <w:pPr>
        <w:jc w:val="both"/>
      </w:pPr>
      <w:r>
        <w:rPr>
          <w:b/>
          <w:highlight w:val="yellow"/>
        </w:rPr>
        <w:t xml:space="preserve">Methods: </w:t>
      </w:r>
      <w:r>
        <w:rPr>
          <w:highlight w:val="yellow"/>
        </w:rPr>
        <w:t>This uncontrolled, non-randomized study enrolled 47 adults; 38 had paired measurements. Everyone received the same intervention. The analysis was revised after peer review to emphasize within-participant changes with bootstrap 95% confidence intervals. Recorded glycemic categories were described without efficacy comparisons.</w:t>
      </w:r>
    </w:p>
    <w:p w14:paraId="4079C6C3" w14:textId="77777777" w:rsidR="00D8178A" w:rsidRDefault="00000000" w:rsidP="0027039D">
      <w:pPr>
        <w:jc w:val="both"/>
      </w:pPr>
      <w:r>
        <w:rPr>
          <w:b/>
          <w:highlight w:val="yellow"/>
        </w:rPr>
        <w:t xml:space="preserve">Results: </w:t>
      </w:r>
      <w:r>
        <w:rPr>
          <w:highlight w:val="yellow"/>
        </w:rPr>
        <w:t>Mean fasting glucose changed by −20.14 mg/dL (95% confidence interval, −27.82 to −13.21), and the homeostatic model assessment of insulin resistance changed by −0.51 (−0.81 to −0.23). HbA1c changed by +0.22 percentage points (−0.07 to +0.52), and fasting insulin changed by +0.06 µIU/mL (−1.27 to +1.38). Excluding one unverified low-HbA1c record did not show an average HbA1c reduction. Seventeen participants had recorded follow-up fasting glucose below 70 mg/dL. Previously reported beta-cell function estimates were withdrawn because of a calculation error. Final category sizes were 18, eight, and twelve; the latter two were below the planned minimum of 13.</w:t>
      </w:r>
    </w:p>
    <w:p w14:paraId="1ACB06FA" w14:textId="77777777" w:rsidR="00D8178A" w:rsidRDefault="00000000" w:rsidP="0027039D">
      <w:pPr>
        <w:jc w:val="both"/>
      </w:pPr>
      <w:r>
        <w:rPr>
          <w:b/>
          <w:highlight w:val="yellow"/>
        </w:rPr>
        <w:t xml:space="preserve">Conclusion: </w:t>
      </w:r>
      <w:r>
        <w:rPr>
          <w:highlight w:val="yellow"/>
        </w:rPr>
        <w:t>Fasting glucose and the calculated insulin-resistance index were lower after the intervention, but glycemic measures did not improve consistently. Without a concurrent control group, these changes cannot be attributed to the cookies. Small samples and measurement uncertainties also prevent conclusions about comparative efficacy or safety.</w:t>
      </w:r>
    </w:p>
    <w:p w14:paraId="79D75A04" w14:textId="77777777" w:rsidR="00D8178A" w:rsidRDefault="00000000" w:rsidP="0027039D">
      <w:pPr>
        <w:jc w:val="both"/>
      </w:pPr>
      <w:r>
        <w:t>Keywords: Diabetes Mellitus; Dietary Fiber; Functional Food; Glycemic Control; Inulin</w:t>
      </w:r>
    </w:p>
    <w:p w14:paraId="55A54A4E" w14:textId="77777777" w:rsidR="00D8178A" w:rsidRDefault="00000000" w:rsidP="0027039D">
      <w:pPr>
        <w:spacing w:line="20" w:lineRule="exact"/>
        <w:jc w:val="both"/>
      </w:pPr>
      <w:r>
        <w:rPr>
          <w:sz w:val="2"/>
        </w:rPr>
        <w:br w:type="page"/>
      </w:r>
    </w:p>
    <w:p w14:paraId="4120801B" w14:textId="77777777" w:rsidR="00D8178A" w:rsidRDefault="00000000" w:rsidP="0027039D">
      <w:pPr>
        <w:pStyle w:val="Heading1"/>
        <w:jc w:val="both"/>
      </w:pPr>
      <w:r>
        <w:rPr>
          <w:rFonts w:ascii="Times New Roman" w:hAnsi="Times New Roman"/>
        </w:rPr>
        <w:lastRenderedPageBreak/>
        <w:t>Introduction</w:t>
      </w:r>
    </w:p>
    <w:p w14:paraId="16DF699F" w14:textId="77777777" w:rsidR="00D8178A" w:rsidRDefault="00000000" w:rsidP="0027039D">
      <w:pPr>
        <w:jc w:val="both"/>
      </w:pPr>
      <w:r>
        <w:rPr>
          <w:highlight w:val="yellow"/>
        </w:rPr>
        <w:t>Diabetes mellitus remains an important metabolic health problem. The International Diabetes Federation projects a substantial increase in the number of adults living with diabetes, including in Southeast Asia.</w:t>
      </w:r>
      <w:r>
        <w:rPr>
          <w:highlight w:val="yellow"/>
          <w:vertAlign w:val="superscript"/>
        </w:rPr>
        <w:t>1</w:t>
      </w:r>
      <w:r>
        <w:rPr>
          <w:highlight w:val="yellow"/>
        </w:rPr>
        <w:t xml:space="preserve"> Indonesian projections and population studies also highlight the burden of diabetes and its relationship with socioeconomic circumstances.</w:t>
      </w:r>
      <w:r>
        <w:rPr>
          <w:highlight w:val="yellow"/>
          <w:vertAlign w:val="superscript"/>
        </w:rPr>
        <w:t>2,3</w:t>
      </w:r>
      <w:r>
        <w:rPr>
          <w:highlight w:val="yellow"/>
        </w:rPr>
        <w:t xml:space="preserve"> These findings support research into practical, food-based approaches to glycemic management.</w:t>
      </w:r>
    </w:p>
    <w:p w14:paraId="13E3BC20" w14:textId="77777777" w:rsidR="00D8178A" w:rsidRDefault="00000000" w:rsidP="0027039D">
      <w:pPr>
        <w:jc w:val="both"/>
      </w:pPr>
      <w:r>
        <w:rPr>
          <w:highlight w:val="yellow"/>
        </w:rPr>
        <w:t>Higher dietary fiber intake has been associated with a lower risk of type 2 diabetes and, in intervention studies, with changes in fasting glucose and insulin sensitivity.</w:t>
      </w:r>
      <w:r>
        <w:rPr>
          <w:highlight w:val="yellow"/>
          <w:vertAlign w:val="superscript"/>
        </w:rPr>
        <w:t>4,5</w:t>
      </w:r>
      <w:r>
        <w:rPr>
          <w:highlight w:val="yellow"/>
        </w:rPr>
        <w:t xml:space="preserve"> Fermentable fibers and prebiotics may influence glucose metabolism through changes in gut microbiota and short-chain fatty acid production.</w:t>
      </w:r>
      <w:r>
        <w:rPr>
          <w:highlight w:val="yellow"/>
          <w:vertAlign w:val="superscript"/>
        </w:rPr>
        <w:t>6–8</w:t>
      </w:r>
      <w:r>
        <w:rPr>
          <w:highlight w:val="yellow"/>
        </w:rPr>
        <w:t xml:space="preserve"> This evidence provides a rationale for studying locally available foods containing fiber, but does not establish the clinical benefit of a particular formulation.</w:t>
      </w:r>
    </w:p>
    <w:p w14:paraId="22B4D66B" w14:textId="77777777" w:rsidR="00D8178A" w:rsidRDefault="00000000" w:rsidP="0027039D">
      <w:pPr>
        <w:jc w:val="both"/>
      </w:pPr>
      <w:r>
        <w:rPr>
          <w:highlight w:val="yellow"/>
        </w:rPr>
        <w:t>Growol is a traditional fermented cassava food from Indonesia. Previous research has examined its carbohydrate composition and prebiotic activity.</w:t>
      </w:r>
      <w:r>
        <w:rPr>
          <w:highlight w:val="yellow"/>
          <w:vertAlign w:val="superscript"/>
        </w:rPr>
        <w:t>9,10</w:t>
      </w:r>
      <w:r>
        <w:rPr>
          <w:highlight w:val="yellow"/>
        </w:rPr>
        <w:t xml:space="preserve"> Product-development studies have investigated the glycemic index of growol cookies</w:t>
      </w:r>
      <w:r>
        <w:rPr>
          <w:highlight w:val="yellow"/>
          <w:vertAlign w:val="superscript"/>
        </w:rPr>
        <w:t>11</w:t>
      </w:r>
      <w:r>
        <w:rPr>
          <w:highlight w:val="yellow"/>
        </w:rPr>
        <w:t xml:space="preserve"> and the effect of adding inulin.</w:t>
      </w:r>
      <w:r>
        <w:rPr>
          <w:highlight w:val="yellow"/>
          <w:vertAlign w:val="superscript"/>
        </w:rPr>
        <w:t>12</w:t>
      </w:r>
      <w:r>
        <w:rPr>
          <w:highlight w:val="yellow"/>
        </w:rPr>
        <w:t xml:space="preserve"> A separate glucomannan-modified formulation has been studied for dietary fiber content and starch digestibility,</w:t>
      </w:r>
      <w:r>
        <w:rPr>
          <w:highlight w:val="yellow"/>
          <w:vertAlign w:val="superscript"/>
        </w:rPr>
        <w:t>13</w:t>
      </w:r>
      <w:r>
        <w:rPr>
          <w:highlight w:val="yellow"/>
        </w:rPr>
        <w:t xml:space="preserve"> while inulin-focused studies have examined proximate composition and sensory characteristics.</w:t>
      </w:r>
      <w:r>
        <w:rPr>
          <w:highlight w:val="yellow"/>
          <w:vertAlign w:val="superscript"/>
        </w:rPr>
        <w:t>14,15</w:t>
      </w:r>
      <w:r>
        <w:rPr>
          <w:highlight w:val="yellow"/>
        </w:rPr>
        <w:t xml:space="preserve"> These formulations should not be treated as interchangeable evidence for the composition of the present product.</w:t>
      </w:r>
    </w:p>
    <w:p w14:paraId="0E928298" w14:textId="77777777" w:rsidR="00D8178A" w:rsidRDefault="00000000" w:rsidP="0027039D">
      <w:pPr>
        <w:jc w:val="both"/>
      </w:pPr>
      <w:r>
        <w:rPr>
          <w:highlight w:val="yellow"/>
        </w:rPr>
        <w:t>The rationale for inulin supplementation is supported by reviews,</w:t>
      </w:r>
      <w:r>
        <w:rPr>
          <w:highlight w:val="yellow"/>
          <w:vertAlign w:val="superscript"/>
        </w:rPr>
        <w:t>16,17</w:t>
      </w:r>
      <w:r>
        <w:rPr>
          <w:highlight w:val="yellow"/>
        </w:rPr>
        <w:t xml:space="preserve"> a human pilot randomized trial,</w:t>
      </w:r>
      <w:r>
        <w:rPr>
          <w:highlight w:val="yellow"/>
          <w:vertAlign w:val="superscript"/>
        </w:rPr>
        <w:t>18</w:t>
      </w:r>
      <w:r>
        <w:rPr>
          <w:highlight w:val="yellow"/>
        </w:rPr>
        <w:t xml:space="preserve"> and animal research.</w:t>
      </w:r>
      <w:r>
        <w:rPr>
          <w:highlight w:val="yellow"/>
          <w:vertAlign w:val="superscript"/>
        </w:rPr>
        <w:t>19</w:t>
      </w:r>
      <w:r>
        <w:rPr>
          <w:highlight w:val="yellow"/>
        </w:rPr>
        <w:t xml:space="preserve"> Inulin-modified growol cookies have also been studied in diabetic rats.</w:t>
      </w:r>
      <w:r>
        <w:rPr>
          <w:highlight w:val="yellow"/>
          <w:vertAlign w:val="superscript"/>
        </w:rPr>
        <w:t>20</w:t>
      </w:r>
      <w:r>
        <w:rPr>
          <w:highlight w:val="yellow"/>
        </w:rPr>
        <w:t xml:space="preserve"> Human evidence for this specific product remains limited. This study describes glycemic measures before and after seven weeks of cookie consumption with dietary guidance. Following peer review, the analysis was refocused on exploratory within-participant changes, not comparisons of efficacy between glycemic categories.</w:t>
      </w:r>
    </w:p>
    <w:p w14:paraId="25A8ABC8" w14:textId="77777777" w:rsidR="00D8178A" w:rsidRDefault="00000000" w:rsidP="0027039D">
      <w:pPr>
        <w:pStyle w:val="Heading1"/>
        <w:jc w:val="both"/>
      </w:pPr>
      <w:r>
        <w:rPr>
          <w:rFonts w:ascii="Times New Roman" w:hAnsi="Times New Roman"/>
        </w:rPr>
        <w:lastRenderedPageBreak/>
        <w:t>Materials and Methods</w:t>
      </w:r>
    </w:p>
    <w:p w14:paraId="52D2D1BA" w14:textId="77777777" w:rsidR="00D8178A" w:rsidRDefault="00000000" w:rsidP="0027039D">
      <w:pPr>
        <w:pStyle w:val="Heading2"/>
        <w:jc w:val="both"/>
      </w:pPr>
      <w:r>
        <w:rPr>
          <w:rFonts w:ascii="Times New Roman" w:hAnsi="Times New Roman"/>
        </w:rPr>
        <w:t>Study design and setting</w:t>
      </w:r>
    </w:p>
    <w:p w14:paraId="7CC49DA4" w14:textId="77777777" w:rsidR="00D8178A" w:rsidRDefault="00000000" w:rsidP="0027039D">
      <w:pPr>
        <w:jc w:val="both"/>
      </w:pPr>
      <w:r>
        <w:rPr>
          <w:highlight w:val="yellow"/>
        </w:rPr>
        <w:t>This was a seven-week, uncontrolled, non-randomized dietary intervention. All participants received cookies and dietary guidance. There was no untreated, placebo, or alternative-snack control group; the category labeled healthy was not a control group. The protocol described random sampling of participants, which is different from random allocation to treatments. Figure 1 shows the intervention and measurement sequence.</w:t>
      </w:r>
    </w:p>
    <w:p w14:paraId="1DE08AF3" w14:textId="77777777" w:rsidR="00D8178A" w:rsidRDefault="00000000" w:rsidP="0027039D">
      <w:pPr>
        <w:jc w:val="both"/>
      </w:pPr>
      <w:r>
        <w:rPr>
          <w:highlight w:val="yellow"/>
        </w:rPr>
        <w:t>The cookies were prepared in a dietetics and culinary laboratory. Screening and glycemic assessments took place in hospital-based outpatient and diabetes association settings in Yogyakarta, Indonesia, from August to December 2025.</w:t>
      </w:r>
    </w:p>
    <w:p w14:paraId="4A3F552F" w14:textId="77777777" w:rsidR="00D8178A" w:rsidRDefault="00000000" w:rsidP="0027039D">
      <w:pPr>
        <w:pStyle w:val="Heading2"/>
        <w:jc w:val="both"/>
      </w:pPr>
      <w:r>
        <w:rPr>
          <w:rFonts w:ascii="Times New Roman" w:hAnsi="Times New Roman"/>
        </w:rPr>
        <w:t>Participants and sample-size planning</w:t>
      </w:r>
    </w:p>
    <w:p w14:paraId="7AB3BBCB" w14:textId="77777777" w:rsidR="00D8178A" w:rsidRDefault="00000000" w:rsidP="0027039D">
      <w:pPr>
        <w:jc w:val="both"/>
      </w:pPr>
      <w:r>
        <w:rPr>
          <w:highlight w:val="yellow"/>
        </w:rPr>
        <w:t>The protocol used a between-group mean-difference approach informed by Jenko Pražnikar et al.</w:t>
      </w:r>
      <w:r>
        <w:rPr>
          <w:highlight w:val="yellow"/>
          <w:vertAlign w:val="superscript"/>
        </w:rPr>
        <w:t>21</w:t>
      </w:r>
      <w:r>
        <w:rPr>
          <w:highlight w:val="yellow"/>
        </w:rPr>
        <w:t xml:space="preserve"> and stated a minimum of 13 participants per group after allowing for 10% dropout. This is the planned target, not evidence that the final sample was adequately powered. Numerical inputs used to derive the target were unavailable in the retained calculation record. No retrospective power calculation or reconstructed sample-size calculation was used to justify the final sample.</w:t>
      </w:r>
    </w:p>
    <w:p w14:paraId="5C386523" w14:textId="77777777" w:rsidR="00D8178A" w:rsidRDefault="00000000" w:rsidP="0027039D">
      <w:pPr>
        <w:jc w:val="both"/>
      </w:pPr>
      <w:r>
        <w:rPr>
          <w:highlight w:val="yellow"/>
        </w:rPr>
        <w:t>The protocol referred to HbA1c thresholds of &lt;5.7%, 5.7–6.4%, and ≥6.5% for the healthy, prediabetes, and diabetes categories.</w:t>
      </w:r>
      <w:r>
        <w:rPr>
          <w:highlight w:val="yellow"/>
          <w:vertAlign w:val="superscript"/>
        </w:rPr>
        <w:t>22</w:t>
      </w:r>
      <w:r>
        <w:rPr>
          <w:highlight w:val="yellow"/>
        </w:rPr>
        <w:t xml:space="preserve"> Three records labeled diabetes had baseline HbA1c below 6.5%, and the clinical history needed to reconcile those labels was unavailable for this analysis. We retained the recorded labels for descriptive summaries rather than assigning new diagnoses. These categories were not treatment arms.</w:t>
      </w:r>
    </w:p>
    <w:p w14:paraId="7A8CDC6F" w14:textId="77777777" w:rsidR="00D8178A" w:rsidRDefault="00000000" w:rsidP="0027039D">
      <w:pPr>
        <w:jc w:val="both"/>
      </w:pPr>
      <w:r>
        <w:rPr>
          <w:highlight w:val="yellow"/>
        </w:rPr>
        <w:t xml:space="preserve">Of 75 people screened, 47 enrolled: 23 recorded as healthy, 10 as prediabetes, and 14 as diabetes. Thirty-eight had paired baseline and post-intervention measurements: 18, 8, and 12, respectively. Nine lacked post-intervention glycemic measurements and were not included in </w:t>
      </w:r>
      <w:r>
        <w:rPr>
          <w:highlight w:val="yellow"/>
        </w:rPr>
        <w:lastRenderedPageBreak/>
        <w:t>paired analyses (Figure 2). Missing post-intervention measurements were not replaced with zeros or imputed.</w:t>
      </w:r>
    </w:p>
    <w:p w14:paraId="08F17DAC" w14:textId="77777777" w:rsidR="00D8178A" w:rsidRDefault="00000000" w:rsidP="0027039D">
      <w:pPr>
        <w:jc w:val="both"/>
      </w:pPr>
      <w:r>
        <w:rPr>
          <w:highlight w:val="yellow"/>
        </w:rPr>
        <w:t>Eligible participants were older than 25 years, provided written informed consent, had no allergy to the cookie ingredients, had not followed a strict diet or weight-loss program in the preceding six months, did not take appetite-reducing medication, and did not smoke. Women were not pregnant or breastfeeding. The protocol listed inability or unwillingness to continue the product, relocation, illness, or death as discontinuation criteria; these criteria do not establish the actual reasons for each missing post-intervention assessment.</w:t>
      </w:r>
    </w:p>
    <w:p w14:paraId="336EDFF7" w14:textId="77777777" w:rsidR="00D8178A" w:rsidRDefault="00000000" w:rsidP="0027039D">
      <w:pPr>
        <w:pStyle w:val="Heading2"/>
        <w:jc w:val="both"/>
      </w:pPr>
      <w:r>
        <w:rPr>
          <w:rFonts w:ascii="Times New Roman" w:hAnsi="Times New Roman"/>
        </w:rPr>
        <w:t>Cookie preparation, planned portions, and dietary guidance</w:t>
      </w:r>
    </w:p>
    <w:p w14:paraId="3F92CE36" w14:textId="77777777" w:rsidR="00D8178A" w:rsidRDefault="00000000" w:rsidP="0027039D">
      <w:pPr>
        <w:jc w:val="both"/>
      </w:pPr>
      <w:r>
        <w:rPr>
          <w:highlight w:val="yellow"/>
        </w:rPr>
        <w:t>Cassava was fermented into growol and processed into flour for cookie preparation, following the earlier product-development work.</w:t>
      </w:r>
      <w:r>
        <w:rPr>
          <w:highlight w:val="yellow"/>
          <w:vertAlign w:val="superscript"/>
        </w:rPr>
        <w:t>23</w:t>
      </w:r>
      <w:r>
        <w:rPr>
          <w:highlight w:val="yellow"/>
        </w:rPr>
        <w:t xml:space="preserve"> Inulin was incorporated using the previously described inulin formulations.</w:t>
      </w:r>
      <w:r>
        <w:rPr>
          <w:highlight w:val="yellow"/>
          <w:vertAlign w:val="superscript"/>
        </w:rPr>
        <w:t>12,14,15,23</w:t>
      </w:r>
      <w:r>
        <w:rPr>
          <w:highlight w:val="yellow"/>
        </w:rPr>
        <w:t xml:space="preserve"> The serving plan allocated 10–15% of individual daily energy needs to the snack.</w:t>
      </w:r>
      <w:r>
        <w:rPr>
          <w:highlight w:val="yellow"/>
          <w:vertAlign w:val="superscript"/>
        </w:rPr>
        <w:t>24</w:t>
      </w:r>
      <w:r>
        <w:rPr>
          <w:highlight w:val="yellow"/>
        </w:rPr>
        <w:t xml:space="preserve"> The portion worksheet used an energy density of 422.28 kcal per 100 g and an assumed cookie weight of 7 g. It calculated both 10% and 15% energy scenarios; its summary sheet listed the 15% scenario.</w:t>
      </w:r>
    </w:p>
    <w:p w14:paraId="7DFDD264" w14:textId="77777777" w:rsidR="00D8178A" w:rsidRDefault="00000000" w:rsidP="0027039D">
      <w:pPr>
        <w:jc w:val="both"/>
      </w:pPr>
      <w:r>
        <w:rPr>
          <w:highlight w:val="yellow"/>
        </w:rPr>
        <w:t>An individual portion could be calculated for 36 of the 38 completers. At the 15% allocation, the planned amount ranged from 35.52 to 71.04 g/day. These figures describe planned portions, not verified amounts consumed. The available records did not specify the final daily amount issued or the inulin content per serving. Each week, participants also received an example diet based on individual energy requirements, calculated from ideal body weight with adjustments for age, activity, metabolic stress, and nutritional status.</w:t>
      </w:r>
    </w:p>
    <w:p w14:paraId="0D7D524C" w14:textId="77777777" w:rsidR="00D8178A" w:rsidRDefault="00000000" w:rsidP="0027039D">
      <w:pPr>
        <w:pStyle w:val="Heading2"/>
        <w:jc w:val="both"/>
      </w:pPr>
      <w:r>
        <w:rPr>
          <w:rFonts w:ascii="Times New Roman" w:hAnsi="Times New Roman"/>
        </w:rPr>
        <w:t>Glycemic measurements and data checks</w:t>
      </w:r>
    </w:p>
    <w:p w14:paraId="1BCAECC7" w14:textId="77777777" w:rsidR="00D8178A" w:rsidRDefault="00000000" w:rsidP="0027039D">
      <w:pPr>
        <w:jc w:val="both"/>
      </w:pPr>
      <w:r>
        <w:rPr>
          <w:highlight w:val="yellow"/>
        </w:rPr>
        <w:t xml:space="preserve">Fasting blood glucose (FBG), HbA1c, and fasting insulin were measured before and after the intervention. The study records describe the GOD-PAP colorimetric enzymatic method for FBG, separation of HbA1c from hemoglobin for HbA1c assessment, and an enzyme-linked </w:t>
      </w:r>
      <w:r>
        <w:rPr>
          <w:highlight w:val="yellow"/>
        </w:rPr>
        <w:lastRenderedPageBreak/>
        <w:t>immunosorbent assay for insulin, with the original HbA1c procedure referring to the cited glycemic-assessment reports.</w:t>
      </w:r>
      <w:r>
        <w:rPr>
          <w:highlight w:val="yellow"/>
          <w:vertAlign w:val="superscript"/>
        </w:rPr>
        <w:t>25,26</w:t>
      </w:r>
      <w:r>
        <w:rPr>
          <w:highlight w:val="yellow"/>
        </w:rPr>
        <w:t xml:space="preserve"> The supplied data label glucose in mg/dL, HbA1c in percent, and insulin in µIU/mL. This study assessed glycemic biomarkers; it did not determine the food glycemic index of the cookies.</w:t>
      </w:r>
    </w:p>
    <w:p w14:paraId="52EA467D" w14:textId="77777777" w:rsidR="00D8178A" w:rsidRDefault="00000000" w:rsidP="0027039D">
      <w:pPr>
        <w:jc w:val="both"/>
      </w:pPr>
      <w:r>
        <w:rPr>
          <w:highlight w:val="yellow"/>
        </w:rPr>
        <w:t>The homeostatic model assessment of insulin resistance (HOMA-IR) was calculated as fasting insulin (µIU/mL) × fasting glucose (mg/dL) / 405, equivalent to insulin × glucose in mmol/L / 22.5.</w:t>
      </w:r>
      <w:r>
        <w:rPr>
          <w:highlight w:val="yellow"/>
          <w:vertAlign w:val="superscript"/>
        </w:rPr>
        <w:t>27</w:t>
      </w:r>
      <w:r>
        <w:rPr>
          <w:highlight w:val="yellow"/>
        </w:rPr>
        <w:t xml:space="preserve"> Recalculation reproduced all available HOMA-IR entries. HOMA-IR is a dimensionless, model-derived index, not a direct measurement of insulin sensitivity.</w:t>
      </w:r>
    </w:p>
    <w:p w14:paraId="009F0C18" w14:textId="77777777" w:rsidR="00D8178A" w:rsidRDefault="00000000" w:rsidP="0027039D">
      <w:pPr>
        <w:jc w:val="both"/>
      </w:pPr>
      <w:r>
        <w:rPr>
          <w:highlight w:val="yellow"/>
        </w:rPr>
        <w:t>HOMA-Beta was an intended outcome. A check during revision showed that its recorded values equaled 20 × insulin without the glucose denominator required by the stated formula. We therefore withdrew the previously reported HOMA-Beta results and related conclusions. Applying the full formula also produced non-positive denominators for nine follow-up records. No replacement HOMA-Beta estimate was used. The reason for withdrawing this outcome is reported explicitly.</w:t>
      </w:r>
    </w:p>
    <w:p w14:paraId="709FB0A9" w14:textId="77777777" w:rsidR="00D8178A" w:rsidRDefault="00000000" w:rsidP="0027039D">
      <w:pPr>
        <w:jc w:val="both"/>
      </w:pPr>
      <w:r>
        <w:rPr>
          <w:highlight w:val="yellow"/>
        </w:rPr>
        <w:t>One record contained HbA1c values of 0.20% before and 0.80% after the intervention. These values were retained in the as-recorded analysis because the original laboratory reports were not supplied. A separate, explicitly post hoc sensitivity analysis excluded this record for HbA1c only. This does not validate the remaining laboratory values or replace source verification.</w:t>
      </w:r>
    </w:p>
    <w:p w14:paraId="39492939" w14:textId="77777777" w:rsidR="00D8178A" w:rsidRDefault="00000000" w:rsidP="0027039D">
      <w:pPr>
        <w:pStyle w:val="Heading2"/>
        <w:jc w:val="both"/>
      </w:pPr>
      <w:r>
        <w:rPr>
          <w:rFonts w:ascii="Times New Roman" w:hAnsi="Times New Roman"/>
        </w:rPr>
        <w:t>Dietary and leftover-cookie monitoring</w:t>
      </w:r>
    </w:p>
    <w:p w14:paraId="46BF4F64" w14:textId="77777777" w:rsidR="00D8178A" w:rsidRDefault="00000000" w:rsidP="0027039D">
      <w:pPr>
        <w:jc w:val="both"/>
      </w:pPr>
      <w:r>
        <w:rPr>
          <w:highlight w:val="yellow"/>
        </w:rPr>
        <w:t>Random blood glucose was recorded during weeks 1–6. Dietary entries were available for weeks 1–7. For each participant and week, the two intake records labeled WD and WE in the worksheet were averaged, as specified by its formulas. Energy, protein, fat, carbohydrate, and fiber were summarized. Whether these intake totals included the intervention cookies could not be established from the records.</w:t>
      </w:r>
    </w:p>
    <w:p w14:paraId="34558772" w14:textId="77777777" w:rsidR="00D8178A" w:rsidRDefault="00000000" w:rsidP="0027039D">
      <w:pPr>
        <w:jc w:val="both"/>
      </w:pPr>
      <w:r>
        <w:rPr>
          <w:highlight w:val="yellow"/>
        </w:rPr>
        <w:lastRenderedPageBreak/>
        <w:t>The leftover-cookie sheet contained gram entries for up to 49 days per participant. Blank cells were treated as missing, not as no leftovers. Text entries using decimal commas were converted to numbers without changing their values. Because issued daily amounts were not documented and some leftovers exceeded the theoretical planned serving, no percentage adherence or consumed dose was calculated.</w:t>
      </w:r>
    </w:p>
    <w:p w14:paraId="5039EB44" w14:textId="77777777" w:rsidR="00D8178A" w:rsidRDefault="00000000" w:rsidP="0027039D">
      <w:pPr>
        <w:pStyle w:val="Heading2"/>
        <w:jc w:val="both"/>
      </w:pPr>
      <w:r>
        <w:rPr>
          <w:rFonts w:ascii="Times New Roman" w:hAnsi="Times New Roman"/>
        </w:rPr>
        <w:t>Ethical considerations</w:t>
      </w:r>
    </w:p>
    <w:p w14:paraId="59037B26" w14:textId="77777777" w:rsidR="00D8178A" w:rsidRDefault="00000000" w:rsidP="0027039D">
      <w:pPr>
        <w:jc w:val="both"/>
      </w:pPr>
      <w:r>
        <w:rPr>
          <w:highlight w:val="yellow"/>
        </w:rPr>
        <w:t>The study received institutional ethics approval (00263/KT.7.4/VII/2025), and written informed consent was obtained before participation. The ethics committee and institutional details are provided separately for editorial assessment. The study was conducted in accordance with the Declaration of Helsinki. No trial-registration number was available in the documentation used for this revision.</w:t>
      </w:r>
    </w:p>
    <w:p w14:paraId="75984CC6" w14:textId="77777777" w:rsidR="00D8178A" w:rsidRDefault="00000000" w:rsidP="0027039D">
      <w:pPr>
        <w:pStyle w:val="Heading2"/>
        <w:jc w:val="both"/>
      </w:pPr>
      <w:r>
        <w:rPr>
          <w:rFonts w:ascii="Times New Roman" w:hAnsi="Times New Roman"/>
        </w:rPr>
        <w:t>Statistical analysis</w:t>
      </w:r>
    </w:p>
    <w:p w14:paraId="6EC63E50" w14:textId="77777777" w:rsidR="00D8178A" w:rsidRDefault="00000000" w:rsidP="0027039D">
      <w:pPr>
        <w:jc w:val="both"/>
      </w:pPr>
      <w:r>
        <w:rPr>
          <w:highlight w:val="yellow"/>
        </w:rPr>
        <w:t>The original analyses were performed in IBM SPSS Statistics 21.0. In response to the reviewer, the participant-level data were checked and additional analyses were performed using Python 3.13.5, NumPy 2.3.5, and SciPy 1.17.0. The revised analysis emphasizes estimation, not a new confirmatory hypothesis. It was developed after peer review and was not a prespecified analysis plan.</w:t>
      </w:r>
    </w:p>
    <w:p w14:paraId="465182F7" w14:textId="77777777" w:rsidR="00D8178A" w:rsidRDefault="00000000" w:rsidP="0027039D">
      <w:pPr>
        <w:jc w:val="both"/>
      </w:pPr>
      <w:r>
        <w:rPr>
          <w:highlight w:val="yellow"/>
        </w:rPr>
        <w:t xml:space="preserve">Paired analyses included 38 participants with measurements at both visits. Change was calculated within each participant as follow-up minus baseline. Overall mean changes are presented with percentile bootstrap 95% confidence intervals from 20,000 resamples of participant-level pairs (random seed 20261021). Baseline and follow-up means and standard deviations are reported alongside these changes. No primary outcome was designated retrospectively. The pooled estimates summarize this heterogeneous sample, not an effect specific to diabetes. Category-specific summaries are descriptive and are retained in Supplementary Table S1 without significance tests or comparative efficacy claims. </w:t>
      </w:r>
      <w:r>
        <w:rPr>
          <w:highlight w:val="yellow"/>
        </w:rPr>
        <w:lastRenderedPageBreak/>
        <w:t>Confidence intervals do not address confounding, measurement error, missing follow-up, or the absence of a control group.</w:t>
      </w:r>
    </w:p>
    <w:p w14:paraId="401A19F8" w14:textId="77777777" w:rsidR="00D8178A" w:rsidRDefault="00000000" w:rsidP="0027039D">
      <w:pPr>
        <w:jc w:val="both"/>
      </w:pPr>
      <w:r>
        <w:rPr>
          <w:highlight w:val="yellow"/>
        </w:rPr>
        <w:t xml:space="preserve">The original overall two-sided Wilcoxon signed-rank results were reproduced as exploratory checks, with zero differences omitted, tie correction, and no continuity correction. Nominal and post hoc Holm-adjusted </w:t>
      </w:r>
      <w:r>
        <w:rPr>
          <w:i/>
          <w:highlight w:val="yellow"/>
        </w:rPr>
        <w:t>p</w:t>
      </w:r>
      <w:r>
        <w:rPr>
          <w:highlight w:val="yellow"/>
        </w:rPr>
        <w:t xml:space="preserve"> values across the four retained glycemic outcomes are reported in Supplementary Table S2, not used to establish efficacy. This adjustment does not cover all tests in the original submission or make the analysis confirmatory. Weekly outcomes were summarized descriptively, without treating repeated weeks as independent participants. Missing outcomes were not imputed.</w:t>
      </w:r>
    </w:p>
    <w:p w14:paraId="44630993" w14:textId="77777777" w:rsidR="00D8178A" w:rsidRDefault="00000000" w:rsidP="0027039D">
      <w:pPr>
        <w:pStyle w:val="Heading1"/>
        <w:jc w:val="both"/>
      </w:pPr>
      <w:r>
        <w:rPr>
          <w:rFonts w:ascii="Times New Roman" w:hAnsi="Times New Roman"/>
        </w:rPr>
        <w:t>Results</w:t>
      </w:r>
    </w:p>
    <w:p w14:paraId="26731502" w14:textId="77777777" w:rsidR="00D8178A" w:rsidRDefault="00000000" w:rsidP="0027039D">
      <w:pPr>
        <w:pStyle w:val="Heading2"/>
        <w:jc w:val="both"/>
      </w:pPr>
      <w:r>
        <w:rPr>
          <w:rFonts w:ascii="Times New Roman" w:hAnsi="Times New Roman"/>
        </w:rPr>
        <w:t>Participants and planned portions</w:t>
      </w:r>
    </w:p>
    <w:p w14:paraId="27F9C7F1" w14:textId="77777777" w:rsidR="00D8178A" w:rsidRDefault="00000000" w:rsidP="0027039D">
      <w:pPr>
        <w:jc w:val="both"/>
      </w:pPr>
      <w:r>
        <w:rPr>
          <w:highlight w:val="yellow"/>
        </w:rPr>
        <w:t>Paired glycemic data were available for 38 of 47 enrolled participants (80.9%). Five healthy-category, two prediabetes-category, and two diabetes-category participants lacked follow-up measurements. Prediabetes enrollment was already below the planned minimum, and both the prediabetes and diabetes categories remained below it at follow-up. Age was documented for 37 completers, with a median of 64 years and range of 27–72 years. Recruitment, follow-up, and documented planning information are summarized in Table 1.</w:t>
      </w:r>
    </w:p>
    <w:p w14:paraId="347836B4" w14:textId="77777777" w:rsidR="00D8178A" w:rsidRDefault="00000000" w:rsidP="0027039D">
      <w:pPr>
        <w:pStyle w:val="Heading2"/>
        <w:jc w:val="both"/>
      </w:pPr>
      <w:r>
        <w:rPr>
          <w:rFonts w:ascii="Times New Roman" w:hAnsi="Times New Roman"/>
        </w:rPr>
        <w:t>Paired glycemic changes</w:t>
      </w:r>
    </w:p>
    <w:p w14:paraId="02D75C2E" w14:textId="77777777" w:rsidR="00D8178A" w:rsidRDefault="00000000" w:rsidP="0027039D">
      <w:pPr>
        <w:jc w:val="both"/>
      </w:pPr>
      <w:r>
        <w:rPr>
          <w:highlight w:val="yellow"/>
        </w:rPr>
        <w:t>Mean FBG was 102.76 mg/dL at baseline and 82.62 mg/dL after the intervention. The mean paired change was −20.14 mg/dL (95% confidence interval, −27.82 to −13.21). Mean HOMA-IR changed from 2.75 to 2.23, with a paired change of −0.51 (−0.81 to −0.23). These are changes observed during the combined cookie and dietary-guidance intervention, not a cookie-specific treatment effect (Table 2).</w:t>
      </w:r>
    </w:p>
    <w:p w14:paraId="1AF7FA73" w14:textId="77777777" w:rsidR="00D8178A" w:rsidRDefault="00000000" w:rsidP="0027039D">
      <w:pPr>
        <w:jc w:val="both"/>
      </w:pPr>
      <w:r>
        <w:rPr>
          <w:highlight w:val="yellow"/>
        </w:rPr>
        <w:lastRenderedPageBreak/>
        <w:t xml:space="preserve">Mean HbA1c changed by +0.22 percentage points (−0.07 to +0.52), and fasting insulin changed by +0.06 µIU/mL (−1.27 to +1.38). Excluding the unverified HbA1c pair gave a mean HbA1c change of +0.21 percentage points (−0.09 to +0.52; n = 37). Neither analysis showed an average HbA1c reduction. The exploratory signed-rank test suggested an upward HbA1c shift (nominal </w:t>
      </w:r>
      <w:r>
        <w:rPr>
          <w:i/>
          <w:highlight w:val="yellow"/>
        </w:rPr>
        <w:t>p</w:t>
      </w:r>
      <w:r>
        <w:rPr>
          <w:highlight w:val="yellow"/>
        </w:rPr>
        <w:t xml:space="preserve"> = 0.006); this test and the interval for a mean change concern different statistical quantities (Supplementary Table S2). HOMA-Beta results were withdrawn because of the calculation error.</w:t>
      </w:r>
    </w:p>
    <w:p w14:paraId="364FC7ED" w14:textId="77777777" w:rsidR="00D8178A" w:rsidRDefault="00000000" w:rsidP="0027039D">
      <w:pPr>
        <w:jc w:val="both"/>
      </w:pPr>
      <w:r>
        <w:rPr>
          <w:highlight w:val="yellow"/>
        </w:rPr>
        <w:t>Follow-up FBG ranged from 45.60 to 205.20 mg/dL; 17 participants had recorded values below 70 mg/dL. Symptom, treatment, and laboratory-source information sufficient to interpret these readings was unavailable. These records do not establish symptomatic hypoglycemia, but they preclude treating every lower value as beneficial or concluding that the intervention was safe.</w:t>
      </w:r>
    </w:p>
    <w:p w14:paraId="2DB597C8" w14:textId="77777777" w:rsidR="00D8178A" w:rsidRDefault="00000000" w:rsidP="0027039D">
      <w:pPr>
        <w:pStyle w:val="Heading2"/>
        <w:jc w:val="both"/>
      </w:pPr>
      <w:r>
        <w:rPr>
          <w:rFonts w:ascii="Times New Roman" w:hAnsi="Times New Roman"/>
        </w:rPr>
        <w:t>Descriptive changes within recorded categories</w:t>
      </w:r>
    </w:p>
    <w:p w14:paraId="2A8C8E7A" w14:textId="77777777" w:rsidR="00D8178A" w:rsidRDefault="00000000" w:rsidP="0027039D">
      <w:pPr>
        <w:jc w:val="both"/>
      </w:pPr>
      <w:r>
        <w:rPr>
          <w:highlight w:val="yellow"/>
        </w:rPr>
        <w:t>Descriptive category-specific results are provided in Supplementary Table S1. Mean paired FBG changes were −15.74, −14.94, and −30.21 mg/dL in the recorded healthy, prediabetes, and diabetes categories. These are not comparative treatment-effect estimates. Different baseline distributions and small, non-randomized categories prevent a conclusion that the product was more effective in any category.</w:t>
      </w:r>
    </w:p>
    <w:p w14:paraId="6D42A859" w14:textId="77777777" w:rsidR="00D8178A" w:rsidRDefault="00000000" w:rsidP="0027039D">
      <w:pPr>
        <w:pStyle w:val="Heading2"/>
        <w:jc w:val="both"/>
      </w:pPr>
      <w:r>
        <w:rPr>
          <w:rFonts w:ascii="Times New Roman" w:hAnsi="Times New Roman"/>
        </w:rPr>
        <w:t>Weekly monitoring and leftover records</w:t>
      </w:r>
    </w:p>
    <w:p w14:paraId="314149DB" w14:textId="77777777" w:rsidR="00D8178A" w:rsidRDefault="00000000" w:rsidP="0027039D">
      <w:pPr>
        <w:jc w:val="both"/>
      </w:pPr>
      <w:r>
        <w:rPr>
          <w:highlight w:val="yellow"/>
        </w:rPr>
        <w:t>Mean random blood glucose was 143.71 mg/dL in week 1 and 126.13 mg/dL in week 6. Across seven weeks, mean recorded energy intake ranged from 1090.94 to 1155.57 kcal/day and mean fiber intake from 9.68 to 11.36 g/day (Table 3). Category-specific weekly summaries are provided in Supplementary Table S3.</w:t>
      </w:r>
    </w:p>
    <w:p w14:paraId="30BB2336" w14:textId="77777777" w:rsidR="00D8178A" w:rsidRDefault="00000000" w:rsidP="0027039D">
      <w:pPr>
        <w:jc w:val="both"/>
      </w:pPr>
      <w:r>
        <w:rPr>
          <w:highlight w:val="yellow"/>
        </w:rPr>
        <w:t xml:space="preserve">Among completers, 1,824 of 1,862 possible daily leftover entries were recorded: 1,651 with zero leftovers and 173 with positive leftovers. Thirty-eight entries were missing. Twenty </w:t>
      </w:r>
      <w:r>
        <w:rPr>
          <w:highlight w:val="yellow"/>
        </w:rPr>
        <w:lastRenderedPageBreak/>
        <w:t>entries from six participants exceeded their theoretical 15%-energy daily portion. These counts describe the available records, not adherence or actual consumed dose (Supplementary Table S4).</w:t>
      </w:r>
    </w:p>
    <w:p w14:paraId="1642A17E" w14:textId="77777777" w:rsidR="00D8178A" w:rsidRDefault="00000000" w:rsidP="0027039D">
      <w:pPr>
        <w:pStyle w:val="Heading1"/>
        <w:jc w:val="both"/>
      </w:pPr>
      <w:r>
        <w:rPr>
          <w:rFonts w:ascii="Times New Roman" w:hAnsi="Times New Roman"/>
        </w:rPr>
        <w:t>Discussion</w:t>
      </w:r>
    </w:p>
    <w:p w14:paraId="153A0E35" w14:textId="77777777" w:rsidR="00D8178A" w:rsidRDefault="00000000" w:rsidP="0027039D">
      <w:pPr>
        <w:jc w:val="both"/>
      </w:pPr>
      <w:r>
        <w:rPr>
          <w:highlight w:val="yellow"/>
        </w:rPr>
        <w:t>Fasting glucose and HOMA-IR were lower after seven weeks of cookies with dietary guidance. However, HbA1c did not decrease on average and fasting insulin changed little. The results therefore do not show consistent improvement across glycemic measures. The study provides preliminary within-participant observations for a locally developed food, not evidence that the product improves diabetes control.</w:t>
      </w:r>
    </w:p>
    <w:p w14:paraId="6F3FB9E7" w14:textId="77777777" w:rsidR="00D8178A" w:rsidRDefault="00000000" w:rsidP="0027039D">
      <w:pPr>
        <w:jc w:val="both"/>
      </w:pPr>
      <w:r>
        <w:rPr>
          <w:highlight w:val="yellow"/>
        </w:rPr>
        <w:t>The nutritional rationale remains relevant. Soluble fiber can influence glucose absorption and postprandial responses,</w:t>
      </w:r>
      <w:r>
        <w:rPr>
          <w:highlight w:val="yellow"/>
          <w:vertAlign w:val="superscript"/>
        </w:rPr>
        <w:t>28</w:t>
      </w:r>
      <w:r>
        <w:rPr>
          <w:highlight w:val="yellow"/>
        </w:rPr>
        <w:t xml:space="preserve"> and evidence syntheses have examined fiber-rich diets in diabetes management.</w:t>
      </w:r>
      <w:r>
        <w:rPr>
          <w:highlight w:val="yellow"/>
          <w:vertAlign w:val="superscript"/>
        </w:rPr>
        <w:t>29</w:t>
      </w:r>
      <w:r>
        <w:rPr>
          <w:highlight w:val="yellow"/>
        </w:rPr>
        <w:t xml:space="preserve"> Research on lower-glycemic-index foods,</w:t>
      </w:r>
      <w:r>
        <w:rPr>
          <w:highlight w:val="yellow"/>
          <w:vertAlign w:val="superscript"/>
        </w:rPr>
        <w:t>30</w:t>
      </w:r>
      <w:r>
        <w:rPr>
          <w:highlight w:val="yellow"/>
        </w:rPr>
        <w:t xml:space="preserve"> resistant-starch interventions,</w:t>
      </w:r>
      <w:r>
        <w:rPr>
          <w:highlight w:val="yellow"/>
          <w:vertAlign w:val="superscript"/>
        </w:rPr>
        <w:t>31</w:t>
      </w:r>
      <w:r>
        <w:rPr>
          <w:highlight w:val="yellow"/>
        </w:rPr>
        <w:t xml:space="preserve"> and their clinical interpretation</w:t>
      </w:r>
      <w:r>
        <w:rPr>
          <w:highlight w:val="yellow"/>
          <w:vertAlign w:val="superscript"/>
        </w:rPr>
        <w:t>32</w:t>
      </w:r>
      <w:r>
        <w:rPr>
          <w:highlight w:val="yellow"/>
        </w:rPr>
        <w:t xml:space="preserve"> provides useful context. These findings cannot establish the effects of this specific cookie formulation or compensate for the absence of a control group.</w:t>
      </w:r>
    </w:p>
    <w:p w14:paraId="7ACBCB06" w14:textId="77777777" w:rsidR="00D8178A" w:rsidRDefault="00000000" w:rsidP="0027039D">
      <w:pPr>
        <w:jc w:val="both"/>
      </w:pPr>
      <w:r>
        <w:rPr>
          <w:highlight w:val="yellow"/>
        </w:rPr>
        <w:t>Resistant starch and fiber characteristics depend on the food source and processing method. Studies of rice starch digestibility</w:t>
      </w:r>
      <w:r>
        <w:rPr>
          <w:highlight w:val="yellow"/>
          <w:vertAlign w:val="superscript"/>
        </w:rPr>
        <w:t>33</w:t>
      </w:r>
      <w:r>
        <w:rPr>
          <w:highlight w:val="yellow"/>
        </w:rPr>
        <w:t xml:space="preserve"> and reviews of resistant-starch ingredients</w:t>
      </w:r>
      <w:r>
        <w:rPr>
          <w:highlight w:val="yellow"/>
          <w:vertAlign w:val="superscript"/>
        </w:rPr>
        <w:t>34</w:t>
      </w:r>
      <w:r>
        <w:rPr>
          <w:highlight w:val="yellow"/>
        </w:rPr>
        <w:t xml:space="preserve"> illustrate this variability. Work on starch modification,</w:t>
      </w:r>
      <w:r>
        <w:rPr>
          <w:highlight w:val="yellow"/>
          <w:vertAlign w:val="superscript"/>
        </w:rPr>
        <w:t>35</w:t>
      </w:r>
      <w:r>
        <w:rPr>
          <w:highlight w:val="yellow"/>
        </w:rPr>
        <w:t xml:space="preserve"> resistant-starch structure,</w:t>
      </w:r>
      <w:r>
        <w:rPr>
          <w:highlight w:val="yellow"/>
          <w:vertAlign w:val="superscript"/>
        </w:rPr>
        <w:t>36</w:t>
      </w:r>
      <w:r>
        <w:rPr>
          <w:highlight w:val="yellow"/>
        </w:rPr>
        <w:t xml:space="preserve"> processing approaches,</w:t>
      </w:r>
      <w:r>
        <w:rPr>
          <w:highlight w:val="yellow"/>
          <w:vertAlign w:val="superscript"/>
        </w:rPr>
        <w:t>37</w:t>
      </w:r>
      <w:r>
        <w:rPr>
          <w:highlight w:val="yellow"/>
        </w:rPr>
        <w:t xml:space="preserve"> and banana starch</w:t>
      </w:r>
      <w:r>
        <w:rPr>
          <w:highlight w:val="yellow"/>
          <w:vertAlign w:val="superscript"/>
        </w:rPr>
        <w:t>38</w:t>
      </w:r>
      <w:r>
        <w:rPr>
          <w:highlight w:val="yellow"/>
        </w:rPr>
        <w:t xml:space="preserve"> provides background rather than direct evidence about the cookies consumed here. Clinical trials of resistant starch have reported glycemic outcomes,</w:t>
      </w:r>
      <w:r>
        <w:rPr>
          <w:highlight w:val="yellow"/>
          <w:vertAlign w:val="superscript"/>
        </w:rPr>
        <w:t>39,40</w:t>
      </w:r>
      <w:r>
        <w:rPr>
          <w:highlight w:val="yellow"/>
        </w:rPr>
        <w:t xml:space="preserve"> but their controlled designs and doses differ from this study. We did not measure gut microbiota or short-chain fatty acids and cannot identify a mechanism for the observed changes.</w:t>
      </w:r>
    </w:p>
    <w:p w14:paraId="7738ABF9" w14:textId="77777777" w:rsidR="00D8178A" w:rsidRDefault="00000000" w:rsidP="0027039D">
      <w:pPr>
        <w:jc w:val="both"/>
      </w:pPr>
      <w:r>
        <w:rPr>
          <w:highlight w:val="yellow"/>
        </w:rPr>
        <w:t xml:space="preserve">The absence of a concurrent comparator is the main limitation. Dietary guidance, repeated monitoring, usual treatment, changes in eating patterns, natural fluctuation, and regression to the mean could explain part or all of the observed changes. Medication use and changes </w:t>
      </w:r>
      <w:r>
        <w:rPr>
          <w:highlight w:val="yellow"/>
        </w:rPr>
        <w:lastRenderedPageBreak/>
        <w:t>during follow-up were unavailable for adjustment. A participant’s baseline measurement does not replace an untreated comparison group. Because HOMA-IR is calculated partly from glucose, its decrease is not an independent demonstration of improved insulin sensitivity.</w:t>
      </w:r>
    </w:p>
    <w:p w14:paraId="542A66F7" w14:textId="77777777" w:rsidR="00D8178A" w:rsidRDefault="00000000" w:rsidP="0027039D">
      <w:pPr>
        <w:jc w:val="both"/>
      </w:pPr>
      <w:r>
        <w:rPr>
          <w:highlight w:val="yellow"/>
        </w:rPr>
        <w:t>The small, unequal categories also limit interpretation. Prediabetes enrollment did not reach the target of 13, and follow-up left eight prediabetes and twelve diabetes participants. We therefore removed the emphasis on between-category comparisons. Pooling the completers describes more observed pairs, but does not create a control group, validate the original sample-size assumptions, or establish adequate power. Nine participants lacked follow-up measurements, and complete-case estimates may be affected by attrition. The exact inputs underlying the original sample target were unavailable for verification.</w:t>
      </w:r>
    </w:p>
    <w:p w14:paraId="79BD0724" w14:textId="77777777" w:rsidR="00D8178A" w:rsidRDefault="00000000" w:rsidP="0027039D">
      <w:pPr>
        <w:jc w:val="both"/>
      </w:pPr>
      <w:r>
        <w:rPr>
          <w:highlight w:val="yellow"/>
        </w:rPr>
        <w:t>Data quality further restricts interpretation. The HOMA-Beta error required withdrawal of that outcome. The unusual HbA1c pair and the clinical basis of three diabetes labels remain unverified. Planned portions were not verified intake, inulin exposure could not be calculated, and incomplete issue and leftover records prevented a valid adherence percentage. Low follow-up glucose readings require source verification and clinical context, not a reassuring safety claim. A future controlled study should use a defined formulation and daily dose, document adherence, medications and adverse events, and base its sample size on a prespecified outcome and comparison. These exploratory estimates describe variability but should not be used alone as reliable treatment-effect estimates.</w:t>
      </w:r>
    </w:p>
    <w:p w14:paraId="63C7E21E" w14:textId="77777777" w:rsidR="00D8178A" w:rsidRDefault="00000000" w:rsidP="0027039D">
      <w:pPr>
        <w:pStyle w:val="Heading1"/>
        <w:jc w:val="both"/>
      </w:pPr>
      <w:r>
        <w:rPr>
          <w:rFonts w:ascii="Times New Roman" w:hAnsi="Times New Roman"/>
        </w:rPr>
        <w:t>Conclusion</w:t>
      </w:r>
    </w:p>
    <w:p w14:paraId="063A846D" w14:textId="77777777" w:rsidR="00D8178A" w:rsidRDefault="00000000" w:rsidP="0027039D">
      <w:pPr>
        <w:jc w:val="both"/>
      </w:pPr>
      <w:r>
        <w:rPr>
          <w:highlight w:val="yellow"/>
        </w:rPr>
        <w:t>Fasting glucose and HOMA-IR were lower after the combined cookie and dietary-guidance intervention, while HbA1c did not decrease on average. The uncontrolled design, small categories, and unresolved measurements prevent conclusions about cookie-specific benefit, differential efficacy, or safety. The findings support further controlled investigation, not a recommendation to use the cookies as a diabetes treatment.</w:t>
      </w:r>
    </w:p>
    <w:p w14:paraId="0DF6EFD1" w14:textId="77777777" w:rsidR="00D8178A" w:rsidRDefault="00000000" w:rsidP="0027039D">
      <w:pPr>
        <w:pStyle w:val="Heading1"/>
        <w:jc w:val="both"/>
      </w:pPr>
      <w:r>
        <w:rPr>
          <w:rFonts w:ascii="Times New Roman" w:hAnsi="Times New Roman"/>
        </w:rPr>
        <w:lastRenderedPageBreak/>
        <w:t>Acknowledgements</w:t>
      </w:r>
    </w:p>
    <w:p w14:paraId="555ACA77" w14:textId="77777777" w:rsidR="00D8178A" w:rsidRDefault="00000000" w:rsidP="0027039D">
      <w:pPr>
        <w:jc w:val="both"/>
      </w:pPr>
      <w:r>
        <w:rPr>
          <w:highlight w:val="yellow"/>
        </w:rPr>
        <w:t>Acknowledgements and funding details are provided on the separate title page to preserve anonymized review.</w:t>
      </w:r>
    </w:p>
    <w:p w14:paraId="17161126" w14:textId="77777777" w:rsidR="00D8178A" w:rsidRDefault="00000000" w:rsidP="0027039D">
      <w:pPr>
        <w:pStyle w:val="Heading1"/>
        <w:jc w:val="both"/>
      </w:pPr>
      <w:r>
        <w:rPr>
          <w:rFonts w:ascii="Times New Roman" w:hAnsi="Times New Roman"/>
        </w:rPr>
        <w:t>Conflict of interest</w:t>
      </w:r>
    </w:p>
    <w:p w14:paraId="449C9115" w14:textId="77777777" w:rsidR="00D8178A" w:rsidRDefault="00000000" w:rsidP="0027039D">
      <w:pPr>
        <w:jc w:val="both"/>
      </w:pPr>
      <w:r>
        <w:t>Conflict of Interest: none declared.</w:t>
      </w:r>
    </w:p>
    <w:p w14:paraId="4576A7E6" w14:textId="77777777" w:rsidR="00D8178A" w:rsidRDefault="00000000" w:rsidP="0027039D">
      <w:pPr>
        <w:pStyle w:val="Heading1"/>
        <w:jc w:val="both"/>
      </w:pPr>
      <w:r>
        <w:rPr>
          <w:rFonts w:ascii="Times New Roman" w:hAnsi="Times New Roman"/>
        </w:rPr>
        <w:t>Artificial Intelligence-assisted technology disclosure</w:t>
      </w:r>
    </w:p>
    <w:p w14:paraId="7413F127" w14:textId="7B12F8FB" w:rsidR="00D8178A" w:rsidRDefault="00000000" w:rsidP="0027039D">
      <w:pPr>
        <w:jc w:val="both"/>
      </w:pPr>
      <w:r>
        <w:rPr>
          <w:highlight w:val="yellow"/>
        </w:rPr>
        <w:t>ChatGPT assisted with language editing. Calculations were executed using the software described above. No participant measurements were generated or replaced by AI. The authors retain responsibility for the data, analyses, interpretation, and final approval of the submission.</w:t>
      </w:r>
    </w:p>
    <w:p w14:paraId="3C1753C3" w14:textId="77777777" w:rsidR="00D8178A" w:rsidRDefault="00000000">
      <w:pPr>
        <w:spacing w:line="20" w:lineRule="exact"/>
      </w:pPr>
      <w:r>
        <w:rPr>
          <w:sz w:val="2"/>
        </w:rPr>
        <w:br w:type="page"/>
      </w:r>
    </w:p>
    <w:p w14:paraId="65F53D93" w14:textId="77777777" w:rsidR="00D8178A" w:rsidRDefault="00000000">
      <w:pPr>
        <w:pStyle w:val="Heading1"/>
      </w:pPr>
      <w:r>
        <w:rPr>
          <w:rFonts w:ascii="Times New Roman" w:hAnsi="Times New Roman"/>
        </w:rPr>
        <w:lastRenderedPageBreak/>
        <w:t>References</w:t>
      </w:r>
    </w:p>
    <w:p w14:paraId="0C481329" w14:textId="77777777" w:rsidR="00D8178A" w:rsidRDefault="00000000" w:rsidP="0027039D">
      <w:pPr>
        <w:ind w:left="360" w:hanging="360"/>
        <w:jc w:val="both"/>
      </w:pPr>
      <w:r>
        <w:t>1. International Diabetes Federation. IDF Diabetes Atlas. 11th ed. Brussels: International Diabetes Federation; 2025. Available from: https://diabetesatlas.org/resources/idf-diabetes-atlas-2025/</w:t>
      </w:r>
    </w:p>
    <w:p w14:paraId="4413CECE" w14:textId="77777777" w:rsidR="00D8178A" w:rsidRDefault="00000000" w:rsidP="0027039D">
      <w:pPr>
        <w:ind w:left="360" w:hanging="360"/>
        <w:jc w:val="both"/>
      </w:pPr>
      <w:r>
        <w:rPr>
          <w:highlight w:val="yellow"/>
        </w:rPr>
        <w:t>2. Wahidin M, Achadi A, Besral B, et al. Projection of diabetes morbidity and mortality till 2045 in Indonesia based on risk factors and NCD prevention and control programs. Sci Rep. 2024;14:5424. doi:10.1038/s41598-024-54563-2. PMID:38443384.</w:t>
      </w:r>
    </w:p>
    <w:p w14:paraId="46F1968B" w14:textId="77777777" w:rsidR="00D8178A" w:rsidRDefault="00000000" w:rsidP="0027039D">
      <w:pPr>
        <w:ind w:left="360" w:hanging="360"/>
        <w:jc w:val="both"/>
      </w:pPr>
      <w:r>
        <w:t>3. Indrahadi D, Wardana A, Pierewan AC. The prevalence of diabetes mellitus and relationship with socioeconomic status in the Indonesian population. J Gizi Klin Indones. 2021;17(3):103-112. doi:10.22146/ijcn.55003.</w:t>
      </w:r>
    </w:p>
    <w:p w14:paraId="3D2926F1" w14:textId="77777777" w:rsidR="00D8178A" w:rsidRDefault="00000000" w:rsidP="0027039D">
      <w:pPr>
        <w:ind w:left="360" w:hanging="360"/>
        <w:jc w:val="both"/>
      </w:pPr>
      <w:r>
        <w:t>4. Kimura Y, Yoshida D, Hirakawa Y, et al. Dietary fiber intake and risk of type 2 diabetes in a general Japanese population: the Hisayama Study. J Diabetes Investig. 2021;12(4):527-536. doi:10.1111/jdi.13377.</w:t>
      </w:r>
      <w:r>
        <w:rPr>
          <w:highlight w:val="yellow"/>
        </w:rPr>
        <w:t xml:space="preserve"> PMID:32738819.</w:t>
      </w:r>
    </w:p>
    <w:p w14:paraId="6EC7BA39" w14:textId="77777777" w:rsidR="00D8178A" w:rsidRDefault="00000000" w:rsidP="0027039D">
      <w:pPr>
        <w:ind w:left="360" w:hanging="360"/>
        <w:jc w:val="both"/>
      </w:pPr>
      <w:r>
        <w:rPr>
          <w:highlight w:val="yellow"/>
        </w:rPr>
        <w:t>5. Mao T, Huang F, Zhu X, et al. Effects of dietary fiber on glycemic control and insulin sensitivity in patients with type 2 diabetes: a systematic review and meta-analysis. J Funct Foods. 2021;82:104500. doi:10.1016/j.jff.2021.104500.</w:t>
      </w:r>
    </w:p>
    <w:p w14:paraId="7F401244" w14:textId="77777777" w:rsidR="00D8178A" w:rsidRDefault="00000000" w:rsidP="0027039D">
      <w:pPr>
        <w:ind w:left="360" w:hanging="360"/>
        <w:jc w:val="both"/>
      </w:pPr>
      <w:r>
        <w:rPr>
          <w:highlight w:val="yellow"/>
        </w:rPr>
        <w:t>6. Mayorga-Ramos A, Barba-Ostria C, Simancas-Racines D, et al. Protective role of butyrate in obesity and diabetes: new insights. Front Nutr. 2022;9:1067647. doi:10.3389/fnut.2022.1067647. PMID:36505262.</w:t>
      </w:r>
    </w:p>
    <w:p w14:paraId="5809BAC1" w14:textId="77777777" w:rsidR="00D8178A" w:rsidRDefault="00000000" w:rsidP="0027039D">
      <w:pPr>
        <w:ind w:left="360" w:hanging="360"/>
        <w:jc w:val="both"/>
      </w:pPr>
      <w:r>
        <w:t>7. Mazhar M, Zhu Y, Qin L. The interplay of dietary fibers and intestinal microbiota affects type 2 diabetes by generating short-chain fatty acids. Foods. 2023;12(5):1023. doi:10.3390/foods12051023.</w:t>
      </w:r>
      <w:r>
        <w:rPr>
          <w:highlight w:val="yellow"/>
        </w:rPr>
        <w:t xml:space="preserve"> PMID:36900540.</w:t>
      </w:r>
    </w:p>
    <w:p w14:paraId="084E684A" w14:textId="77777777" w:rsidR="00D8178A" w:rsidRDefault="00000000" w:rsidP="0027039D">
      <w:pPr>
        <w:ind w:left="360" w:hanging="360"/>
        <w:jc w:val="both"/>
      </w:pPr>
      <w:r>
        <w:t>8. Vinelli V, Biscotti P, Martini D, et al. Effects of dietary fibers on short-chain fatty acids and gut microbiota composition in healthy adults: a systematic review. Nutrients. 2022;14(13):2559. doi:10.3390/nu14132559.</w:t>
      </w:r>
      <w:r>
        <w:rPr>
          <w:highlight w:val="yellow"/>
        </w:rPr>
        <w:t xml:space="preserve"> PMID:35807739.</w:t>
      </w:r>
    </w:p>
    <w:p w14:paraId="4303A11F" w14:textId="77777777" w:rsidR="00D8178A" w:rsidRDefault="00000000" w:rsidP="0027039D">
      <w:pPr>
        <w:ind w:left="360" w:hanging="360"/>
        <w:jc w:val="both"/>
      </w:pPr>
      <w:r>
        <w:lastRenderedPageBreak/>
        <w:t>9. Puspaningtyas DE, Helsius SBD, Kusuma NH. Analisis Kandungan Karbohidrat dan Potensi Prebiotik pada Growol sebagai Makanan Alternatif Dislipidemia. Yogyakarta: Universitas Respati Yogyakarta; 2018.</w:t>
      </w:r>
    </w:p>
    <w:p w14:paraId="7D48EB9D" w14:textId="77777777" w:rsidR="00D8178A" w:rsidRDefault="00000000" w:rsidP="0027039D">
      <w:pPr>
        <w:ind w:left="360" w:hanging="360"/>
        <w:jc w:val="both"/>
      </w:pPr>
      <w:r>
        <w:t>10. Sari PM, Puspaningtyas DE. Skor aktivitas prebiotik growol (makanan fermentasi tradisional dari singkong) terhadap Lactobacillus sp. dan Escherichia coli. Ilmu Gizi Indones. 2019;2(2):101-106. doi:10.35842/ilgi.v2i2.89.</w:t>
      </w:r>
    </w:p>
    <w:p w14:paraId="7183DF91" w14:textId="77777777" w:rsidR="00D8178A" w:rsidRDefault="00000000" w:rsidP="0027039D">
      <w:pPr>
        <w:ind w:left="360" w:hanging="360"/>
        <w:jc w:val="both"/>
      </w:pPr>
      <w:r>
        <w:rPr>
          <w:highlight w:val="yellow"/>
        </w:rPr>
        <w:t>11. Puspaningtyas DE, Sari PM, Kusuma NH, et al. Indeks glikemik cookies growol: studi pengembangan produk makanan selingan bagi penyandang diabetes mellitus. J Gizi Klin Indones. 2020;17(1):34-42. doi:10.22146/ijcn.54576.</w:t>
      </w:r>
    </w:p>
    <w:p w14:paraId="6B24AF7D" w14:textId="77777777" w:rsidR="00D8178A" w:rsidRDefault="00000000" w:rsidP="0027039D">
      <w:pPr>
        <w:ind w:left="360" w:hanging="360"/>
        <w:jc w:val="both"/>
      </w:pPr>
      <w:r>
        <w:rPr>
          <w:highlight w:val="yellow"/>
        </w:rPr>
        <w:t>12. Puspaningtyas DE, Nekada CDY, Sari PM. Penambahan inulin terhadap indeks glikemik dan beban glikemik cookies growol: pengembangan makanan selingan diabetes. AcTion Aceh Nutr J. 2022;7(2):169-178. doi:10.30867/action.v7i2.738.</w:t>
      </w:r>
    </w:p>
    <w:p w14:paraId="796D4B50" w14:textId="77777777" w:rsidR="00D8178A" w:rsidRDefault="00000000" w:rsidP="0027039D">
      <w:pPr>
        <w:ind w:left="360" w:hanging="360"/>
        <w:jc w:val="both"/>
      </w:pPr>
      <w:r>
        <w:rPr>
          <w:highlight w:val="yellow"/>
        </w:rPr>
        <w:t>13. Puspaningtyas DE, Sari PM, Styaningrum SD, et al. Optimizing healthy snacks for diabetics: study of fiber and starch digestibility of glucomannan-modified growol cookies. AcTion Aceh Nutr J. 2024;9(1):182-193. doi:10.30867/action.v9i1.1514.</w:t>
      </w:r>
    </w:p>
    <w:p w14:paraId="70EF3478" w14:textId="77777777" w:rsidR="00D8178A" w:rsidRDefault="00000000" w:rsidP="0027039D">
      <w:pPr>
        <w:ind w:left="360" w:hanging="360"/>
        <w:jc w:val="both"/>
      </w:pPr>
      <w:r>
        <w:rPr>
          <w:highlight w:val="yellow"/>
        </w:rPr>
        <w:t>14. Sari PM, Puspaningtyas DE, Styaningrum SD, et al. Effect of inulin addition on the proximate content of the low glycemic index of growol cookies. Ilmu Gizi Indones. 2023;7(1):87-94. doi:10.35842/ilgi.v7i1.446.</w:t>
      </w:r>
    </w:p>
    <w:p w14:paraId="23BCDBE7" w14:textId="77777777" w:rsidR="00D8178A" w:rsidRDefault="00000000" w:rsidP="0027039D">
      <w:pPr>
        <w:ind w:left="360" w:hanging="360"/>
        <w:jc w:val="both"/>
      </w:pPr>
      <w:r>
        <w:rPr>
          <w:highlight w:val="yellow"/>
        </w:rPr>
        <w:t>15. Styaningrum SD, Sari PM, Puspaningtyas DE, et al. Analisis warna, tekstur, organoleptik serta kesukaan pada kukis growol dengan variasi penambahan inulin. Ilmu Gizi Indones. 2023;6(2):115-124. doi:10.35842/ilgi.v6i2.406.</w:t>
      </w:r>
    </w:p>
    <w:p w14:paraId="1F4CED95" w14:textId="77777777" w:rsidR="00D8178A" w:rsidRDefault="00000000" w:rsidP="0027039D">
      <w:pPr>
        <w:ind w:left="360" w:hanging="360"/>
        <w:jc w:val="both"/>
      </w:pPr>
      <w:r>
        <w:rPr>
          <w:highlight w:val="yellow"/>
        </w:rPr>
        <w:t>16. Zhang W, Tang Y, Huang J, et al. Efficacy of inulin supplementation in improving insulin control, HbA1c and HOMA-IR in patients with type 2 diabetes: a systematic review and meta-analysis of randomized controlled trials. J Clin Biochem Nutr. 2020;66(3):176-183. doi:10.3164/jcbn.19-103. PMID:32523243.</w:t>
      </w:r>
    </w:p>
    <w:p w14:paraId="65433D9A" w14:textId="77777777" w:rsidR="00D8178A" w:rsidRDefault="00000000" w:rsidP="0027039D">
      <w:pPr>
        <w:ind w:left="360" w:hanging="360"/>
        <w:jc w:val="both"/>
      </w:pPr>
      <w:r>
        <w:lastRenderedPageBreak/>
        <w:t>17. Sunarti S, Ginting CN, Ginting SF. Narative review: potensi inulin umbi dahlia sebagai anti diabetes. J Keperawatan Prior. 2022;5(1):53-65. doi:10.34012/jukep.v5i1.2134.</w:t>
      </w:r>
    </w:p>
    <w:p w14:paraId="5F9F19EE" w14:textId="77777777" w:rsidR="00D8178A" w:rsidRDefault="00000000" w:rsidP="0027039D">
      <w:pPr>
        <w:ind w:left="360" w:hanging="360"/>
        <w:jc w:val="both"/>
      </w:pPr>
      <w:r>
        <w:t>18. Mitchell CM, Davy BM, Ponder MA, et al. Prebiotic inulin supplementation and peripheral insulin sensitivity in adults at elevated risk for type 2 diabetes: a pilot randomized controlled trial. Nutrients. 2021;13(9):3235. doi:10.3390/nu13093235.</w:t>
      </w:r>
      <w:r>
        <w:rPr>
          <w:highlight w:val="yellow"/>
        </w:rPr>
        <w:t xml:space="preserve"> PMID:34579112.</w:t>
      </w:r>
    </w:p>
    <w:p w14:paraId="75B2A942" w14:textId="77777777" w:rsidR="00D8178A" w:rsidRDefault="00000000" w:rsidP="0027039D">
      <w:pPr>
        <w:ind w:left="360" w:hanging="360"/>
        <w:jc w:val="both"/>
      </w:pPr>
      <w:r>
        <w:t>19. Miao M, Dai Y, Rui C, et al. Dietary supplementation of inulin alleviates metabolism disorders in gestational diabetes mellitus mice via RENT/AKT/IRS/GLUT4 pathway. Diabetol Metab Syndr. 2021;13(1):150. doi:10.1186/s13098-021-00768-8.</w:t>
      </w:r>
      <w:r>
        <w:rPr>
          <w:highlight w:val="yellow"/>
        </w:rPr>
        <w:t xml:space="preserve"> PMID:34952629.</w:t>
      </w:r>
    </w:p>
    <w:p w14:paraId="62143519" w14:textId="77777777" w:rsidR="00D8178A" w:rsidRDefault="00000000" w:rsidP="0027039D">
      <w:pPr>
        <w:ind w:left="360" w:hanging="360"/>
        <w:jc w:val="both"/>
      </w:pPr>
      <w:r>
        <w:rPr>
          <w:highlight w:val="yellow"/>
        </w:rPr>
        <w:t>20. Puspaningtyas DE, Sari PM, Sucipto A, et al. Effect of inulin addition in fermented cassava (growol) cookies on the glycemic control and lipid profile in STZ-NA-induced diabetic rats. South East Eur J Public Health. 2024;25:1972-1982. doi:10.70135/seejph.vi.2772.</w:t>
      </w:r>
    </w:p>
    <w:p w14:paraId="3C45DE1E" w14:textId="77777777" w:rsidR="00D8178A" w:rsidRDefault="00000000" w:rsidP="0027039D">
      <w:pPr>
        <w:ind w:left="360" w:hanging="360"/>
        <w:jc w:val="both"/>
      </w:pPr>
      <w:r>
        <w:rPr>
          <w:highlight w:val="yellow"/>
        </w:rPr>
        <w:t>21. Jenko Pražnikar Z, Mohorko N, Gmajner D, et al. Effects of four different dietary fibre supplements on weight loss and lipid and glucose serum profiles during energy restriction in patients with traits of metabolic syndrome: a comparative, randomized, placebo-controlled study. Foods. 2023;12(11):2122. doi:10.3390/foods12112122. PMID:37297364.</w:t>
      </w:r>
    </w:p>
    <w:p w14:paraId="5F66FD2A" w14:textId="77777777" w:rsidR="00D8178A" w:rsidRDefault="00000000" w:rsidP="0027039D">
      <w:pPr>
        <w:ind w:left="360" w:hanging="360"/>
        <w:jc w:val="both"/>
      </w:pPr>
      <w:r>
        <w:t>22. Soelistijo SA. Pedoman Pengelolaan dan Pencegahan Diabetes Melitus Tipe 2 Dewasa di Indonesia 2021. Jakarta: PB PERKENI; 2021.</w:t>
      </w:r>
    </w:p>
    <w:p w14:paraId="0D0B0D0D" w14:textId="77777777" w:rsidR="00D8178A" w:rsidRDefault="00000000" w:rsidP="0027039D">
      <w:pPr>
        <w:ind w:left="360" w:hanging="360"/>
        <w:jc w:val="both"/>
      </w:pPr>
      <w:r>
        <w:t>23. Puspaningtyas DE, Sari PM, Styaningrum SD, Sucipto A. Efektivitas Cookies Growol Modifikasi Inulin dan Glukomanan untuk Diet Diabetes: Kajian Pengembangan Pangan Lokal Fungsional. Yogyakarta: Universitas Respati Yogyakarta; 2023.</w:t>
      </w:r>
    </w:p>
    <w:p w14:paraId="7C006890" w14:textId="77777777" w:rsidR="00D8178A" w:rsidRDefault="00000000" w:rsidP="0027039D">
      <w:pPr>
        <w:ind w:left="360" w:hanging="360"/>
        <w:jc w:val="both"/>
      </w:pPr>
      <w:r>
        <w:lastRenderedPageBreak/>
        <w:t>24. Potter M, Vlassopoulos A, Lehmann U. Snacking recommendations worldwide: a scoping review. Adv Nutr. 2018;9(2):86-98. doi:10.1093/advances/nmx003.</w:t>
      </w:r>
      <w:r>
        <w:rPr>
          <w:highlight w:val="yellow"/>
        </w:rPr>
        <w:t xml:space="preserve"> PMID:29659681.</w:t>
      </w:r>
    </w:p>
    <w:p w14:paraId="36B84909" w14:textId="77777777" w:rsidR="00D8178A" w:rsidRDefault="00000000" w:rsidP="0027039D">
      <w:pPr>
        <w:ind w:left="360" w:hanging="360"/>
        <w:jc w:val="both"/>
      </w:pPr>
      <w:r>
        <w:t>25. Hasanah N, Ikawati Z. Analisis korelasi gula darah puasa, HbA1c, dan karakteristik partisipan. J Manaj Pelayanan Farm. 2021;11(4):240. doi:10.22146/jmpf.62292.</w:t>
      </w:r>
    </w:p>
    <w:p w14:paraId="56D6A753" w14:textId="77777777" w:rsidR="00D8178A" w:rsidRDefault="00000000" w:rsidP="0027039D">
      <w:pPr>
        <w:ind w:left="360" w:hanging="360"/>
        <w:jc w:val="both"/>
      </w:pPr>
      <w:r>
        <w:t>26. Sartika F, Hestiani N. Kadar HbA1c pada pasien wanita penderita diabetes mellitus tipe 2 di RSUD Dr. Doris Sylvanus Palangka Raya. Borneo J Med Lab Technol. 2019;2(1):97-100. doi:10.33084/bjmlt.v2i1.1086.</w:t>
      </w:r>
    </w:p>
    <w:p w14:paraId="03DDF8D1" w14:textId="77777777" w:rsidR="00D8178A" w:rsidRDefault="00000000" w:rsidP="0027039D">
      <w:pPr>
        <w:ind w:left="360" w:hanging="360"/>
        <w:jc w:val="both"/>
      </w:pPr>
      <w:r>
        <w:rPr>
          <w:highlight w:val="yellow"/>
        </w:rPr>
        <w:t>27. Matthews DR, Hosker JP, Rudenski AS, et al. Homeostasis model assessment: insulin resistance and beta-cell function from fasting plasma glucose and insulin concentrations in man. Diabetologia. 1985;28(7):412-419. doi:10.1007/BF00280883. PMID:3899825.</w:t>
      </w:r>
    </w:p>
    <w:p w14:paraId="759F1F59" w14:textId="77777777" w:rsidR="00D8178A" w:rsidRDefault="00000000" w:rsidP="0027039D">
      <w:pPr>
        <w:ind w:left="360" w:hanging="360"/>
        <w:jc w:val="both"/>
      </w:pPr>
      <w:r>
        <w:t>28. Giuntini EB, Sarda FAH, de Menezes EW. The effects of soluble dietary fibers on glycemic response: an overview and futures perspectives. Foods. 2022;11(23):3934. doi:10.3390/foods11233934.</w:t>
      </w:r>
      <w:r>
        <w:rPr>
          <w:highlight w:val="yellow"/>
        </w:rPr>
        <w:t xml:space="preserve"> PMID:36496742.</w:t>
      </w:r>
    </w:p>
    <w:p w14:paraId="748286B9" w14:textId="77777777" w:rsidR="00D8178A" w:rsidRDefault="00000000" w:rsidP="0027039D">
      <w:pPr>
        <w:ind w:left="360" w:hanging="360"/>
        <w:jc w:val="both"/>
      </w:pPr>
      <w:r>
        <w:t>29. Reynolds AN, Akerman AP, Mann J. Dietary fibre and whole grains in diabetes management: systematic review and meta-analyses. PLoS Med. 2020;17(3):e1003053. doi:10.1371/journal.pmed.1003053.</w:t>
      </w:r>
      <w:r>
        <w:rPr>
          <w:highlight w:val="yellow"/>
        </w:rPr>
        <w:t xml:space="preserve"> PMID:32142510.</w:t>
      </w:r>
    </w:p>
    <w:p w14:paraId="4E776EE7" w14:textId="77777777" w:rsidR="00D8178A" w:rsidRDefault="00000000" w:rsidP="0027039D">
      <w:pPr>
        <w:ind w:left="360" w:hanging="360"/>
        <w:jc w:val="both"/>
      </w:pPr>
      <w:r>
        <w:rPr>
          <w:highlight w:val="yellow"/>
        </w:rPr>
        <w:t>30. Noviasari S, Kusnandar F, Setiyono A, et al. Beras analog sebagai pangan fungsional dengan indeks glikemik rendah. J Gizi Pangan. 2015;10(3):225-232.</w:t>
      </w:r>
    </w:p>
    <w:p w14:paraId="56E66BF5" w14:textId="77777777" w:rsidR="00D8178A" w:rsidRDefault="00000000" w:rsidP="0027039D">
      <w:pPr>
        <w:ind w:left="360" w:hanging="360"/>
        <w:jc w:val="both"/>
      </w:pPr>
      <w:r>
        <w:rPr>
          <w:highlight w:val="yellow"/>
        </w:rPr>
        <w:t>31. Pugh JE, Cai M, Altieri N, et al. A comparison of the effects of resistant starch types on glycemic response in individuals with type 2 diabetes or prediabetes: a systematic review and meta-analysis. Front Nutr. 2023;10:1118229. doi:10.3389/fnut.2023.1118229. PMID:37051127.</w:t>
      </w:r>
    </w:p>
    <w:p w14:paraId="60C88040" w14:textId="77777777" w:rsidR="00D8178A" w:rsidRDefault="00000000" w:rsidP="0027039D">
      <w:pPr>
        <w:ind w:left="360" w:hanging="360"/>
        <w:jc w:val="both"/>
      </w:pPr>
      <w:r>
        <w:t>32. Volpe SL. Resistant starch and type 2 diabetes mellitus: clinical perspective. ACSM Health Fit J. 2016;20(5):59-60.</w:t>
      </w:r>
      <w:r>
        <w:rPr>
          <w:highlight w:val="yellow"/>
        </w:rPr>
        <w:t xml:space="preserve"> doi:10.1249/FIT.0000000000000229.</w:t>
      </w:r>
    </w:p>
    <w:p w14:paraId="06ED06D2" w14:textId="77777777" w:rsidR="00D8178A" w:rsidRDefault="00000000" w:rsidP="0027039D">
      <w:pPr>
        <w:ind w:left="360" w:hanging="360"/>
        <w:jc w:val="both"/>
      </w:pPr>
      <w:r>
        <w:lastRenderedPageBreak/>
        <w:t>33. Tuano APP, Barcellano ECG, Rodriguez MS. Resistant starch levels and in vitro starch digestibility of selected cooked Philippine brown and milled rices varying in apparent amylose content and glycemic index. Food Chem Mol Sci. 2021;2:100010. doi:10.1016/j.fochms.2021.100010.</w:t>
      </w:r>
      <w:r>
        <w:rPr>
          <w:highlight w:val="yellow"/>
        </w:rPr>
        <w:t xml:space="preserve"> PMID:35415630.</w:t>
      </w:r>
    </w:p>
    <w:p w14:paraId="4E2B6B86" w14:textId="77777777" w:rsidR="00D8178A" w:rsidRDefault="00000000" w:rsidP="0027039D">
      <w:pPr>
        <w:ind w:left="360" w:hanging="360"/>
        <w:jc w:val="both"/>
      </w:pPr>
      <w:r>
        <w:rPr>
          <w:highlight w:val="yellow"/>
        </w:rPr>
        <w:t>34. Walsh SK, Lucey A, Walter J, et al. Resistant starch: an accessible fiber ingredient acceptable to the Western palate. Compr Rev Food Sci Food Saf. 2022;21(3):2930-2955. doi:10.1111/1541-4337.12955. PMID:35478262.</w:t>
      </w:r>
    </w:p>
    <w:p w14:paraId="72C8C739" w14:textId="77777777" w:rsidR="00D8178A" w:rsidRDefault="00000000" w:rsidP="0027039D">
      <w:pPr>
        <w:ind w:left="360" w:hanging="360"/>
        <w:jc w:val="both"/>
      </w:pPr>
      <w:r>
        <w:t>35. Masrukan M. Potensi modifikasi pati dengan esterifikasi sebagai prebiotik. Agrotech J Ilm Teknol Pertan. 2020;1(1):1-14. doi:10.37631/agrotech.v3i1.174.</w:t>
      </w:r>
    </w:p>
    <w:p w14:paraId="1B8FC3DB" w14:textId="77777777" w:rsidR="00D8178A" w:rsidRDefault="00000000" w:rsidP="0027039D">
      <w:pPr>
        <w:ind w:left="360" w:hanging="360"/>
        <w:jc w:val="both"/>
      </w:pPr>
      <w:r>
        <w:t>36. Meutia YR. Pati resisten: struktur, preparasi, dan efek fisiologisnya. J Agro-Based Ind. 2010;27(1):72-84.</w:t>
      </w:r>
    </w:p>
    <w:p w14:paraId="75595CA1" w14:textId="77777777" w:rsidR="00D8178A" w:rsidRDefault="00000000" w:rsidP="0027039D">
      <w:pPr>
        <w:ind w:left="360" w:hanging="360"/>
        <w:jc w:val="both"/>
      </w:pPr>
      <w:r>
        <w:rPr>
          <w:highlight w:val="yellow"/>
        </w:rPr>
        <w:t>37. Setiarto RHB, Jenie BSL, Faridah DN, et al. Kajian peningkatan pati resisten yang terkandung dalam bahan pangan sebagai sumber prebiotik. J Ilmu Pertan Indones. 2015;20(3):191-200. doi:10.18343/jipi.20.3.191.</w:t>
      </w:r>
    </w:p>
    <w:p w14:paraId="004395E9" w14:textId="77777777" w:rsidR="00D8178A" w:rsidRDefault="00000000" w:rsidP="0027039D">
      <w:pPr>
        <w:ind w:left="360" w:hanging="360"/>
        <w:jc w:val="both"/>
      </w:pPr>
      <w:r>
        <w:t>38. Suloi ANF. Potensi pati resisten dari berbagai jenis pisang: a review. J Penelit Pengemb Agrokompleks. 2019;2(1):92-96.</w:t>
      </w:r>
    </w:p>
    <w:p w14:paraId="3BDAC437" w14:textId="77777777" w:rsidR="00D8178A" w:rsidRDefault="00000000" w:rsidP="0027039D">
      <w:pPr>
        <w:ind w:left="360" w:hanging="360"/>
        <w:jc w:val="both"/>
      </w:pPr>
      <w:r>
        <w:t>39. Karimi P, Farhangi MA, Sarmadi B, et al. The therapeutic potential of resistant starch in modulation of insulin resistance, endotoxemia, oxidative stress and antioxidant biomarkers in women with type 2 diabetes: a randomized controlled clinical trial. Ann Nutr Metab. 2016;68(2):85-93. doi:10.1159/000441683.</w:t>
      </w:r>
      <w:r>
        <w:rPr>
          <w:highlight w:val="yellow"/>
        </w:rPr>
        <w:t xml:space="preserve"> PMID:26655398.</w:t>
      </w:r>
    </w:p>
    <w:p w14:paraId="52A65124" w14:textId="77777777" w:rsidR="00D8178A" w:rsidRDefault="00000000" w:rsidP="0027039D">
      <w:pPr>
        <w:ind w:left="360" w:hanging="360"/>
        <w:jc w:val="both"/>
      </w:pPr>
      <w:r>
        <w:rPr>
          <w:highlight w:val="yellow"/>
        </w:rPr>
        <w:t>40. Gargari BP, Namazi N, Khalili M, et al. Is there any place for resistant starch, as alimentary prebiotic, for patients with type 2 diabetes? Complement Ther Med. 2015;23(6):810-815. doi:10.1016/j.ctim.2015.09.005. PMID:26645521.</w:t>
      </w:r>
    </w:p>
    <w:p w14:paraId="5183AE2A" w14:textId="77777777" w:rsidR="00D8178A" w:rsidRDefault="00000000" w:rsidP="0027039D">
      <w:pPr>
        <w:spacing w:line="20" w:lineRule="exact"/>
        <w:jc w:val="both"/>
      </w:pPr>
      <w:r>
        <w:rPr>
          <w:sz w:val="2"/>
        </w:rPr>
        <w:br w:type="page"/>
      </w:r>
    </w:p>
    <w:p w14:paraId="43BD642A" w14:textId="77777777" w:rsidR="00D8178A" w:rsidRDefault="00000000" w:rsidP="0027039D">
      <w:pPr>
        <w:pStyle w:val="Heading1"/>
        <w:jc w:val="both"/>
      </w:pPr>
      <w:r>
        <w:rPr>
          <w:rFonts w:ascii="Times New Roman" w:hAnsi="Times New Roman"/>
        </w:rPr>
        <w:lastRenderedPageBreak/>
        <w:t>Figure legends</w:t>
      </w:r>
    </w:p>
    <w:p w14:paraId="53B8701B" w14:textId="77777777" w:rsidR="00D8178A" w:rsidRDefault="00000000" w:rsidP="0027039D">
      <w:pPr>
        <w:jc w:val="both"/>
      </w:pPr>
      <w:r>
        <w:rPr>
          <w:highlight w:val="yellow"/>
        </w:rPr>
        <w:t>Figure 1. Original intervention schematic for the 38 participants with paired glycemic measurements. All categories received cookies and dietary guidance; none was a control group. The original diagram includes HOMA-Beta as an intended assessment, but its numerical results were withdrawn after the calculation error was identified.</w:t>
      </w:r>
    </w:p>
    <w:p w14:paraId="65B19545" w14:textId="77777777" w:rsidR="00D8178A" w:rsidRDefault="00000000" w:rsidP="0027039D">
      <w:pPr>
        <w:jc w:val="both"/>
      </w:pPr>
      <w:r>
        <w:rPr>
          <w:highlight w:val="yellow"/>
        </w:rPr>
        <w:t>Figure 2. Original participant flow: 75 screened, 47 enrolled, and 38 with paired measurements. Categories are recorded participant labels, not randomized treatment assignments. Missing post-intervention counts are five, two, and two in the healthy, prediabetes, and diabetes categories, respectively.</w:t>
      </w:r>
    </w:p>
    <w:p w14:paraId="68B8739F" w14:textId="77777777" w:rsidR="00D8178A" w:rsidRDefault="00000000" w:rsidP="0027039D">
      <w:pPr>
        <w:spacing w:line="20" w:lineRule="exact"/>
        <w:jc w:val="both"/>
      </w:pPr>
      <w:r>
        <w:rPr>
          <w:sz w:val="2"/>
        </w:rPr>
        <w:br w:type="page"/>
      </w:r>
    </w:p>
    <w:p w14:paraId="073888C3" w14:textId="77777777" w:rsidR="00D8178A" w:rsidRDefault="00000000">
      <w:r>
        <w:rPr>
          <w:b/>
          <w:highlight w:val="yellow"/>
        </w:rPr>
        <w:lastRenderedPageBreak/>
        <w:t>Table 1. Recruitment, follow-up, and documented planning information.</w:t>
      </w:r>
    </w:p>
    <w:tbl>
      <w:tblPr>
        <w:tblW w:w="0" w:type="auto"/>
        <w:jc w:val="center"/>
        <w:tblBorders>
          <w:top w:val="single" w:sz="6" w:space="0" w:color="auto"/>
          <w:left w:val="nil"/>
          <w:bottom w:val="single" w:sz="6" w:space="0" w:color="auto"/>
          <w:right w:val="nil"/>
          <w:insideH w:val="nil"/>
          <w:insideV w:val="nil"/>
        </w:tblBorders>
        <w:tblLayout w:type="fixed"/>
        <w:tblCellMar>
          <w:top w:w="20" w:type="dxa"/>
          <w:left w:w="60" w:type="dxa"/>
          <w:bottom w:w="20" w:type="dxa"/>
          <w:right w:w="60" w:type="dxa"/>
        </w:tblCellMar>
        <w:tblLook w:val="04A0" w:firstRow="1" w:lastRow="0" w:firstColumn="1" w:lastColumn="0" w:noHBand="0" w:noVBand="1"/>
      </w:tblPr>
      <w:tblGrid>
        <w:gridCol w:w="2952"/>
        <w:gridCol w:w="2016"/>
        <w:gridCol w:w="2016"/>
        <w:gridCol w:w="2045"/>
      </w:tblGrid>
      <w:tr w:rsidR="00D8178A" w14:paraId="70614D68" w14:textId="77777777">
        <w:trPr>
          <w:cantSplit/>
          <w:tblHeader/>
          <w:jc w:val="center"/>
        </w:trPr>
        <w:tc>
          <w:tcPr>
            <w:tcW w:w="2952" w:type="dxa"/>
            <w:vAlign w:val="center"/>
          </w:tcPr>
          <w:p w14:paraId="1EE346D5" w14:textId="77777777" w:rsidR="00D8178A" w:rsidRDefault="00000000">
            <w:r>
              <w:rPr>
                <w:b/>
                <w:highlight w:val="yellow"/>
              </w:rPr>
              <w:t>Characteristic</w:t>
            </w:r>
          </w:p>
        </w:tc>
        <w:tc>
          <w:tcPr>
            <w:tcW w:w="2016" w:type="dxa"/>
            <w:vAlign w:val="center"/>
          </w:tcPr>
          <w:p w14:paraId="10211061" w14:textId="77777777" w:rsidR="00D8178A" w:rsidRDefault="00000000">
            <w:pPr>
              <w:jc w:val="center"/>
            </w:pPr>
            <w:r>
              <w:rPr>
                <w:b/>
                <w:highlight w:val="yellow"/>
              </w:rPr>
              <w:t>Healthy</w:t>
            </w:r>
          </w:p>
        </w:tc>
        <w:tc>
          <w:tcPr>
            <w:tcW w:w="2016" w:type="dxa"/>
            <w:vAlign w:val="center"/>
          </w:tcPr>
          <w:p w14:paraId="5F7E1927" w14:textId="77777777" w:rsidR="00D8178A" w:rsidRDefault="00000000">
            <w:pPr>
              <w:jc w:val="center"/>
            </w:pPr>
            <w:r>
              <w:rPr>
                <w:b/>
                <w:highlight w:val="yellow"/>
              </w:rPr>
              <w:t>Prediabetes</w:t>
            </w:r>
          </w:p>
        </w:tc>
        <w:tc>
          <w:tcPr>
            <w:tcW w:w="2045" w:type="dxa"/>
            <w:vAlign w:val="center"/>
          </w:tcPr>
          <w:p w14:paraId="0397C4B0" w14:textId="77777777" w:rsidR="00D8178A" w:rsidRDefault="00000000">
            <w:pPr>
              <w:jc w:val="center"/>
            </w:pPr>
            <w:r>
              <w:rPr>
                <w:b/>
                <w:highlight w:val="yellow"/>
              </w:rPr>
              <w:t>Diabetes</w:t>
            </w:r>
          </w:p>
        </w:tc>
      </w:tr>
      <w:tr w:rsidR="00D8178A" w14:paraId="7276730E" w14:textId="77777777">
        <w:trPr>
          <w:cantSplit/>
          <w:jc w:val="center"/>
        </w:trPr>
        <w:tc>
          <w:tcPr>
            <w:tcW w:w="2952" w:type="dxa"/>
            <w:vAlign w:val="center"/>
          </w:tcPr>
          <w:p w14:paraId="5FE374D5" w14:textId="77777777" w:rsidR="00D8178A" w:rsidRDefault="00000000">
            <w:r>
              <w:rPr>
                <w:highlight w:val="yellow"/>
              </w:rPr>
              <w:t>Enrolled, n</w:t>
            </w:r>
          </w:p>
        </w:tc>
        <w:tc>
          <w:tcPr>
            <w:tcW w:w="2016" w:type="dxa"/>
            <w:vAlign w:val="center"/>
          </w:tcPr>
          <w:p w14:paraId="3405F881" w14:textId="77777777" w:rsidR="00D8178A" w:rsidRDefault="00000000">
            <w:pPr>
              <w:jc w:val="center"/>
            </w:pPr>
            <w:r>
              <w:rPr>
                <w:highlight w:val="yellow"/>
              </w:rPr>
              <w:t>23</w:t>
            </w:r>
          </w:p>
        </w:tc>
        <w:tc>
          <w:tcPr>
            <w:tcW w:w="2016" w:type="dxa"/>
            <w:vAlign w:val="center"/>
          </w:tcPr>
          <w:p w14:paraId="641B40A2" w14:textId="77777777" w:rsidR="00D8178A" w:rsidRDefault="00000000">
            <w:pPr>
              <w:jc w:val="center"/>
            </w:pPr>
            <w:r>
              <w:rPr>
                <w:highlight w:val="yellow"/>
              </w:rPr>
              <w:t>10</w:t>
            </w:r>
          </w:p>
        </w:tc>
        <w:tc>
          <w:tcPr>
            <w:tcW w:w="2045" w:type="dxa"/>
            <w:vAlign w:val="center"/>
          </w:tcPr>
          <w:p w14:paraId="048B638B" w14:textId="77777777" w:rsidR="00D8178A" w:rsidRDefault="00000000">
            <w:pPr>
              <w:jc w:val="center"/>
            </w:pPr>
            <w:r>
              <w:rPr>
                <w:highlight w:val="yellow"/>
              </w:rPr>
              <w:t>14</w:t>
            </w:r>
          </w:p>
        </w:tc>
      </w:tr>
      <w:tr w:rsidR="00D8178A" w14:paraId="6C551FAD" w14:textId="77777777">
        <w:trPr>
          <w:cantSplit/>
          <w:jc w:val="center"/>
        </w:trPr>
        <w:tc>
          <w:tcPr>
            <w:tcW w:w="2952" w:type="dxa"/>
            <w:vAlign w:val="center"/>
          </w:tcPr>
          <w:p w14:paraId="4528DCB1" w14:textId="77777777" w:rsidR="00D8178A" w:rsidRDefault="00000000">
            <w:r>
              <w:rPr>
                <w:highlight w:val="yellow"/>
              </w:rPr>
              <w:t>Paired measurements, n</w:t>
            </w:r>
          </w:p>
        </w:tc>
        <w:tc>
          <w:tcPr>
            <w:tcW w:w="2016" w:type="dxa"/>
            <w:vAlign w:val="center"/>
          </w:tcPr>
          <w:p w14:paraId="4BA74ED6" w14:textId="77777777" w:rsidR="00D8178A" w:rsidRDefault="00000000">
            <w:pPr>
              <w:jc w:val="center"/>
            </w:pPr>
            <w:r>
              <w:rPr>
                <w:highlight w:val="yellow"/>
              </w:rPr>
              <w:t>18</w:t>
            </w:r>
          </w:p>
        </w:tc>
        <w:tc>
          <w:tcPr>
            <w:tcW w:w="2016" w:type="dxa"/>
            <w:vAlign w:val="center"/>
          </w:tcPr>
          <w:p w14:paraId="6C884E18" w14:textId="77777777" w:rsidR="00D8178A" w:rsidRDefault="00000000">
            <w:pPr>
              <w:jc w:val="center"/>
            </w:pPr>
            <w:r>
              <w:rPr>
                <w:highlight w:val="yellow"/>
              </w:rPr>
              <w:t>8</w:t>
            </w:r>
          </w:p>
        </w:tc>
        <w:tc>
          <w:tcPr>
            <w:tcW w:w="2045" w:type="dxa"/>
            <w:vAlign w:val="center"/>
          </w:tcPr>
          <w:p w14:paraId="4428CD34" w14:textId="77777777" w:rsidR="00D8178A" w:rsidRDefault="00000000">
            <w:pPr>
              <w:jc w:val="center"/>
            </w:pPr>
            <w:r>
              <w:rPr>
                <w:highlight w:val="yellow"/>
              </w:rPr>
              <w:t>12</w:t>
            </w:r>
          </w:p>
        </w:tc>
      </w:tr>
      <w:tr w:rsidR="00D8178A" w14:paraId="347A9AB2" w14:textId="77777777">
        <w:trPr>
          <w:cantSplit/>
          <w:jc w:val="center"/>
        </w:trPr>
        <w:tc>
          <w:tcPr>
            <w:tcW w:w="2952" w:type="dxa"/>
            <w:vAlign w:val="center"/>
          </w:tcPr>
          <w:p w14:paraId="18AD1D3F" w14:textId="77777777" w:rsidR="00D8178A" w:rsidRDefault="00000000">
            <w:r>
              <w:rPr>
                <w:highlight w:val="yellow"/>
              </w:rPr>
              <w:t>Missing follow-up, n</w:t>
            </w:r>
          </w:p>
        </w:tc>
        <w:tc>
          <w:tcPr>
            <w:tcW w:w="2016" w:type="dxa"/>
            <w:vAlign w:val="center"/>
          </w:tcPr>
          <w:p w14:paraId="4447B4DB" w14:textId="77777777" w:rsidR="00D8178A" w:rsidRDefault="00000000">
            <w:pPr>
              <w:jc w:val="center"/>
            </w:pPr>
            <w:r>
              <w:rPr>
                <w:highlight w:val="yellow"/>
              </w:rPr>
              <w:t>5</w:t>
            </w:r>
          </w:p>
        </w:tc>
        <w:tc>
          <w:tcPr>
            <w:tcW w:w="2016" w:type="dxa"/>
            <w:vAlign w:val="center"/>
          </w:tcPr>
          <w:p w14:paraId="0DF20D87" w14:textId="77777777" w:rsidR="00D8178A" w:rsidRDefault="00000000">
            <w:pPr>
              <w:jc w:val="center"/>
            </w:pPr>
            <w:r>
              <w:rPr>
                <w:highlight w:val="yellow"/>
              </w:rPr>
              <w:t>2</w:t>
            </w:r>
          </w:p>
        </w:tc>
        <w:tc>
          <w:tcPr>
            <w:tcW w:w="2045" w:type="dxa"/>
            <w:vAlign w:val="center"/>
          </w:tcPr>
          <w:p w14:paraId="19FDB0F6" w14:textId="77777777" w:rsidR="00D8178A" w:rsidRDefault="00000000">
            <w:pPr>
              <w:jc w:val="center"/>
            </w:pPr>
            <w:r>
              <w:rPr>
                <w:highlight w:val="yellow"/>
              </w:rPr>
              <w:t>2</w:t>
            </w:r>
          </w:p>
        </w:tc>
      </w:tr>
      <w:tr w:rsidR="00D8178A" w14:paraId="6606E790" w14:textId="77777777">
        <w:trPr>
          <w:cantSplit/>
          <w:jc w:val="center"/>
        </w:trPr>
        <w:tc>
          <w:tcPr>
            <w:tcW w:w="2952" w:type="dxa"/>
            <w:vAlign w:val="center"/>
          </w:tcPr>
          <w:p w14:paraId="5E8D6386" w14:textId="77777777" w:rsidR="00D8178A" w:rsidRDefault="00000000">
            <w:r>
              <w:rPr>
                <w:highlight w:val="yellow"/>
              </w:rPr>
              <w:t>Planned minimum, n</w:t>
            </w:r>
          </w:p>
        </w:tc>
        <w:tc>
          <w:tcPr>
            <w:tcW w:w="2016" w:type="dxa"/>
            <w:vAlign w:val="center"/>
          </w:tcPr>
          <w:p w14:paraId="712FE2BE" w14:textId="77777777" w:rsidR="00D8178A" w:rsidRDefault="00000000">
            <w:pPr>
              <w:jc w:val="center"/>
            </w:pPr>
            <w:r>
              <w:rPr>
                <w:highlight w:val="yellow"/>
              </w:rPr>
              <w:t>13</w:t>
            </w:r>
          </w:p>
        </w:tc>
        <w:tc>
          <w:tcPr>
            <w:tcW w:w="2016" w:type="dxa"/>
            <w:vAlign w:val="center"/>
          </w:tcPr>
          <w:p w14:paraId="551A95C6" w14:textId="77777777" w:rsidR="00D8178A" w:rsidRDefault="00000000">
            <w:pPr>
              <w:jc w:val="center"/>
            </w:pPr>
            <w:r>
              <w:rPr>
                <w:highlight w:val="yellow"/>
              </w:rPr>
              <w:t>13</w:t>
            </w:r>
          </w:p>
        </w:tc>
        <w:tc>
          <w:tcPr>
            <w:tcW w:w="2045" w:type="dxa"/>
            <w:vAlign w:val="center"/>
          </w:tcPr>
          <w:p w14:paraId="77F0A56B" w14:textId="77777777" w:rsidR="00D8178A" w:rsidRDefault="00000000">
            <w:pPr>
              <w:jc w:val="center"/>
            </w:pPr>
            <w:r>
              <w:rPr>
                <w:highlight w:val="yellow"/>
              </w:rPr>
              <w:t>13</w:t>
            </w:r>
          </w:p>
        </w:tc>
      </w:tr>
      <w:tr w:rsidR="00D8178A" w14:paraId="62B6DEB4" w14:textId="77777777">
        <w:trPr>
          <w:cantSplit/>
          <w:jc w:val="center"/>
        </w:trPr>
        <w:tc>
          <w:tcPr>
            <w:tcW w:w="2952" w:type="dxa"/>
            <w:vAlign w:val="center"/>
          </w:tcPr>
          <w:p w14:paraId="31EE7C85" w14:textId="77777777" w:rsidR="00D8178A" w:rsidRDefault="00000000">
            <w:r>
              <w:rPr>
                <w:highlight w:val="yellow"/>
              </w:rPr>
              <w:t>Age, median (range), years</w:t>
            </w:r>
          </w:p>
        </w:tc>
        <w:tc>
          <w:tcPr>
            <w:tcW w:w="2016" w:type="dxa"/>
            <w:vAlign w:val="center"/>
          </w:tcPr>
          <w:p w14:paraId="252BC1CD" w14:textId="77777777" w:rsidR="00D8178A" w:rsidRDefault="00000000">
            <w:pPr>
              <w:jc w:val="center"/>
            </w:pPr>
            <w:r>
              <w:rPr>
                <w:highlight w:val="yellow"/>
              </w:rPr>
              <w:t>64 (27–72)</w:t>
            </w:r>
            <w:r>
              <w:rPr>
                <w:highlight w:val="yellow"/>
              </w:rPr>
              <w:br/>
              <w:t>n = 18</w:t>
            </w:r>
          </w:p>
        </w:tc>
        <w:tc>
          <w:tcPr>
            <w:tcW w:w="2016" w:type="dxa"/>
            <w:vAlign w:val="center"/>
          </w:tcPr>
          <w:p w14:paraId="1AB693E4" w14:textId="77777777" w:rsidR="00D8178A" w:rsidRDefault="00000000">
            <w:pPr>
              <w:jc w:val="center"/>
            </w:pPr>
            <w:r>
              <w:rPr>
                <w:highlight w:val="yellow"/>
              </w:rPr>
              <w:t>63 (56–71)</w:t>
            </w:r>
            <w:r>
              <w:rPr>
                <w:highlight w:val="yellow"/>
              </w:rPr>
              <w:br/>
              <w:t>n = 8</w:t>
            </w:r>
          </w:p>
        </w:tc>
        <w:tc>
          <w:tcPr>
            <w:tcW w:w="2045" w:type="dxa"/>
            <w:vAlign w:val="center"/>
          </w:tcPr>
          <w:p w14:paraId="69545111" w14:textId="77777777" w:rsidR="00D8178A" w:rsidRDefault="00000000">
            <w:pPr>
              <w:jc w:val="center"/>
            </w:pPr>
            <w:r>
              <w:rPr>
                <w:highlight w:val="yellow"/>
              </w:rPr>
              <w:t>65 (52–70)</w:t>
            </w:r>
            <w:r>
              <w:rPr>
                <w:highlight w:val="yellow"/>
              </w:rPr>
              <w:br/>
              <w:t>n = 11</w:t>
            </w:r>
          </w:p>
        </w:tc>
      </w:tr>
    </w:tbl>
    <w:p w14:paraId="1C8A7DF4" w14:textId="77777777" w:rsidR="00D8178A" w:rsidRDefault="00000000" w:rsidP="0027039D">
      <w:pPr>
        <w:spacing w:before="100"/>
        <w:jc w:val="both"/>
      </w:pPr>
      <w:r>
        <w:rPr>
          <w:highlight w:val="yellow"/>
        </w:rPr>
        <w:t>Total enrollment was 47; 38 participants had paired glycemic measurements. Age was available for 37 completers. Categories are retained as recorded; three diabetes-category records had baseline HbA1c below 6.5%. Planned portions of 35.52–71.04 g/day were calculable for 36 completers and do not establish actual consumption.</w:t>
      </w:r>
    </w:p>
    <w:p w14:paraId="080EB5F6" w14:textId="77777777" w:rsidR="00D8178A" w:rsidRDefault="00000000">
      <w:pPr>
        <w:spacing w:line="20" w:lineRule="exact"/>
      </w:pPr>
      <w:r>
        <w:rPr>
          <w:sz w:val="2"/>
        </w:rPr>
        <w:br w:type="page"/>
      </w:r>
    </w:p>
    <w:p w14:paraId="37675A50" w14:textId="77777777" w:rsidR="00D8178A" w:rsidRDefault="00000000">
      <w:r>
        <w:rPr>
          <w:b/>
          <w:highlight w:val="yellow"/>
        </w:rPr>
        <w:lastRenderedPageBreak/>
        <w:t>Table 2. Glycemic measures and within-participant changes among 38 completers.</w:t>
      </w:r>
    </w:p>
    <w:tbl>
      <w:tblPr>
        <w:tblW w:w="0" w:type="auto"/>
        <w:jc w:val="center"/>
        <w:tblBorders>
          <w:top w:val="single" w:sz="6" w:space="0" w:color="auto"/>
          <w:left w:val="nil"/>
          <w:bottom w:val="single" w:sz="6" w:space="0" w:color="auto"/>
          <w:right w:val="nil"/>
          <w:insideH w:val="nil"/>
          <w:insideV w:val="nil"/>
        </w:tblBorders>
        <w:tblLayout w:type="fixed"/>
        <w:tblCellMar>
          <w:top w:w="20" w:type="dxa"/>
          <w:left w:w="60" w:type="dxa"/>
          <w:bottom w:w="20" w:type="dxa"/>
          <w:right w:w="60" w:type="dxa"/>
        </w:tblCellMar>
        <w:tblLook w:val="04A0" w:firstRow="1" w:lastRow="0" w:firstColumn="1" w:lastColumn="0" w:noHBand="0" w:noVBand="1"/>
      </w:tblPr>
      <w:tblGrid>
        <w:gridCol w:w="2016"/>
        <w:gridCol w:w="1987"/>
        <w:gridCol w:w="2016"/>
        <w:gridCol w:w="3010"/>
      </w:tblGrid>
      <w:tr w:rsidR="00D8178A" w14:paraId="7610E266" w14:textId="77777777">
        <w:trPr>
          <w:cantSplit/>
          <w:tblHeader/>
          <w:jc w:val="center"/>
        </w:trPr>
        <w:tc>
          <w:tcPr>
            <w:tcW w:w="2016" w:type="dxa"/>
            <w:vAlign w:val="center"/>
          </w:tcPr>
          <w:p w14:paraId="13006E88" w14:textId="77777777" w:rsidR="00D8178A" w:rsidRDefault="00000000">
            <w:r>
              <w:rPr>
                <w:b/>
                <w:highlight w:val="yellow"/>
              </w:rPr>
              <w:t>Measure</w:t>
            </w:r>
          </w:p>
        </w:tc>
        <w:tc>
          <w:tcPr>
            <w:tcW w:w="1987" w:type="dxa"/>
            <w:vAlign w:val="center"/>
          </w:tcPr>
          <w:p w14:paraId="129D051E" w14:textId="77777777" w:rsidR="00D8178A" w:rsidRDefault="00000000">
            <w:pPr>
              <w:jc w:val="center"/>
            </w:pPr>
            <w:r>
              <w:rPr>
                <w:b/>
                <w:highlight w:val="yellow"/>
              </w:rPr>
              <w:t>Baseline</w:t>
            </w:r>
            <w:r>
              <w:rPr>
                <w:b/>
                <w:highlight w:val="yellow"/>
              </w:rPr>
              <w:br/>
              <w:t>mean (SD)</w:t>
            </w:r>
          </w:p>
        </w:tc>
        <w:tc>
          <w:tcPr>
            <w:tcW w:w="2016" w:type="dxa"/>
            <w:vAlign w:val="center"/>
          </w:tcPr>
          <w:p w14:paraId="2CD9FBBC" w14:textId="77777777" w:rsidR="00D8178A" w:rsidRDefault="00000000">
            <w:pPr>
              <w:jc w:val="center"/>
            </w:pPr>
            <w:r>
              <w:rPr>
                <w:b/>
                <w:highlight w:val="yellow"/>
              </w:rPr>
              <w:t>Follow-up</w:t>
            </w:r>
            <w:r>
              <w:rPr>
                <w:b/>
                <w:highlight w:val="yellow"/>
              </w:rPr>
              <w:br/>
              <w:t>mean (SD)</w:t>
            </w:r>
          </w:p>
        </w:tc>
        <w:tc>
          <w:tcPr>
            <w:tcW w:w="3010" w:type="dxa"/>
            <w:vAlign w:val="center"/>
          </w:tcPr>
          <w:p w14:paraId="419B18BD" w14:textId="77777777" w:rsidR="00D8178A" w:rsidRDefault="00000000">
            <w:pPr>
              <w:jc w:val="center"/>
            </w:pPr>
            <w:r>
              <w:rPr>
                <w:b/>
                <w:highlight w:val="yellow"/>
              </w:rPr>
              <w:t>Mean paired change</w:t>
            </w:r>
            <w:r>
              <w:rPr>
                <w:b/>
                <w:highlight w:val="yellow"/>
              </w:rPr>
              <w:br/>
              <w:t>(95% CI)</w:t>
            </w:r>
          </w:p>
        </w:tc>
      </w:tr>
      <w:tr w:rsidR="00D8178A" w14:paraId="7EF17A9C" w14:textId="77777777">
        <w:trPr>
          <w:cantSplit/>
          <w:jc w:val="center"/>
        </w:trPr>
        <w:tc>
          <w:tcPr>
            <w:tcW w:w="2016" w:type="dxa"/>
            <w:vAlign w:val="center"/>
          </w:tcPr>
          <w:p w14:paraId="00CA57CC" w14:textId="77777777" w:rsidR="00D8178A" w:rsidRDefault="00000000">
            <w:r>
              <w:rPr>
                <w:highlight w:val="yellow"/>
              </w:rPr>
              <w:t>Fasting glucose</w:t>
            </w:r>
            <w:r>
              <w:rPr>
                <w:highlight w:val="yellow"/>
              </w:rPr>
              <w:br/>
              <w:t>(mg/dL)</w:t>
            </w:r>
          </w:p>
        </w:tc>
        <w:tc>
          <w:tcPr>
            <w:tcW w:w="1987" w:type="dxa"/>
            <w:vAlign w:val="center"/>
          </w:tcPr>
          <w:p w14:paraId="6D96E095" w14:textId="77777777" w:rsidR="00D8178A" w:rsidRDefault="00000000">
            <w:pPr>
              <w:jc w:val="center"/>
            </w:pPr>
            <w:r>
              <w:rPr>
                <w:highlight w:val="yellow"/>
              </w:rPr>
              <w:t>102.76</w:t>
            </w:r>
            <w:r>
              <w:rPr>
                <w:highlight w:val="yellow"/>
              </w:rPr>
              <w:br/>
              <w:t>(39.44)</w:t>
            </w:r>
          </w:p>
        </w:tc>
        <w:tc>
          <w:tcPr>
            <w:tcW w:w="2016" w:type="dxa"/>
            <w:vAlign w:val="center"/>
          </w:tcPr>
          <w:p w14:paraId="5032AC2A" w14:textId="77777777" w:rsidR="00D8178A" w:rsidRDefault="00000000">
            <w:pPr>
              <w:jc w:val="center"/>
            </w:pPr>
            <w:r>
              <w:rPr>
                <w:highlight w:val="yellow"/>
              </w:rPr>
              <w:t>82.62</w:t>
            </w:r>
            <w:r>
              <w:rPr>
                <w:highlight w:val="yellow"/>
              </w:rPr>
              <w:br/>
              <w:t>(32.24)</w:t>
            </w:r>
          </w:p>
        </w:tc>
        <w:tc>
          <w:tcPr>
            <w:tcW w:w="3010" w:type="dxa"/>
            <w:vAlign w:val="center"/>
          </w:tcPr>
          <w:p w14:paraId="4303AC30" w14:textId="77777777" w:rsidR="00D8178A" w:rsidRDefault="00000000">
            <w:pPr>
              <w:jc w:val="center"/>
            </w:pPr>
            <w:r>
              <w:rPr>
                <w:highlight w:val="yellow"/>
              </w:rPr>
              <w:t>−20.14</w:t>
            </w:r>
            <w:r>
              <w:rPr>
                <w:highlight w:val="yellow"/>
              </w:rPr>
              <w:br/>
              <w:t>(−27.82 to −13.21)</w:t>
            </w:r>
          </w:p>
        </w:tc>
      </w:tr>
      <w:tr w:rsidR="00D8178A" w14:paraId="735A7ABF" w14:textId="77777777">
        <w:trPr>
          <w:cantSplit/>
          <w:jc w:val="center"/>
        </w:trPr>
        <w:tc>
          <w:tcPr>
            <w:tcW w:w="2016" w:type="dxa"/>
            <w:vAlign w:val="center"/>
          </w:tcPr>
          <w:p w14:paraId="10F9B653" w14:textId="77777777" w:rsidR="00D8178A" w:rsidRDefault="00000000">
            <w:r>
              <w:rPr>
                <w:highlight w:val="yellow"/>
              </w:rPr>
              <w:t>HbA1c</w:t>
            </w:r>
            <w:r>
              <w:rPr>
                <w:highlight w:val="yellow"/>
              </w:rPr>
              <w:br/>
              <w:t>(%)</w:t>
            </w:r>
          </w:p>
        </w:tc>
        <w:tc>
          <w:tcPr>
            <w:tcW w:w="1987" w:type="dxa"/>
            <w:vAlign w:val="center"/>
          </w:tcPr>
          <w:p w14:paraId="56D4472C" w14:textId="77777777" w:rsidR="00D8178A" w:rsidRDefault="00000000">
            <w:pPr>
              <w:jc w:val="center"/>
            </w:pPr>
            <w:r>
              <w:rPr>
                <w:highlight w:val="yellow"/>
              </w:rPr>
              <w:t>5.93</w:t>
            </w:r>
            <w:r>
              <w:rPr>
                <w:highlight w:val="yellow"/>
              </w:rPr>
              <w:br/>
              <w:t>(1.71)</w:t>
            </w:r>
          </w:p>
        </w:tc>
        <w:tc>
          <w:tcPr>
            <w:tcW w:w="2016" w:type="dxa"/>
            <w:vAlign w:val="center"/>
          </w:tcPr>
          <w:p w14:paraId="28BB4597" w14:textId="77777777" w:rsidR="00D8178A" w:rsidRDefault="00000000">
            <w:pPr>
              <w:jc w:val="center"/>
            </w:pPr>
            <w:r>
              <w:rPr>
                <w:highlight w:val="yellow"/>
              </w:rPr>
              <w:t>6.15</w:t>
            </w:r>
            <w:r>
              <w:rPr>
                <w:highlight w:val="yellow"/>
              </w:rPr>
              <w:br/>
              <w:t>(1.60)</w:t>
            </w:r>
          </w:p>
        </w:tc>
        <w:tc>
          <w:tcPr>
            <w:tcW w:w="3010" w:type="dxa"/>
            <w:vAlign w:val="center"/>
          </w:tcPr>
          <w:p w14:paraId="33698D32" w14:textId="77777777" w:rsidR="00D8178A" w:rsidRDefault="00000000">
            <w:pPr>
              <w:jc w:val="center"/>
            </w:pPr>
            <w:r>
              <w:rPr>
                <w:highlight w:val="yellow"/>
              </w:rPr>
              <w:t>0.22</w:t>
            </w:r>
            <w:r>
              <w:rPr>
                <w:highlight w:val="yellow"/>
              </w:rPr>
              <w:br/>
              <w:t>(−0.07 to 0.52)</w:t>
            </w:r>
          </w:p>
        </w:tc>
      </w:tr>
      <w:tr w:rsidR="00D8178A" w14:paraId="6D4E09CF" w14:textId="77777777">
        <w:trPr>
          <w:cantSplit/>
          <w:jc w:val="center"/>
        </w:trPr>
        <w:tc>
          <w:tcPr>
            <w:tcW w:w="2016" w:type="dxa"/>
            <w:vAlign w:val="center"/>
          </w:tcPr>
          <w:p w14:paraId="7123EB71" w14:textId="77777777" w:rsidR="00D8178A" w:rsidRDefault="00000000">
            <w:r>
              <w:rPr>
                <w:highlight w:val="yellow"/>
              </w:rPr>
              <w:t>Fasting insulin</w:t>
            </w:r>
            <w:r>
              <w:rPr>
                <w:highlight w:val="yellow"/>
              </w:rPr>
              <w:br/>
              <w:t>(µIU/mL)</w:t>
            </w:r>
          </w:p>
        </w:tc>
        <w:tc>
          <w:tcPr>
            <w:tcW w:w="1987" w:type="dxa"/>
            <w:vAlign w:val="center"/>
          </w:tcPr>
          <w:p w14:paraId="0A0C4A36" w14:textId="77777777" w:rsidR="00D8178A" w:rsidRDefault="00000000">
            <w:pPr>
              <w:jc w:val="center"/>
            </w:pPr>
            <w:r>
              <w:rPr>
                <w:highlight w:val="yellow"/>
              </w:rPr>
              <w:t>10.91</w:t>
            </w:r>
            <w:r>
              <w:rPr>
                <w:highlight w:val="yellow"/>
              </w:rPr>
              <w:br/>
              <w:t>(5.55)</w:t>
            </w:r>
          </w:p>
        </w:tc>
        <w:tc>
          <w:tcPr>
            <w:tcW w:w="2016" w:type="dxa"/>
            <w:vAlign w:val="center"/>
          </w:tcPr>
          <w:p w14:paraId="1487AC59" w14:textId="77777777" w:rsidR="00D8178A" w:rsidRDefault="00000000">
            <w:pPr>
              <w:jc w:val="center"/>
            </w:pPr>
            <w:r>
              <w:rPr>
                <w:highlight w:val="yellow"/>
              </w:rPr>
              <w:t>10.97</w:t>
            </w:r>
            <w:r>
              <w:rPr>
                <w:highlight w:val="yellow"/>
              </w:rPr>
              <w:br/>
              <w:t>(5.93)</w:t>
            </w:r>
          </w:p>
        </w:tc>
        <w:tc>
          <w:tcPr>
            <w:tcW w:w="3010" w:type="dxa"/>
            <w:vAlign w:val="center"/>
          </w:tcPr>
          <w:p w14:paraId="33EB84AF" w14:textId="77777777" w:rsidR="00D8178A" w:rsidRDefault="00000000">
            <w:pPr>
              <w:jc w:val="center"/>
            </w:pPr>
            <w:r>
              <w:rPr>
                <w:highlight w:val="yellow"/>
              </w:rPr>
              <w:t>0.06</w:t>
            </w:r>
            <w:r>
              <w:rPr>
                <w:highlight w:val="yellow"/>
              </w:rPr>
              <w:br/>
              <w:t>(−1.27 to 1.38)</w:t>
            </w:r>
          </w:p>
        </w:tc>
      </w:tr>
      <w:tr w:rsidR="00D8178A" w14:paraId="6377A79F" w14:textId="77777777">
        <w:trPr>
          <w:cantSplit/>
          <w:jc w:val="center"/>
        </w:trPr>
        <w:tc>
          <w:tcPr>
            <w:tcW w:w="2016" w:type="dxa"/>
            <w:vAlign w:val="center"/>
          </w:tcPr>
          <w:p w14:paraId="65DB3B0A" w14:textId="77777777" w:rsidR="00D8178A" w:rsidRDefault="00000000">
            <w:r>
              <w:rPr>
                <w:highlight w:val="yellow"/>
              </w:rPr>
              <w:t>HOMA-IR</w:t>
            </w:r>
          </w:p>
        </w:tc>
        <w:tc>
          <w:tcPr>
            <w:tcW w:w="1987" w:type="dxa"/>
            <w:vAlign w:val="center"/>
          </w:tcPr>
          <w:p w14:paraId="2674DDC1" w14:textId="77777777" w:rsidR="00D8178A" w:rsidRDefault="00000000">
            <w:pPr>
              <w:jc w:val="center"/>
            </w:pPr>
            <w:r>
              <w:rPr>
                <w:highlight w:val="yellow"/>
              </w:rPr>
              <w:t>2.75</w:t>
            </w:r>
            <w:r>
              <w:rPr>
                <w:highlight w:val="yellow"/>
              </w:rPr>
              <w:br/>
              <w:t>(1.48)</w:t>
            </w:r>
          </w:p>
        </w:tc>
        <w:tc>
          <w:tcPr>
            <w:tcW w:w="2016" w:type="dxa"/>
            <w:vAlign w:val="center"/>
          </w:tcPr>
          <w:p w14:paraId="6C6BF6E6" w14:textId="77777777" w:rsidR="00D8178A" w:rsidRDefault="00000000">
            <w:pPr>
              <w:jc w:val="center"/>
            </w:pPr>
            <w:r>
              <w:rPr>
                <w:highlight w:val="yellow"/>
              </w:rPr>
              <w:t>2.23</w:t>
            </w:r>
            <w:r>
              <w:rPr>
                <w:highlight w:val="yellow"/>
              </w:rPr>
              <w:br/>
              <w:t>(1.43)</w:t>
            </w:r>
          </w:p>
        </w:tc>
        <w:tc>
          <w:tcPr>
            <w:tcW w:w="3010" w:type="dxa"/>
            <w:vAlign w:val="center"/>
          </w:tcPr>
          <w:p w14:paraId="04EBC1D4" w14:textId="77777777" w:rsidR="00D8178A" w:rsidRDefault="00000000">
            <w:pPr>
              <w:jc w:val="center"/>
            </w:pPr>
            <w:r>
              <w:rPr>
                <w:highlight w:val="yellow"/>
              </w:rPr>
              <w:t>−0.51</w:t>
            </w:r>
            <w:r>
              <w:rPr>
                <w:highlight w:val="yellow"/>
              </w:rPr>
              <w:br/>
              <w:t>(−0.81 to −0.23)</w:t>
            </w:r>
          </w:p>
        </w:tc>
      </w:tr>
    </w:tbl>
    <w:p w14:paraId="00667527" w14:textId="77777777" w:rsidR="00D8178A" w:rsidRDefault="00000000" w:rsidP="0027039D">
      <w:pPr>
        <w:spacing w:before="100"/>
        <w:jc w:val="both"/>
      </w:pPr>
      <w:r>
        <w:rPr>
          <w:highlight w:val="yellow"/>
        </w:rPr>
        <w:t>Change = follow-up minus baseline in the same participant. Intervals use 20,000 percentile bootstrap resamples. HbA1c changes are percentage points and retain one unverified pair (0.20% to 0.80%); sensitivity results are in Supplementary Table S2. HOMA-IR is dimensionless. HOMA-Beta was withdrawn. These are uncontrolled changes, not treatment-effect estimates.</w:t>
      </w:r>
    </w:p>
    <w:p w14:paraId="75A90C57" w14:textId="77777777" w:rsidR="00D8178A" w:rsidRDefault="00D8178A">
      <w:pPr>
        <w:sectPr w:rsidR="00D8178A">
          <w:footerReference w:type="default" r:id="rId8"/>
          <w:pgSz w:w="11906" w:h="16838"/>
          <w:pgMar w:top="1440" w:right="1440" w:bottom="1440" w:left="1440" w:header="720" w:footer="720" w:gutter="0"/>
          <w:lnNumType w:countBy="1" w:start="1" w:distance="240" w:restart="continuous"/>
          <w:cols w:space="720"/>
          <w:docGrid w:linePitch="360"/>
        </w:sectPr>
      </w:pPr>
    </w:p>
    <w:p w14:paraId="714B6821" w14:textId="77777777" w:rsidR="00D8178A" w:rsidRDefault="00000000">
      <w:pPr>
        <w:keepNext/>
        <w:spacing w:after="80"/>
      </w:pPr>
      <w:r>
        <w:rPr>
          <w:b/>
          <w:highlight w:val="yellow"/>
        </w:rPr>
        <w:lastRenderedPageBreak/>
        <w:t>Table 3. Weekly random glucose and recorded dietary intake among completers.</w:t>
      </w:r>
    </w:p>
    <w:tbl>
      <w:tblPr>
        <w:tblW w:w="0" w:type="auto"/>
        <w:jc w:val="center"/>
        <w:tblBorders>
          <w:top w:val="single" w:sz="6" w:space="0" w:color="auto"/>
          <w:left w:val="nil"/>
          <w:bottom w:val="single" w:sz="6" w:space="0" w:color="auto"/>
          <w:right w:val="nil"/>
          <w:insideH w:val="nil"/>
          <w:insideV w:val="nil"/>
        </w:tblBorders>
        <w:tblLayout w:type="fixed"/>
        <w:tblCellMar>
          <w:top w:w="20" w:type="dxa"/>
          <w:left w:w="60" w:type="dxa"/>
          <w:bottom w:w="20" w:type="dxa"/>
          <w:right w:w="60" w:type="dxa"/>
        </w:tblCellMar>
        <w:tblLook w:val="04A0" w:firstRow="1" w:lastRow="0" w:firstColumn="1" w:lastColumn="0" w:noHBand="0" w:noVBand="1"/>
      </w:tblPr>
      <w:tblGrid>
        <w:gridCol w:w="1655"/>
        <w:gridCol w:w="1034"/>
        <w:gridCol w:w="1034"/>
        <w:gridCol w:w="1034"/>
        <w:gridCol w:w="1034"/>
        <w:gridCol w:w="1034"/>
        <w:gridCol w:w="1034"/>
        <w:gridCol w:w="1034"/>
      </w:tblGrid>
      <w:tr w:rsidR="00D8178A" w:rsidRPr="00FF030A" w14:paraId="79F57BBF" w14:textId="77777777">
        <w:trPr>
          <w:cantSplit/>
          <w:tblHeader/>
          <w:jc w:val="center"/>
        </w:trPr>
        <w:tc>
          <w:tcPr>
            <w:tcW w:w="1655" w:type="dxa"/>
            <w:tcMar>
              <w:top w:w="35" w:type="dxa"/>
              <w:left w:w="35" w:type="dxa"/>
              <w:bottom w:w="35" w:type="dxa"/>
              <w:right w:w="35" w:type="dxa"/>
            </w:tcMar>
            <w:vAlign w:val="center"/>
          </w:tcPr>
          <w:p w14:paraId="74E6B23F" w14:textId="77777777" w:rsidR="00D8178A" w:rsidRPr="00FF030A" w:rsidRDefault="00000000">
            <w:pPr>
              <w:spacing w:line="240" w:lineRule="auto"/>
              <w:rPr>
                <w:szCs w:val="24"/>
              </w:rPr>
            </w:pPr>
            <w:r w:rsidRPr="00FF030A">
              <w:rPr>
                <w:rFonts w:eastAsia="Times New Roman"/>
                <w:b/>
                <w:szCs w:val="24"/>
                <w:highlight w:val="yellow"/>
              </w:rPr>
              <w:t>Measure</w:t>
            </w:r>
          </w:p>
        </w:tc>
        <w:tc>
          <w:tcPr>
            <w:tcW w:w="1034" w:type="dxa"/>
            <w:tcMar>
              <w:top w:w="35" w:type="dxa"/>
              <w:left w:w="35" w:type="dxa"/>
              <w:bottom w:w="35" w:type="dxa"/>
              <w:right w:w="35" w:type="dxa"/>
            </w:tcMar>
            <w:vAlign w:val="center"/>
          </w:tcPr>
          <w:p w14:paraId="51510941" w14:textId="77777777" w:rsidR="00D8178A" w:rsidRPr="00FF030A" w:rsidRDefault="00000000">
            <w:pPr>
              <w:spacing w:line="240" w:lineRule="auto"/>
              <w:jc w:val="center"/>
              <w:rPr>
                <w:szCs w:val="24"/>
              </w:rPr>
            </w:pPr>
            <w:r w:rsidRPr="00FF030A">
              <w:rPr>
                <w:rFonts w:eastAsia="Times New Roman"/>
                <w:b/>
                <w:szCs w:val="24"/>
                <w:highlight w:val="yellow"/>
              </w:rPr>
              <w:t>Week 1</w:t>
            </w:r>
          </w:p>
        </w:tc>
        <w:tc>
          <w:tcPr>
            <w:tcW w:w="1034" w:type="dxa"/>
            <w:tcMar>
              <w:top w:w="35" w:type="dxa"/>
              <w:left w:w="35" w:type="dxa"/>
              <w:bottom w:w="35" w:type="dxa"/>
              <w:right w:w="35" w:type="dxa"/>
            </w:tcMar>
            <w:vAlign w:val="center"/>
          </w:tcPr>
          <w:p w14:paraId="2CDCF1E2" w14:textId="77777777" w:rsidR="00D8178A" w:rsidRPr="00FF030A" w:rsidRDefault="00000000">
            <w:pPr>
              <w:spacing w:line="240" w:lineRule="auto"/>
              <w:jc w:val="center"/>
              <w:rPr>
                <w:szCs w:val="24"/>
              </w:rPr>
            </w:pPr>
            <w:r w:rsidRPr="00FF030A">
              <w:rPr>
                <w:rFonts w:eastAsia="Times New Roman"/>
                <w:b/>
                <w:szCs w:val="24"/>
                <w:highlight w:val="yellow"/>
              </w:rPr>
              <w:t>Week 2</w:t>
            </w:r>
          </w:p>
        </w:tc>
        <w:tc>
          <w:tcPr>
            <w:tcW w:w="1034" w:type="dxa"/>
            <w:tcMar>
              <w:top w:w="35" w:type="dxa"/>
              <w:left w:w="35" w:type="dxa"/>
              <w:bottom w:w="35" w:type="dxa"/>
              <w:right w:w="35" w:type="dxa"/>
            </w:tcMar>
            <w:vAlign w:val="center"/>
          </w:tcPr>
          <w:p w14:paraId="33383AD4" w14:textId="77777777" w:rsidR="00D8178A" w:rsidRPr="00FF030A" w:rsidRDefault="00000000">
            <w:pPr>
              <w:spacing w:line="240" w:lineRule="auto"/>
              <w:jc w:val="center"/>
              <w:rPr>
                <w:szCs w:val="24"/>
              </w:rPr>
            </w:pPr>
            <w:r w:rsidRPr="00FF030A">
              <w:rPr>
                <w:rFonts w:eastAsia="Times New Roman"/>
                <w:b/>
                <w:szCs w:val="24"/>
                <w:highlight w:val="yellow"/>
              </w:rPr>
              <w:t>Week 3</w:t>
            </w:r>
          </w:p>
        </w:tc>
        <w:tc>
          <w:tcPr>
            <w:tcW w:w="1034" w:type="dxa"/>
            <w:tcMar>
              <w:top w:w="35" w:type="dxa"/>
              <w:left w:w="35" w:type="dxa"/>
              <w:bottom w:w="35" w:type="dxa"/>
              <w:right w:w="35" w:type="dxa"/>
            </w:tcMar>
            <w:vAlign w:val="center"/>
          </w:tcPr>
          <w:p w14:paraId="0F3594AF" w14:textId="77777777" w:rsidR="00D8178A" w:rsidRPr="00FF030A" w:rsidRDefault="00000000">
            <w:pPr>
              <w:spacing w:line="240" w:lineRule="auto"/>
              <w:jc w:val="center"/>
              <w:rPr>
                <w:szCs w:val="24"/>
              </w:rPr>
            </w:pPr>
            <w:r w:rsidRPr="00FF030A">
              <w:rPr>
                <w:rFonts w:eastAsia="Times New Roman"/>
                <w:b/>
                <w:szCs w:val="24"/>
                <w:highlight w:val="yellow"/>
              </w:rPr>
              <w:t>Week 4</w:t>
            </w:r>
          </w:p>
        </w:tc>
        <w:tc>
          <w:tcPr>
            <w:tcW w:w="1034" w:type="dxa"/>
            <w:tcMar>
              <w:top w:w="35" w:type="dxa"/>
              <w:left w:w="35" w:type="dxa"/>
              <w:bottom w:w="35" w:type="dxa"/>
              <w:right w:w="35" w:type="dxa"/>
            </w:tcMar>
            <w:vAlign w:val="center"/>
          </w:tcPr>
          <w:p w14:paraId="1595C3DC" w14:textId="77777777" w:rsidR="00D8178A" w:rsidRPr="00FF030A" w:rsidRDefault="00000000">
            <w:pPr>
              <w:spacing w:line="240" w:lineRule="auto"/>
              <w:jc w:val="center"/>
              <w:rPr>
                <w:szCs w:val="24"/>
              </w:rPr>
            </w:pPr>
            <w:r w:rsidRPr="00FF030A">
              <w:rPr>
                <w:rFonts w:eastAsia="Times New Roman"/>
                <w:b/>
                <w:szCs w:val="24"/>
                <w:highlight w:val="yellow"/>
              </w:rPr>
              <w:t>Week 5</w:t>
            </w:r>
          </w:p>
        </w:tc>
        <w:tc>
          <w:tcPr>
            <w:tcW w:w="1034" w:type="dxa"/>
            <w:tcMar>
              <w:top w:w="35" w:type="dxa"/>
              <w:left w:w="35" w:type="dxa"/>
              <w:bottom w:w="35" w:type="dxa"/>
              <w:right w:w="35" w:type="dxa"/>
            </w:tcMar>
            <w:vAlign w:val="center"/>
          </w:tcPr>
          <w:p w14:paraId="2D8790EF" w14:textId="77777777" w:rsidR="00D8178A" w:rsidRPr="00FF030A" w:rsidRDefault="00000000">
            <w:pPr>
              <w:spacing w:line="240" w:lineRule="auto"/>
              <w:jc w:val="center"/>
              <w:rPr>
                <w:szCs w:val="24"/>
              </w:rPr>
            </w:pPr>
            <w:r w:rsidRPr="00FF030A">
              <w:rPr>
                <w:rFonts w:eastAsia="Times New Roman"/>
                <w:b/>
                <w:szCs w:val="24"/>
                <w:highlight w:val="yellow"/>
              </w:rPr>
              <w:t>Week 6</w:t>
            </w:r>
          </w:p>
        </w:tc>
        <w:tc>
          <w:tcPr>
            <w:tcW w:w="1034" w:type="dxa"/>
            <w:tcMar>
              <w:top w:w="35" w:type="dxa"/>
              <w:left w:w="35" w:type="dxa"/>
              <w:bottom w:w="35" w:type="dxa"/>
              <w:right w:w="35" w:type="dxa"/>
            </w:tcMar>
            <w:vAlign w:val="center"/>
          </w:tcPr>
          <w:p w14:paraId="44CFFBA3" w14:textId="77777777" w:rsidR="00D8178A" w:rsidRPr="00FF030A" w:rsidRDefault="00000000">
            <w:pPr>
              <w:spacing w:line="240" w:lineRule="auto"/>
              <w:jc w:val="center"/>
              <w:rPr>
                <w:szCs w:val="24"/>
              </w:rPr>
            </w:pPr>
            <w:r w:rsidRPr="00FF030A">
              <w:rPr>
                <w:rFonts w:eastAsia="Times New Roman"/>
                <w:b/>
                <w:szCs w:val="24"/>
                <w:highlight w:val="yellow"/>
              </w:rPr>
              <w:t>Week 7</w:t>
            </w:r>
          </w:p>
        </w:tc>
      </w:tr>
      <w:tr w:rsidR="00D8178A" w:rsidRPr="00FF030A" w14:paraId="762C2EDB" w14:textId="77777777">
        <w:trPr>
          <w:cantSplit/>
          <w:jc w:val="center"/>
        </w:trPr>
        <w:tc>
          <w:tcPr>
            <w:tcW w:w="1655" w:type="dxa"/>
            <w:tcMar>
              <w:top w:w="35" w:type="dxa"/>
              <w:left w:w="35" w:type="dxa"/>
              <w:bottom w:w="35" w:type="dxa"/>
              <w:right w:w="35" w:type="dxa"/>
            </w:tcMar>
            <w:vAlign w:val="center"/>
          </w:tcPr>
          <w:p w14:paraId="59993EEE" w14:textId="77777777" w:rsidR="00D8178A" w:rsidRPr="00FF030A" w:rsidRDefault="00000000">
            <w:pPr>
              <w:spacing w:line="240" w:lineRule="auto"/>
              <w:rPr>
                <w:szCs w:val="24"/>
              </w:rPr>
            </w:pPr>
            <w:r w:rsidRPr="00FF030A">
              <w:rPr>
                <w:rFonts w:eastAsia="Times New Roman"/>
                <w:szCs w:val="24"/>
                <w:highlight w:val="yellow"/>
              </w:rPr>
              <w:t>Random glucose</w:t>
            </w:r>
            <w:r w:rsidRPr="00FF030A">
              <w:rPr>
                <w:rFonts w:eastAsia="Times New Roman"/>
                <w:szCs w:val="24"/>
                <w:highlight w:val="yellow"/>
              </w:rPr>
              <w:br/>
              <w:t>(mg/dL)</w:t>
            </w:r>
          </w:p>
        </w:tc>
        <w:tc>
          <w:tcPr>
            <w:tcW w:w="1034" w:type="dxa"/>
            <w:tcMar>
              <w:top w:w="35" w:type="dxa"/>
              <w:left w:w="35" w:type="dxa"/>
              <w:bottom w:w="35" w:type="dxa"/>
              <w:right w:w="35" w:type="dxa"/>
            </w:tcMar>
            <w:vAlign w:val="center"/>
          </w:tcPr>
          <w:p w14:paraId="671003B4" w14:textId="77777777" w:rsidR="00D8178A" w:rsidRPr="00FF030A" w:rsidRDefault="00000000">
            <w:pPr>
              <w:spacing w:line="240" w:lineRule="auto"/>
              <w:jc w:val="center"/>
              <w:rPr>
                <w:szCs w:val="24"/>
              </w:rPr>
            </w:pPr>
            <w:r w:rsidRPr="00FF030A">
              <w:rPr>
                <w:rFonts w:eastAsia="Times New Roman"/>
                <w:szCs w:val="24"/>
                <w:highlight w:val="yellow"/>
              </w:rPr>
              <w:t>143.71</w:t>
            </w:r>
            <w:r w:rsidRPr="00FF030A">
              <w:rPr>
                <w:rFonts w:eastAsia="Times New Roman"/>
                <w:szCs w:val="24"/>
                <w:highlight w:val="yellow"/>
              </w:rPr>
              <w:br/>
              <w:t>(55.18)</w:t>
            </w:r>
          </w:p>
        </w:tc>
        <w:tc>
          <w:tcPr>
            <w:tcW w:w="1034" w:type="dxa"/>
            <w:tcMar>
              <w:top w:w="35" w:type="dxa"/>
              <w:left w:w="35" w:type="dxa"/>
              <w:bottom w:w="35" w:type="dxa"/>
              <w:right w:w="35" w:type="dxa"/>
            </w:tcMar>
            <w:vAlign w:val="center"/>
          </w:tcPr>
          <w:p w14:paraId="6C6B0906" w14:textId="77777777" w:rsidR="00D8178A" w:rsidRPr="00FF030A" w:rsidRDefault="00000000">
            <w:pPr>
              <w:spacing w:line="240" w:lineRule="auto"/>
              <w:jc w:val="center"/>
              <w:rPr>
                <w:szCs w:val="24"/>
              </w:rPr>
            </w:pPr>
            <w:r w:rsidRPr="00FF030A">
              <w:rPr>
                <w:rFonts w:eastAsia="Times New Roman"/>
                <w:szCs w:val="24"/>
                <w:highlight w:val="yellow"/>
              </w:rPr>
              <w:t>136.34</w:t>
            </w:r>
            <w:r w:rsidRPr="00FF030A">
              <w:rPr>
                <w:rFonts w:eastAsia="Times New Roman"/>
                <w:szCs w:val="24"/>
                <w:highlight w:val="yellow"/>
              </w:rPr>
              <w:br/>
              <w:t>(48.19)</w:t>
            </w:r>
          </w:p>
        </w:tc>
        <w:tc>
          <w:tcPr>
            <w:tcW w:w="1034" w:type="dxa"/>
            <w:tcMar>
              <w:top w:w="35" w:type="dxa"/>
              <w:left w:w="35" w:type="dxa"/>
              <w:bottom w:w="35" w:type="dxa"/>
              <w:right w:w="35" w:type="dxa"/>
            </w:tcMar>
            <w:vAlign w:val="center"/>
          </w:tcPr>
          <w:p w14:paraId="614615F3" w14:textId="77777777" w:rsidR="00D8178A" w:rsidRPr="00FF030A" w:rsidRDefault="00000000">
            <w:pPr>
              <w:spacing w:line="240" w:lineRule="auto"/>
              <w:jc w:val="center"/>
              <w:rPr>
                <w:szCs w:val="24"/>
              </w:rPr>
            </w:pPr>
            <w:r w:rsidRPr="00FF030A">
              <w:rPr>
                <w:rFonts w:eastAsia="Times New Roman"/>
                <w:szCs w:val="24"/>
                <w:highlight w:val="yellow"/>
              </w:rPr>
              <w:t>126.71</w:t>
            </w:r>
            <w:r w:rsidRPr="00FF030A">
              <w:rPr>
                <w:rFonts w:eastAsia="Times New Roman"/>
                <w:szCs w:val="24"/>
                <w:highlight w:val="yellow"/>
              </w:rPr>
              <w:br/>
              <w:t>(45.73)</w:t>
            </w:r>
          </w:p>
        </w:tc>
        <w:tc>
          <w:tcPr>
            <w:tcW w:w="1034" w:type="dxa"/>
            <w:tcMar>
              <w:top w:w="35" w:type="dxa"/>
              <w:left w:w="35" w:type="dxa"/>
              <w:bottom w:w="35" w:type="dxa"/>
              <w:right w:w="35" w:type="dxa"/>
            </w:tcMar>
            <w:vAlign w:val="center"/>
          </w:tcPr>
          <w:p w14:paraId="58C50556" w14:textId="77777777" w:rsidR="00D8178A" w:rsidRPr="00FF030A" w:rsidRDefault="00000000">
            <w:pPr>
              <w:spacing w:line="240" w:lineRule="auto"/>
              <w:jc w:val="center"/>
              <w:rPr>
                <w:szCs w:val="24"/>
              </w:rPr>
            </w:pPr>
            <w:r w:rsidRPr="00FF030A">
              <w:rPr>
                <w:rFonts w:eastAsia="Times New Roman"/>
                <w:szCs w:val="24"/>
                <w:highlight w:val="yellow"/>
              </w:rPr>
              <w:t>133.39</w:t>
            </w:r>
            <w:r w:rsidRPr="00FF030A">
              <w:rPr>
                <w:rFonts w:eastAsia="Times New Roman"/>
                <w:szCs w:val="24"/>
                <w:highlight w:val="yellow"/>
              </w:rPr>
              <w:br/>
              <w:t>(49.59)</w:t>
            </w:r>
          </w:p>
        </w:tc>
        <w:tc>
          <w:tcPr>
            <w:tcW w:w="1034" w:type="dxa"/>
            <w:tcMar>
              <w:top w:w="35" w:type="dxa"/>
              <w:left w:w="35" w:type="dxa"/>
              <w:bottom w:w="35" w:type="dxa"/>
              <w:right w:w="35" w:type="dxa"/>
            </w:tcMar>
            <w:vAlign w:val="center"/>
          </w:tcPr>
          <w:p w14:paraId="196A89F6" w14:textId="77777777" w:rsidR="00D8178A" w:rsidRPr="00FF030A" w:rsidRDefault="00000000">
            <w:pPr>
              <w:spacing w:line="240" w:lineRule="auto"/>
              <w:jc w:val="center"/>
              <w:rPr>
                <w:szCs w:val="24"/>
              </w:rPr>
            </w:pPr>
            <w:r w:rsidRPr="00FF030A">
              <w:rPr>
                <w:rFonts w:eastAsia="Times New Roman"/>
                <w:szCs w:val="24"/>
                <w:highlight w:val="yellow"/>
              </w:rPr>
              <w:t>123.89</w:t>
            </w:r>
            <w:r w:rsidRPr="00FF030A">
              <w:rPr>
                <w:rFonts w:eastAsia="Times New Roman"/>
                <w:szCs w:val="24"/>
                <w:highlight w:val="yellow"/>
              </w:rPr>
              <w:br/>
              <w:t>(50.69)</w:t>
            </w:r>
          </w:p>
        </w:tc>
        <w:tc>
          <w:tcPr>
            <w:tcW w:w="1034" w:type="dxa"/>
            <w:tcMar>
              <w:top w:w="35" w:type="dxa"/>
              <w:left w:w="35" w:type="dxa"/>
              <w:bottom w:w="35" w:type="dxa"/>
              <w:right w:w="35" w:type="dxa"/>
            </w:tcMar>
            <w:vAlign w:val="center"/>
          </w:tcPr>
          <w:p w14:paraId="273B746A" w14:textId="77777777" w:rsidR="00D8178A" w:rsidRPr="00FF030A" w:rsidRDefault="00000000">
            <w:pPr>
              <w:spacing w:line="240" w:lineRule="auto"/>
              <w:jc w:val="center"/>
              <w:rPr>
                <w:szCs w:val="24"/>
              </w:rPr>
            </w:pPr>
            <w:r w:rsidRPr="00FF030A">
              <w:rPr>
                <w:rFonts w:eastAsia="Times New Roman"/>
                <w:szCs w:val="24"/>
                <w:highlight w:val="yellow"/>
              </w:rPr>
              <w:t>126.13</w:t>
            </w:r>
            <w:r w:rsidRPr="00FF030A">
              <w:rPr>
                <w:rFonts w:eastAsia="Times New Roman"/>
                <w:szCs w:val="24"/>
                <w:highlight w:val="yellow"/>
              </w:rPr>
              <w:br/>
              <w:t>(48.56)</w:t>
            </w:r>
          </w:p>
        </w:tc>
        <w:tc>
          <w:tcPr>
            <w:tcW w:w="1034" w:type="dxa"/>
            <w:tcMar>
              <w:top w:w="35" w:type="dxa"/>
              <w:left w:w="35" w:type="dxa"/>
              <w:bottom w:w="35" w:type="dxa"/>
              <w:right w:w="35" w:type="dxa"/>
            </w:tcMar>
            <w:vAlign w:val="center"/>
          </w:tcPr>
          <w:p w14:paraId="2EEDDC61" w14:textId="77777777" w:rsidR="00D8178A" w:rsidRPr="00FF030A" w:rsidRDefault="00000000">
            <w:pPr>
              <w:spacing w:line="240" w:lineRule="auto"/>
              <w:jc w:val="center"/>
              <w:rPr>
                <w:szCs w:val="24"/>
              </w:rPr>
            </w:pPr>
            <w:r w:rsidRPr="00FF030A">
              <w:rPr>
                <w:rFonts w:eastAsia="Times New Roman"/>
                <w:szCs w:val="24"/>
                <w:highlight w:val="yellow"/>
              </w:rPr>
              <w:t>Not</w:t>
            </w:r>
            <w:r w:rsidRPr="00FF030A">
              <w:rPr>
                <w:rFonts w:eastAsia="Times New Roman"/>
                <w:szCs w:val="24"/>
                <w:highlight w:val="yellow"/>
              </w:rPr>
              <w:br/>
              <w:t>recorded</w:t>
            </w:r>
          </w:p>
        </w:tc>
      </w:tr>
      <w:tr w:rsidR="00D8178A" w:rsidRPr="00FF030A" w14:paraId="2F2BE2D4" w14:textId="77777777">
        <w:trPr>
          <w:cantSplit/>
          <w:jc w:val="center"/>
        </w:trPr>
        <w:tc>
          <w:tcPr>
            <w:tcW w:w="1655" w:type="dxa"/>
            <w:tcMar>
              <w:top w:w="35" w:type="dxa"/>
              <w:left w:w="35" w:type="dxa"/>
              <w:bottom w:w="35" w:type="dxa"/>
              <w:right w:w="35" w:type="dxa"/>
            </w:tcMar>
            <w:vAlign w:val="center"/>
          </w:tcPr>
          <w:p w14:paraId="180E7B8D" w14:textId="77777777" w:rsidR="00D8178A" w:rsidRPr="00FF030A" w:rsidRDefault="00000000">
            <w:pPr>
              <w:spacing w:line="240" w:lineRule="auto"/>
              <w:rPr>
                <w:szCs w:val="24"/>
              </w:rPr>
            </w:pPr>
            <w:r w:rsidRPr="00FF030A">
              <w:rPr>
                <w:rFonts w:eastAsia="Times New Roman"/>
                <w:szCs w:val="24"/>
                <w:highlight w:val="yellow"/>
              </w:rPr>
              <w:t>Energy</w:t>
            </w:r>
            <w:r w:rsidRPr="00FF030A">
              <w:rPr>
                <w:rFonts w:eastAsia="Times New Roman"/>
                <w:szCs w:val="24"/>
                <w:highlight w:val="yellow"/>
              </w:rPr>
              <w:br/>
              <w:t>(kcal/day)</w:t>
            </w:r>
          </w:p>
        </w:tc>
        <w:tc>
          <w:tcPr>
            <w:tcW w:w="1034" w:type="dxa"/>
            <w:tcMar>
              <w:top w:w="35" w:type="dxa"/>
              <w:left w:w="35" w:type="dxa"/>
              <w:bottom w:w="35" w:type="dxa"/>
              <w:right w:w="35" w:type="dxa"/>
            </w:tcMar>
            <w:vAlign w:val="center"/>
          </w:tcPr>
          <w:p w14:paraId="7EA68A97" w14:textId="77777777" w:rsidR="00D8178A" w:rsidRPr="00FF030A" w:rsidRDefault="00000000">
            <w:pPr>
              <w:spacing w:line="240" w:lineRule="auto"/>
              <w:jc w:val="center"/>
              <w:rPr>
                <w:szCs w:val="24"/>
              </w:rPr>
            </w:pPr>
            <w:r w:rsidRPr="00FF030A">
              <w:rPr>
                <w:rFonts w:eastAsia="Times New Roman"/>
                <w:szCs w:val="24"/>
                <w:highlight w:val="yellow"/>
              </w:rPr>
              <w:t>1090.94</w:t>
            </w:r>
            <w:r w:rsidRPr="00FF030A">
              <w:rPr>
                <w:rFonts w:eastAsia="Times New Roman"/>
                <w:szCs w:val="24"/>
                <w:highlight w:val="yellow"/>
              </w:rPr>
              <w:br/>
              <w:t>(355.02)</w:t>
            </w:r>
          </w:p>
        </w:tc>
        <w:tc>
          <w:tcPr>
            <w:tcW w:w="1034" w:type="dxa"/>
            <w:tcMar>
              <w:top w:w="35" w:type="dxa"/>
              <w:left w:w="35" w:type="dxa"/>
              <w:bottom w:w="35" w:type="dxa"/>
              <w:right w:w="35" w:type="dxa"/>
            </w:tcMar>
            <w:vAlign w:val="center"/>
          </w:tcPr>
          <w:p w14:paraId="561FAFCD" w14:textId="77777777" w:rsidR="00D8178A" w:rsidRPr="00FF030A" w:rsidRDefault="00000000">
            <w:pPr>
              <w:spacing w:line="240" w:lineRule="auto"/>
              <w:jc w:val="center"/>
              <w:rPr>
                <w:szCs w:val="24"/>
              </w:rPr>
            </w:pPr>
            <w:r w:rsidRPr="00FF030A">
              <w:rPr>
                <w:rFonts w:eastAsia="Times New Roman"/>
                <w:szCs w:val="24"/>
                <w:highlight w:val="yellow"/>
              </w:rPr>
              <w:t>1110.16</w:t>
            </w:r>
            <w:r w:rsidRPr="00FF030A">
              <w:rPr>
                <w:rFonts w:eastAsia="Times New Roman"/>
                <w:szCs w:val="24"/>
                <w:highlight w:val="yellow"/>
              </w:rPr>
              <w:br/>
              <w:t>(339.15)</w:t>
            </w:r>
          </w:p>
        </w:tc>
        <w:tc>
          <w:tcPr>
            <w:tcW w:w="1034" w:type="dxa"/>
            <w:tcMar>
              <w:top w:w="35" w:type="dxa"/>
              <w:left w:w="35" w:type="dxa"/>
              <w:bottom w:w="35" w:type="dxa"/>
              <w:right w:w="35" w:type="dxa"/>
            </w:tcMar>
            <w:vAlign w:val="center"/>
          </w:tcPr>
          <w:p w14:paraId="18A82983" w14:textId="77777777" w:rsidR="00D8178A" w:rsidRPr="00FF030A" w:rsidRDefault="00000000">
            <w:pPr>
              <w:spacing w:line="240" w:lineRule="auto"/>
              <w:jc w:val="center"/>
              <w:rPr>
                <w:szCs w:val="24"/>
              </w:rPr>
            </w:pPr>
            <w:r w:rsidRPr="00FF030A">
              <w:rPr>
                <w:rFonts w:eastAsia="Times New Roman"/>
                <w:szCs w:val="24"/>
                <w:highlight w:val="yellow"/>
              </w:rPr>
              <w:t>1155.57</w:t>
            </w:r>
            <w:r w:rsidRPr="00FF030A">
              <w:rPr>
                <w:rFonts w:eastAsia="Times New Roman"/>
                <w:szCs w:val="24"/>
                <w:highlight w:val="yellow"/>
              </w:rPr>
              <w:br/>
              <w:t>(361.31)</w:t>
            </w:r>
          </w:p>
        </w:tc>
        <w:tc>
          <w:tcPr>
            <w:tcW w:w="1034" w:type="dxa"/>
            <w:tcMar>
              <w:top w:w="35" w:type="dxa"/>
              <w:left w:w="35" w:type="dxa"/>
              <w:bottom w:w="35" w:type="dxa"/>
              <w:right w:w="35" w:type="dxa"/>
            </w:tcMar>
            <w:vAlign w:val="center"/>
          </w:tcPr>
          <w:p w14:paraId="064D387F" w14:textId="77777777" w:rsidR="00D8178A" w:rsidRPr="00FF030A" w:rsidRDefault="00000000">
            <w:pPr>
              <w:spacing w:line="240" w:lineRule="auto"/>
              <w:jc w:val="center"/>
              <w:rPr>
                <w:szCs w:val="24"/>
              </w:rPr>
            </w:pPr>
            <w:r w:rsidRPr="00FF030A">
              <w:rPr>
                <w:rFonts w:eastAsia="Times New Roman"/>
                <w:szCs w:val="24"/>
                <w:highlight w:val="yellow"/>
              </w:rPr>
              <w:t>1134.05</w:t>
            </w:r>
            <w:r w:rsidRPr="00FF030A">
              <w:rPr>
                <w:rFonts w:eastAsia="Times New Roman"/>
                <w:szCs w:val="24"/>
                <w:highlight w:val="yellow"/>
              </w:rPr>
              <w:br/>
              <w:t>(412.73)</w:t>
            </w:r>
          </w:p>
        </w:tc>
        <w:tc>
          <w:tcPr>
            <w:tcW w:w="1034" w:type="dxa"/>
            <w:tcMar>
              <w:top w:w="35" w:type="dxa"/>
              <w:left w:w="35" w:type="dxa"/>
              <w:bottom w:w="35" w:type="dxa"/>
              <w:right w:w="35" w:type="dxa"/>
            </w:tcMar>
            <w:vAlign w:val="center"/>
          </w:tcPr>
          <w:p w14:paraId="5B7D1290" w14:textId="77777777" w:rsidR="00D8178A" w:rsidRPr="00FF030A" w:rsidRDefault="00000000">
            <w:pPr>
              <w:spacing w:line="240" w:lineRule="auto"/>
              <w:jc w:val="center"/>
              <w:rPr>
                <w:szCs w:val="24"/>
              </w:rPr>
            </w:pPr>
            <w:r w:rsidRPr="00FF030A">
              <w:rPr>
                <w:rFonts w:eastAsia="Times New Roman"/>
                <w:szCs w:val="24"/>
                <w:highlight w:val="yellow"/>
              </w:rPr>
              <w:t>1149.66</w:t>
            </w:r>
            <w:r w:rsidRPr="00FF030A">
              <w:rPr>
                <w:rFonts w:eastAsia="Times New Roman"/>
                <w:szCs w:val="24"/>
                <w:highlight w:val="yellow"/>
              </w:rPr>
              <w:br/>
              <w:t>(342.35)</w:t>
            </w:r>
          </w:p>
        </w:tc>
        <w:tc>
          <w:tcPr>
            <w:tcW w:w="1034" w:type="dxa"/>
            <w:tcMar>
              <w:top w:w="35" w:type="dxa"/>
              <w:left w:w="35" w:type="dxa"/>
              <w:bottom w:w="35" w:type="dxa"/>
              <w:right w:w="35" w:type="dxa"/>
            </w:tcMar>
            <w:vAlign w:val="center"/>
          </w:tcPr>
          <w:p w14:paraId="683E0184" w14:textId="77777777" w:rsidR="00D8178A" w:rsidRPr="00FF030A" w:rsidRDefault="00000000">
            <w:pPr>
              <w:spacing w:line="240" w:lineRule="auto"/>
              <w:jc w:val="center"/>
              <w:rPr>
                <w:szCs w:val="24"/>
              </w:rPr>
            </w:pPr>
            <w:r w:rsidRPr="00FF030A">
              <w:rPr>
                <w:rFonts w:eastAsia="Times New Roman"/>
                <w:szCs w:val="24"/>
                <w:highlight w:val="yellow"/>
              </w:rPr>
              <w:t>1140.21</w:t>
            </w:r>
            <w:r w:rsidRPr="00FF030A">
              <w:rPr>
                <w:rFonts w:eastAsia="Times New Roman"/>
                <w:szCs w:val="24"/>
                <w:highlight w:val="yellow"/>
              </w:rPr>
              <w:br/>
              <w:t>(401.19)</w:t>
            </w:r>
          </w:p>
        </w:tc>
        <w:tc>
          <w:tcPr>
            <w:tcW w:w="1034" w:type="dxa"/>
            <w:tcMar>
              <w:top w:w="35" w:type="dxa"/>
              <w:left w:w="35" w:type="dxa"/>
              <w:bottom w:w="35" w:type="dxa"/>
              <w:right w:w="35" w:type="dxa"/>
            </w:tcMar>
            <w:vAlign w:val="center"/>
          </w:tcPr>
          <w:p w14:paraId="2DCD11AD" w14:textId="77777777" w:rsidR="00D8178A" w:rsidRPr="00FF030A" w:rsidRDefault="00000000">
            <w:pPr>
              <w:spacing w:line="240" w:lineRule="auto"/>
              <w:jc w:val="center"/>
              <w:rPr>
                <w:szCs w:val="24"/>
              </w:rPr>
            </w:pPr>
            <w:r w:rsidRPr="00FF030A">
              <w:rPr>
                <w:rFonts w:eastAsia="Times New Roman"/>
                <w:szCs w:val="24"/>
                <w:highlight w:val="yellow"/>
              </w:rPr>
              <w:t>1116.69</w:t>
            </w:r>
            <w:r w:rsidRPr="00FF030A">
              <w:rPr>
                <w:rFonts w:eastAsia="Times New Roman"/>
                <w:szCs w:val="24"/>
                <w:highlight w:val="yellow"/>
              </w:rPr>
              <w:br/>
              <w:t>(418.12)</w:t>
            </w:r>
          </w:p>
        </w:tc>
      </w:tr>
      <w:tr w:rsidR="00D8178A" w:rsidRPr="00FF030A" w14:paraId="37A61AA6" w14:textId="77777777">
        <w:trPr>
          <w:cantSplit/>
          <w:jc w:val="center"/>
        </w:trPr>
        <w:tc>
          <w:tcPr>
            <w:tcW w:w="1655" w:type="dxa"/>
            <w:tcMar>
              <w:top w:w="35" w:type="dxa"/>
              <w:left w:w="35" w:type="dxa"/>
              <w:bottom w:w="35" w:type="dxa"/>
              <w:right w:w="35" w:type="dxa"/>
            </w:tcMar>
            <w:vAlign w:val="center"/>
          </w:tcPr>
          <w:p w14:paraId="41A9B5B5" w14:textId="77777777" w:rsidR="00D8178A" w:rsidRPr="00FF030A" w:rsidRDefault="00000000">
            <w:pPr>
              <w:spacing w:line="240" w:lineRule="auto"/>
              <w:rPr>
                <w:szCs w:val="24"/>
              </w:rPr>
            </w:pPr>
            <w:r w:rsidRPr="00FF030A">
              <w:rPr>
                <w:rFonts w:eastAsia="Times New Roman"/>
                <w:szCs w:val="24"/>
                <w:highlight w:val="yellow"/>
              </w:rPr>
              <w:t>Protein</w:t>
            </w:r>
            <w:r w:rsidRPr="00FF030A">
              <w:rPr>
                <w:rFonts w:eastAsia="Times New Roman"/>
                <w:szCs w:val="24"/>
                <w:highlight w:val="yellow"/>
              </w:rPr>
              <w:br/>
              <w:t>(g/day)</w:t>
            </w:r>
          </w:p>
        </w:tc>
        <w:tc>
          <w:tcPr>
            <w:tcW w:w="1034" w:type="dxa"/>
            <w:tcMar>
              <w:top w:w="35" w:type="dxa"/>
              <w:left w:w="35" w:type="dxa"/>
              <w:bottom w:w="35" w:type="dxa"/>
              <w:right w:w="35" w:type="dxa"/>
            </w:tcMar>
            <w:vAlign w:val="center"/>
          </w:tcPr>
          <w:p w14:paraId="26ACC0AA" w14:textId="77777777" w:rsidR="00D8178A" w:rsidRPr="00FF030A" w:rsidRDefault="00000000">
            <w:pPr>
              <w:spacing w:line="240" w:lineRule="auto"/>
              <w:jc w:val="center"/>
              <w:rPr>
                <w:szCs w:val="24"/>
              </w:rPr>
            </w:pPr>
            <w:r w:rsidRPr="00FF030A">
              <w:rPr>
                <w:rFonts w:eastAsia="Times New Roman"/>
                <w:szCs w:val="24"/>
                <w:highlight w:val="yellow"/>
              </w:rPr>
              <w:t>37.61</w:t>
            </w:r>
            <w:r w:rsidRPr="00FF030A">
              <w:rPr>
                <w:rFonts w:eastAsia="Times New Roman"/>
                <w:szCs w:val="24"/>
                <w:highlight w:val="yellow"/>
              </w:rPr>
              <w:br/>
              <w:t>(14.13)</w:t>
            </w:r>
          </w:p>
        </w:tc>
        <w:tc>
          <w:tcPr>
            <w:tcW w:w="1034" w:type="dxa"/>
            <w:tcMar>
              <w:top w:w="35" w:type="dxa"/>
              <w:left w:w="35" w:type="dxa"/>
              <w:bottom w:w="35" w:type="dxa"/>
              <w:right w:w="35" w:type="dxa"/>
            </w:tcMar>
            <w:vAlign w:val="center"/>
          </w:tcPr>
          <w:p w14:paraId="4C68006A" w14:textId="77777777" w:rsidR="00D8178A" w:rsidRPr="00FF030A" w:rsidRDefault="00000000">
            <w:pPr>
              <w:spacing w:line="240" w:lineRule="auto"/>
              <w:jc w:val="center"/>
              <w:rPr>
                <w:szCs w:val="24"/>
              </w:rPr>
            </w:pPr>
            <w:r w:rsidRPr="00FF030A">
              <w:rPr>
                <w:rFonts w:eastAsia="Times New Roman"/>
                <w:szCs w:val="24"/>
                <w:highlight w:val="yellow"/>
              </w:rPr>
              <w:t>36.71</w:t>
            </w:r>
            <w:r w:rsidRPr="00FF030A">
              <w:rPr>
                <w:rFonts w:eastAsia="Times New Roman"/>
                <w:szCs w:val="24"/>
                <w:highlight w:val="yellow"/>
              </w:rPr>
              <w:br/>
              <w:t>(12.02)</w:t>
            </w:r>
          </w:p>
        </w:tc>
        <w:tc>
          <w:tcPr>
            <w:tcW w:w="1034" w:type="dxa"/>
            <w:tcMar>
              <w:top w:w="35" w:type="dxa"/>
              <w:left w:w="35" w:type="dxa"/>
              <w:bottom w:w="35" w:type="dxa"/>
              <w:right w:w="35" w:type="dxa"/>
            </w:tcMar>
            <w:vAlign w:val="center"/>
          </w:tcPr>
          <w:p w14:paraId="4CE4C75C" w14:textId="77777777" w:rsidR="00D8178A" w:rsidRPr="00FF030A" w:rsidRDefault="00000000">
            <w:pPr>
              <w:spacing w:line="240" w:lineRule="auto"/>
              <w:jc w:val="center"/>
              <w:rPr>
                <w:szCs w:val="24"/>
              </w:rPr>
            </w:pPr>
            <w:r w:rsidRPr="00FF030A">
              <w:rPr>
                <w:rFonts w:eastAsia="Times New Roman"/>
                <w:szCs w:val="24"/>
                <w:highlight w:val="yellow"/>
              </w:rPr>
              <w:t>39.04</w:t>
            </w:r>
            <w:r w:rsidRPr="00FF030A">
              <w:rPr>
                <w:rFonts w:eastAsia="Times New Roman"/>
                <w:szCs w:val="24"/>
                <w:highlight w:val="yellow"/>
              </w:rPr>
              <w:br/>
              <w:t>(14.10)</w:t>
            </w:r>
          </w:p>
        </w:tc>
        <w:tc>
          <w:tcPr>
            <w:tcW w:w="1034" w:type="dxa"/>
            <w:tcMar>
              <w:top w:w="35" w:type="dxa"/>
              <w:left w:w="35" w:type="dxa"/>
              <w:bottom w:w="35" w:type="dxa"/>
              <w:right w:w="35" w:type="dxa"/>
            </w:tcMar>
            <w:vAlign w:val="center"/>
          </w:tcPr>
          <w:p w14:paraId="7FC100FD" w14:textId="77777777" w:rsidR="00D8178A" w:rsidRPr="00FF030A" w:rsidRDefault="00000000">
            <w:pPr>
              <w:spacing w:line="240" w:lineRule="auto"/>
              <w:jc w:val="center"/>
              <w:rPr>
                <w:szCs w:val="24"/>
              </w:rPr>
            </w:pPr>
            <w:r w:rsidRPr="00FF030A">
              <w:rPr>
                <w:rFonts w:eastAsia="Times New Roman"/>
                <w:szCs w:val="24"/>
                <w:highlight w:val="yellow"/>
              </w:rPr>
              <w:t>37.06</w:t>
            </w:r>
            <w:r w:rsidRPr="00FF030A">
              <w:rPr>
                <w:rFonts w:eastAsia="Times New Roman"/>
                <w:szCs w:val="24"/>
                <w:highlight w:val="yellow"/>
              </w:rPr>
              <w:br/>
              <w:t>(13.22)</w:t>
            </w:r>
          </w:p>
        </w:tc>
        <w:tc>
          <w:tcPr>
            <w:tcW w:w="1034" w:type="dxa"/>
            <w:tcMar>
              <w:top w:w="35" w:type="dxa"/>
              <w:left w:w="35" w:type="dxa"/>
              <w:bottom w:w="35" w:type="dxa"/>
              <w:right w:w="35" w:type="dxa"/>
            </w:tcMar>
            <w:vAlign w:val="center"/>
          </w:tcPr>
          <w:p w14:paraId="2A4FF1AF" w14:textId="77777777" w:rsidR="00D8178A" w:rsidRPr="00FF030A" w:rsidRDefault="00000000">
            <w:pPr>
              <w:spacing w:line="240" w:lineRule="auto"/>
              <w:jc w:val="center"/>
              <w:rPr>
                <w:szCs w:val="24"/>
              </w:rPr>
            </w:pPr>
            <w:r w:rsidRPr="00FF030A">
              <w:rPr>
                <w:rFonts w:eastAsia="Times New Roman"/>
                <w:szCs w:val="24"/>
                <w:highlight w:val="yellow"/>
              </w:rPr>
              <w:t>37.64</w:t>
            </w:r>
            <w:r w:rsidRPr="00FF030A">
              <w:rPr>
                <w:rFonts w:eastAsia="Times New Roman"/>
                <w:szCs w:val="24"/>
                <w:highlight w:val="yellow"/>
              </w:rPr>
              <w:br/>
              <w:t>(14.57)</w:t>
            </w:r>
          </w:p>
        </w:tc>
        <w:tc>
          <w:tcPr>
            <w:tcW w:w="1034" w:type="dxa"/>
            <w:tcMar>
              <w:top w:w="35" w:type="dxa"/>
              <w:left w:w="35" w:type="dxa"/>
              <w:bottom w:w="35" w:type="dxa"/>
              <w:right w:w="35" w:type="dxa"/>
            </w:tcMar>
            <w:vAlign w:val="center"/>
          </w:tcPr>
          <w:p w14:paraId="57F77F25" w14:textId="77777777" w:rsidR="00D8178A" w:rsidRPr="00FF030A" w:rsidRDefault="00000000">
            <w:pPr>
              <w:spacing w:line="240" w:lineRule="auto"/>
              <w:jc w:val="center"/>
              <w:rPr>
                <w:szCs w:val="24"/>
              </w:rPr>
            </w:pPr>
            <w:r w:rsidRPr="00FF030A">
              <w:rPr>
                <w:rFonts w:eastAsia="Times New Roman"/>
                <w:szCs w:val="24"/>
                <w:highlight w:val="yellow"/>
              </w:rPr>
              <w:t>36.30</w:t>
            </w:r>
            <w:r w:rsidRPr="00FF030A">
              <w:rPr>
                <w:rFonts w:eastAsia="Times New Roman"/>
                <w:szCs w:val="24"/>
                <w:highlight w:val="yellow"/>
              </w:rPr>
              <w:br/>
              <w:t>(15.17)</w:t>
            </w:r>
          </w:p>
        </w:tc>
        <w:tc>
          <w:tcPr>
            <w:tcW w:w="1034" w:type="dxa"/>
            <w:tcMar>
              <w:top w:w="35" w:type="dxa"/>
              <w:left w:w="35" w:type="dxa"/>
              <w:bottom w:w="35" w:type="dxa"/>
              <w:right w:w="35" w:type="dxa"/>
            </w:tcMar>
            <w:vAlign w:val="center"/>
          </w:tcPr>
          <w:p w14:paraId="4CD58D9A" w14:textId="77777777" w:rsidR="00D8178A" w:rsidRPr="00FF030A" w:rsidRDefault="00000000">
            <w:pPr>
              <w:spacing w:line="240" w:lineRule="auto"/>
              <w:jc w:val="center"/>
              <w:rPr>
                <w:szCs w:val="24"/>
              </w:rPr>
            </w:pPr>
            <w:r w:rsidRPr="00FF030A">
              <w:rPr>
                <w:rFonts w:eastAsia="Times New Roman"/>
                <w:szCs w:val="24"/>
                <w:highlight w:val="yellow"/>
              </w:rPr>
              <w:t>37.86</w:t>
            </w:r>
            <w:r w:rsidRPr="00FF030A">
              <w:rPr>
                <w:rFonts w:eastAsia="Times New Roman"/>
                <w:szCs w:val="24"/>
                <w:highlight w:val="yellow"/>
              </w:rPr>
              <w:br/>
              <w:t>(15.04)</w:t>
            </w:r>
          </w:p>
        </w:tc>
      </w:tr>
      <w:tr w:rsidR="00D8178A" w:rsidRPr="00FF030A" w14:paraId="4DA6F7F5" w14:textId="77777777">
        <w:trPr>
          <w:cantSplit/>
          <w:jc w:val="center"/>
        </w:trPr>
        <w:tc>
          <w:tcPr>
            <w:tcW w:w="1655" w:type="dxa"/>
            <w:tcMar>
              <w:top w:w="35" w:type="dxa"/>
              <w:left w:w="35" w:type="dxa"/>
              <w:bottom w:w="35" w:type="dxa"/>
              <w:right w:w="35" w:type="dxa"/>
            </w:tcMar>
            <w:vAlign w:val="center"/>
          </w:tcPr>
          <w:p w14:paraId="7A5913A4" w14:textId="77777777" w:rsidR="00D8178A" w:rsidRPr="00FF030A" w:rsidRDefault="00000000">
            <w:pPr>
              <w:spacing w:line="240" w:lineRule="auto"/>
              <w:rPr>
                <w:szCs w:val="24"/>
              </w:rPr>
            </w:pPr>
            <w:r w:rsidRPr="00FF030A">
              <w:rPr>
                <w:rFonts w:eastAsia="Times New Roman"/>
                <w:szCs w:val="24"/>
                <w:highlight w:val="yellow"/>
              </w:rPr>
              <w:t>Fat</w:t>
            </w:r>
            <w:r w:rsidRPr="00FF030A">
              <w:rPr>
                <w:rFonts w:eastAsia="Times New Roman"/>
                <w:szCs w:val="24"/>
                <w:highlight w:val="yellow"/>
              </w:rPr>
              <w:br/>
              <w:t>(g/day)</w:t>
            </w:r>
          </w:p>
        </w:tc>
        <w:tc>
          <w:tcPr>
            <w:tcW w:w="1034" w:type="dxa"/>
            <w:tcMar>
              <w:top w:w="35" w:type="dxa"/>
              <w:left w:w="35" w:type="dxa"/>
              <w:bottom w:w="35" w:type="dxa"/>
              <w:right w:w="35" w:type="dxa"/>
            </w:tcMar>
            <w:vAlign w:val="center"/>
          </w:tcPr>
          <w:p w14:paraId="46536367" w14:textId="77777777" w:rsidR="00D8178A" w:rsidRPr="00FF030A" w:rsidRDefault="00000000">
            <w:pPr>
              <w:spacing w:line="240" w:lineRule="auto"/>
              <w:jc w:val="center"/>
              <w:rPr>
                <w:szCs w:val="24"/>
              </w:rPr>
            </w:pPr>
            <w:r w:rsidRPr="00FF030A">
              <w:rPr>
                <w:rFonts w:eastAsia="Times New Roman"/>
                <w:szCs w:val="24"/>
                <w:highlight w:val="yellow"/>
              </w:rPr>
              <w:t>43.79</w:t>
            </w:r>
            <w:r w:rsidRPr="00FF030A">
              <w:rPr>
                <w:rFonts w:eastAsia="Times New Roman"/>
                <w:szCs w:val="24"/>
                <w:highlight w:val="yellow"/>
              </w:rPr>
              <w:br/>
              <w:t>(16.70)</w:t>
            </w:r>
          </w:p>
        </w:tc>
        <w:tc>
          <w:tcPr>
            <w:tcW w:w="1034" w:type="dxa"/>
            <w:tcMar>
              <w:top w:w="35" w:type="dxa"/>
              <w:left w:w="35" w:type="dxa"/>
              <w:bottom w:w="35" w:type="dxa"/>
              <w:right w:w="35" w:type="dxa"/>
            </w:tcMar>
            <w:vAlign w:val="center"/>
          </w:tcPr>
          <w:p w14:paraId="081944C2" w14:textId="77777777" w:rsidR="00D8178A" w:rsidRPr="00FF030A" w:rsidRDefault="00000000">
            <w:pPr>
              <w:spacing w:line="240" w:lineRule="auto"/>
              <w:jc w:val="center"/>
              <w:rPr>
                <w:szCs w:val="24"/>
              </w:rPr>
            </w:pPr>
            <w:r w:rsidRPr="00FF030A">
              <w:rPr>
                <w:rFonts w:eastAsia="Times New Roman"/>
                <w:szCs w:val="24"/>
                <w:highlight w:val="yellow"/>
              </w:rPr>
              <w:t>45.44</w:t>
            </w:r>
            <w:r w:rsidRPr="00FF030A">
              <w:rPr>
                <w:rFonts w:eastAsia="Times New Roman"/>
                <w:szCs w:val="24"/>
                <w:highlight w:val="yellow"/>
              </w:rPr>
              <w:br/>
              <w:t>(15.71)</w:t>
            </w:r>
          </w:p>
        </w:tc>
        <w:tc>
          <w:tcPr>
            <w:tcW w:w="1034" w:type="dxa"/>
            <w:tcMar>
              <w:top w:w="35" w:type="dxa"/>
              <w:left w:w="35" w:type="dxa"/>
              <w:bottom w:w="35" w:type="dxa"/>
              <w:right w:w="35" w:type="dxa"/>
            </w:tcMar>
            <w:vAlign w:val="center"/>
          </w:tcPr>
          <w:p w14:paraId="4C6F6DE3" w14:textId="77777777" w:rsidR="00D8178A" w:rsidRPr="00FF030A" w:rsidRDefault="00000000">
            <w:pPr>
              <w:spacing w:line="240" w:lineRule="auto"/>
              <w:jc w:val="center"/>
              <w:rPr>
                <w:szCs w:val="24"/>
              </w:rPr>
            </w:pPr>
            <w:r w:rsidRPr="00FF030A">
              <w:rPr>
                <w:rFonts w:eastAsia="Times New Roman"/>
                <w:szCs w:val="24"/>
                <w:highlight w:val="yellow"/>
              </w:rPr>
              <w:t>49.79</w:t>
            </w:r>
            <w:r w:rsidRPr="00FF030A">
              <w:rPr>
                <w:rFonts w:eastAsia="Times New Roman"/>
                <w:szCs w:val="24"/>
                <w:highlight w:val="yellow"/>
              </w:rPr>
              <w:br/>
              <w:t>(19.58)</w:t>
            </w:r>
          </w:p>
        </w:tc>
        <w:tc>
          <w:tcPr>
            <w:tcW w:w="1034" w:type="dxa"/>
            <w:tcMar>
              <w:top w:w="35" w:type="dxa"/>
              <w:left w:w="35" w:type="dxa"/>
              <w:bottom w:w="35" w:type="dxa"/>
              <w:right w:w="35" w:type="dxa"/>
            </w:tcMar>
            <w:vAlign w:val="center"/>
          </w:tcPr>
          <w:p w14:paraId="69D78C22" w14:textId="77777777" w:rsidR="00D8178A" w:rsidRPr="00FF030A" w:rsidRDefault="00000000">
            <w:pPr>
              <w:spacing w:line="240" w:lineRule="auto"/>
              <w:jc w:val="center"/>
              <w:rPr>
                <w:szCs w:val="24"/>
              </w:rPr>
            </w:pPr>
            <w:r w:rsidRPr="00FF030A">
              <w:rPr>
                <w:rFonts w:eastAsia="Times New Roman"/>
                <w:szCs w:val="24"/>
                <w:highlight w:val="yellow"/>
              </w:rPr>
              <w:t>44.36</w:t>
            </w:r>
            <w:r w:rsidRPr="00FF030A">
              <w:rPr>
                <w:rFonts w:eastAsia="Times New Roman"/>
                <w:szCs w:val="24"/>
                <w:highlight w:val="yellow"/>
              </w:rPr>
              <w:br/>
              <w:t>(18.99)</w:t>
            </w:r>
          </w:p>
        </w:tc>
        <w:tc>
          <w:tcPr>
            <w:tcW w:w="1034" w:type="dxa"/>
            <w:tcMar>
              <w:top w:w="35" w:type="dxa"/>
              <w:left w:w="35" w:type="dxa"/>
              <w:bottom w:w="35" w:type="dxa"/>
              <w:right w:w="35" w:type="dxa"/>
            </w:tcMar>
            <w:vAlign w:val="center"/>
          </w:tcPr>
          <w:p w14:paraId="0D27D90F" w14:textId="77777777" w:rsidR="00D8178A" w:rsidRPr="00FF030A" w:rsidRDefault="00000000">
            <w:pPr>
              <w:spacing w:line="240" w:lineRule="auto"/>
              <w:jc w:val="center"/>
              <w:rPr>
                <w:szCs w:val="24"/>
              </w:rPr>
            </w:pPr>
            <w:r w:rsidRPr="00FF030A">
              <w:rPr>
                <w:rFonts w:eastAsia="Times New Roman"/>
                <w:szCs w:val="24"/>
                <w:highlight w:val="yellow"/>
              </w:rPr>
              <w:t>45.77</w:t>
            </w:r>
            <w:r w:rsidRPr="00FF030A">
              <w:rPr>
                <w:rFonts w:eastAsia="Times New Roman"/>
                <w:szCs w:val="24"/>
                <w:highlight w:val="yellow"/>
              </w:rPr>
              <w:br/>
              <w:t>(16.21)</w:t>
            </w:r>
          </w:p>
        </w:tc>
        <w:tc>
          <w:tcPr>
            <w:tcW w:w="1034" w:type="dxa"/>
            <w:tcMar>
              <w:top w:w="35" w:type="dxa"/>
              <w:left w:w="35" w:type="dxa"/>
              <w:bottom w:w="35" w:type="dxa"/>
              <w:right w:w="35" w:type="dxa"/>
            </w:tcMar>
            <w:vAlign w:val="center"/>
          </w:tcPr>
          <w:p w14:paraId="4CBECCB8" w14:textId="77777777" w:rsidR="00D8178A" w:rsidRPr="00FF030A" w:rsidRDefault="00000000">
            <w:pPr>
              <w:spacing w:line="240" w:lineRule="auto"/>
              <w:jc w:val="center"/>
              <w:rPr>
                <w:szCs w:val="24"/>
              </w:rPr>
            </w:pPr>
            <w:r w:rsidRPr="00FF030A">
              <w:rPr>
                <w:rFonts w:eastAsia="Times New Roman"/>
                <w:szCs w:val="24"/>
                <w:highlight w:val="yellow"/>
              </w:rPr>
              <w:t>43.91</w:t>
            </w:r>
            <w:r w:rsidRPr="00FF030A">
              <w:rPr>
                <w:rFonts w:eastAsia="Times New Roman"/>
                <w:szCs w:val="24"/>
                <w:highlight w:val="yellow"/>
              </w:rPr>
              <w:br/>
              <w:t>(17.55)</w:t>
            </w:r>
          </w:p>
        </w:tc>
        <w:tc>
          <w:tcPr>
            <w:tcW w:w="1034" w:type="dxa"/>
            <w:tcMar>
              <w:top w:w="35" w:type="dxa"/>
              <w:left w:w="35" w:type="dxa"/>
              <w:bottom w:w="35" w:type="dxa"/>
              <w:right w:w="35" w:type="dxa"/>
            </w:tcMar>
            <w:vAlign w:val="center"/>
          </w:tcPr>
          <w:p w14:paraId="4EC0987E" w14:textId="77777777" w:rsidR="00D8178A" w:rsidRPr="00FF030A" w:rsidRDefault="00000000">
            <w:pPr>
              <w:spacing w:line="240" w:lineRule="auto"/>
              <w:jc w:val="center"/>
              <w:rPr>
                <w:szCs w:val="24"/>
              </w:rPr>
            </w:pPr>
            <w:r w:rsidRPr="00FF030A">
              <w:rPr>
                <w:rFonts w:eastAsia="Times New Roman"/>
                <w:szCs w:val="24"/>
                <w:highlight w:val="yellow"/>
              </w:rPr>
              <w:t>43.42</w:t>
            </w:r>
            <w:r w:rsidRPr="00FF030A">
              <w:rPr>
                <w:rFonts w:eastAsia="Times New Roman"/>
                <w:szCs w:val="24"/>
                <w:highlight w:val="yellow"/>
              </w:rPr>
              <w:br/>
              <w:t>(16.78)</w:t>
            </w:r>
          </w:p>
        </w:tc>
      </w:tr>
      <w:tr w:rsidR="00D8178A" w:rsidRPr="00FF030A" w14:paraId="7B9993A6" w14:textId="77777777">
        <w:trPr>
          <w:cantSplit/>
          <w:jc w:val="center"/>
        </w:trPr>
        <w:tc>
          <w:tcPr>
            <w:tcW w:w="1655" w:type="dxa"/>
            <w:tcMar>
              <w:top w:w="35" w:type="dxa"/>
              <w:left w:w="35" w:type="dxa"/>
              <w:bottom w:w="35" w:type="dxa"/>
              <w:right w:w="35" w:type="dxa"/>
            </w:tcMar>
            <w:vAlign w:val="center"/>
          </w:tcPr>
          <w:p w14:paraId="19835835" w14:textId="77777777" w:rsidR="00D8178A" w:rsidRPr="00FF030A" w:rsidRDefault="00000000">
            <w:pPr>
              <w:spacing w:line="240" w:lineRule="auto"/>
              <w:rPr>
                <w:szCs w:val="24"/>
              </w:rPr>
            </w:pPr>
            <w:r w:rsidRPr="00FF030A">
              <w:rPr>
                <w:rFonts w:eastAsia="Times New Roman"/>
                <w:szCs w:val="24"/>
                <w:highlight w:val="yellow"/>
              </w:rPr>
              <w:t>Carbohydrate</w:t>
            </w:r>
            <w:r w:rsidRPr="00FF030A">
              <w:rPr>
                <w:rFonts w:eastAsia="Times New Roman"/>
                <w:szCs w:val="24"/>
                <w:highlight w:val="yellow"/>
              </w:rPr>
              <w:br/>
              <w:t>(g/day)</w:t>
            </w:r>
          </w:p>
        </w:tc>
        <w:tc>
          <w:tcPr>
            <w:tcW w:w="1034" w:type="dxa"/>
            <w:tcMar>
              <w:top w:w="35" w:type="dxa"/>
              <w:left w:w="35" w:type="dxa"/>
              <w:bottom w:w="35" w:type="dxa"/>
              <w:right w:w="35" w:type="dxa"/>
            </w:tcMar>
            <w:vAlign w:val="center"/>
          </w:tcPr>
          <w:p w14:paraId="5EDBB9CD" w14:textId="77777777" w:rsidR="00D8178A" w:rsidRPr="00FF030A" w:rsidRDefault="00000000">
            <w:pPr>
              <w:spacing w:line="240" w:lineRule="auto"/>
              <w:jc w:val="center"/>
              <w:rPr>
                <w:szCs w:val="24"/>
              </w:rPr>
            </w:pPr>
            <w:r w:rsidRPr="00FF030A">
              <w:rPr>
                <w:rFonts w:eastAsia="Times New Roman"/>
                <w:szCs w:val="24"/>
                <w:highlight w:val="yellow"/>
              </w:rPr>
              <w:t>145.11</w:t>
            </w:r>
            <w:r w:rsidRPr="00FF030A">
              <w:rPr>
                <w:rFonts w:eastAsia="Times New Roman"/>
                <w:szCs w:val="24"/>
                <w:highlight w:val="yellow"/>
              </w:rPr>
              <w:br/>
              <w:t>(54.73)</w:t>
            </w:r>
          </w:p>
        </w:tc>
        <w:tc>
          <w:tcPr>
            <w:tcW w:w="1034" w:type="dxa"/>
            <w:tcMar>
              <w:top w:w="35" w:type="dxa"/>
              <w:left w:w="35" w:type="dxa"/>
              <w:bottom w:w="35" w:type="dxa"/>
              <w:right w:w="35" w:type="dxa"/>
            </w:tcMar>
            <w:vAlign w:val="center"/>
          </w:tcPr>
          <w:p w14:paraId="2E73D16E" w14:textId="77777777" w:rsidR="00D8178A" w:rsidRPr="00FF030A" w:rsidRDefault="00000000">
            <w:pPr>
              <w:spacing w:line="240" w:lineRule="auto"/>
              <w:jc w:val="center"/>
              <w:rPr>
                <w:szCs w:val="24"/>
              </w:rPr>
            </w:pPr>
            <w:r w:rsidRPr="00FF030A">
              <w:rPr>
                <w:rFonts w:eastAsia="Times New Roman"/>
                <w:szCs w:val="24"/>
                <w:highlight w:val="yellow"/>
              </w:rPr>
              <w:t>142.98</w:t>
            </w:r>
            <w:r w:rsidRPr="00FF030A">
              <w:rPr>
                <w:rFonts w:eastAsia="Times New Roman"/>
                <w:szCs w:val="24"/>
                <w:highlight w:val="yellow"/>
              </w:rPr>
              <w:br/>
              <w:t>(53.14)</w:t>
            </w:r>
          </w:p>
        </w:tc>
        <w:tc>
          <w:tcPr>
            <w:tcW w:w="1034" w:type="dxa"/>
            <w:tcMar>
              <w:top w:w="35" w:type="dxa"/>
              <w:left w:w="35" w:type="dxa"/>
              <w:bottom w:w="35" w:type="dxa"/>
              <w:right w:w="35" w:type="dxa"/>
            </w:tcMar>
            <w:vAlign w:val="center"/>
          </w:tcPr>
          <w:p w14:paraId="2C362847" w14:textId="77777777" w:rsidR="00D8178A" w:rsidRPr="00FF030A" w:rsidRDefault="00000000">
            <w:pPr>
              <w:spacing w:line="240" w:lineRule="auto"/>
              <w:jc w:val="center"/>
              <w:rPr>
                <w:szCs w:val="24"/>
              </w:rPr>
            </w:pPr>
            <w:r w:rsidRPr="00FF030A">
              <w:rPr>
                <w:rFonts w:eastAsia="Times New Roman"/>
                <w:szCs w:val="24"/>
                <w:highlight w:val="yellow"/>
              </w:rPr>
              <w:t>153.25</w:t>
            </w:r>
            <w:r w:rsidRPr="00FF030A">
              <w:rPr>
                <w:rFonts w:eastAsia="Times New Roman"/>
                <w:szCs w:val="24"/>
                <w:highlight w:val="yellow"/>
              </w:rPr>
              <w:br/>
              <w:t>(53.10)</w:t>
            </w:r>
          </w:p>
        </w:tc>
        <w:tc>
          <w:tcPr>
            <w:tcW w:w="1034" w:type="dxa"/>
            <w:tcMar>
              <w:top w:w="35" w:type="dxa"/>
              <w:left w:w="35" w:type="dxa"/>
              <w:bottom w:w="35" w:type="dxa"/>
              <w:right w:w="35" w:type="dxa"/>
            </w:tcMar>
            <w:vAlign w:val="center"/>
          </w:tcPr>
          <w:p w14:paraId="34B3F1ED" w14:textId="77777777" w:rsidR="00D8178A" w:rsidRPr="00FF030A" w:rsidRDefault="00000000">
            <w:pPr>
              <w:spacing w:line="240" w:lineRule="auto"/>
              <w:jc w:val="center"/>
              <w:rPr>
                <w:szCs w:val="24"/>
              </w:rPr>
            </w:pPr>
            <w:r w:rsidRPr="00FF030A">
              <w:rPr>
                <w:rFonts w:eastAsia="Times New Roman"/>
                <w:szCs w:val="24"/>
                <w:highlight w:val="yellow"/>
              </w:rPr>
              <w:t>153.35</w:t>
            </w:r>
            <w:r w:rsidRPr="00FF030A">
              <w:rPr>
                <w:rFonts w:eastAsia="Times New Roman"/>
                <w:szCs w:val="24"/>
                <w:highlight w:val="yellow"/>
              </w:rPr>
              <w:br/>
              <w:t>(69.63)</w:t>
            </w:r>
          </w:p>
        </w:tc>
        <w:tc>
          <w:tcPr>
            <w:tcW w:w="1034" w:type="dxa"/>
            <w:tcMar>
              <w:top w:w="35" w:type="dxa"/>
              <w:left w:w="35" w:type="dxa"/>
              <w:bottom w:w="35" w:type="dxa"/>
              <w:right w:w="35" w:type="dxa"/>
            </w:tcMar>
            <w:vAlign w:val="center"/>
          </w:tcPr>
          <w:p w14:paraId="7654EB88" w14:textId="77777777" w:rsidR="00D8178A" w:rsidRPr="00FF030A" w:rsidRDefault="00000000">
            <w:pPr>
              <w:spacing w:line="240" w:lineRule="auto"/>
              <w:jc w:val="center"/>
              <w:rPr>
                <w:szCs w:val="24"/>
              </w:rPr>
            </w:pPr>
            <w:r w:rsidRPr="00FF030A">
              <w:rPr>
                <w:rFonts w:eastAsia="Times New Roman"/>
                <w:szCs w:val="24"/>
                <w:highlight w:val="yellow"/>
              </w:rPr>
              <w:t>150.02</w:t>
            </w:r>
            <w:r w:rsidRPr="00FF030A">
              <w:rPr>
                <w:rFonts w:eastAsia="Times New Roman"/>
                <w:szCs w:val="24"/>
                <w:highlight w:val="yellow"/>
              </w:rPr>
              <w:br/>
              <w:t>(53.77)</w:t>
            </w:r>
          </w:p>
        </w:tc>
        <w:tc>
          <w:tcPr>
            <w:tcW w:w="1034" w:type="dxa"/>
            <w:tcMar>
              <w:top w:w="35" w:type="dxa"/>
              <w:left w:w="35" w:type="dxa"/>
              <w:bottom w:w="35" w:type="dxa"/>
              <w:right w:w="35" w:type="dxa"/>
            </w:tcMar>
            <w:vAlign w:val="center"/>
          </w:tcPr>
          <w:p w14:paraId="32DCC9D3" w14:textId="77777777" w:rsidR="00D8178A" w:rsidRPr="00FF030A" w:rsidRDefault="00000000">
            <w:pPr>
              <w:spacing w:line="240" w:lineRule="auto"/>
              <w:jc w:val="center"/>
              <w:rPr>
                <w:szCs w:val="24"/>
              </w:rPr>
            </w:pPr>
            <w:r w:rsidRPr="00FF030A">
              <w:rPr>
                <w:rFonts w:eastAsia="Times New Roman"/>
                <w:szCs w:val="24"/>
                <w:highlight w:val="yellow"/>
              </w:rPr>
              <w:t>154.91</w:t>
            </w:r>
            <w:r w:rsidRPr="00FF030A">
              <w:rPr>
                <w:rFonts w:eastAsia="Times New Roman"/>
                <w:szCs w:val="24"/>
                <w:highlight w:val="yellow"/>
              </w:rPr>
              <w:br/>
              <w:t>(62.96)</w:t>
            </w:r>
          </w:p>
        </w:tc>
        <w:tc>
          <w:tcPr>
            <w:tcW w:w="1034" w:type="dxa"/>
            <w:tcMar>
              <w:top w:w="35" w:type="dxa"/>
              <w:left w:w="35" w:type="dxa"/>
              <w:bottom w:w="35" w:type="dxa"/>
              <w:right w:w="35" w:type="dxa"/>
            </w:tcMar>
            <w:vAlign w:val="center"/>
          </w:tcPr>
          <w:p w14:paraId="5B378296" w14:textId="77777777" w:rsidR="00D8178A" w:rsidRPr="00FF030A" w:rsidRDefault="00000000">
            <w:pPr>
              <w:spacing w:line="240" w:lineRule="auto"/>
              <w:jc w:val="center"/>
              <w:rPr>
                <w:szCs w:val="24"/>
              </w:rPr>
            </w:pPr>
            <w:r w:rsidRPr="00FF030A">
              <w:rPr>
                <w:rFonts w:eastAsia="Times New Roman"/>
                <w:szCs w:val="24"/>
                <w:highlight w:val="yellow"/>
              </w:rPr>
              <w:t>153.69</w:t>
            </w:r>
            <w:r w:rsidRPr="00FF030A">
              <w:rPr>
                <w:rFonts w:eastAsia="Times New Roman"/>
                <w:szCs w:val="24"/>
                <w:highlight w:val="yellow"/>
              </w:rPr>
              <w:br/>
              <w:t>(64.22)</w:t>
            </w:r>
          </w:p>
        </w:tc>
      </w:tr>
      <w:tr w:rsidR="00D8178A" w:rsidRPr="00FF030A" w14:paraId="6F5FEC8C" w14:textId="77777777">
        <w:trPr>
          <w:cantSplit/>
          <w:jc w:val="center"/>
        </w:trPr>
        <w:tc>
          <w:tcPr>
            <w:tcW w:w="1655" w:type="dxa"/>
            <w:tcMar>
              <w:top w:w="35" w:type="dxa"/>
              <w:left w:w="35" w:type="dxa"/>
              <w:bottom w:w="35" w:type="dxa"/>
              <w:right w:w="35" w:type="dxa"/>
            </w:tcMar>
            <w:vAlign w:val="center"/>
          </w:tcPr>
          <w:p w14:paraId="4DC23B5E" w14:textId="77777777" w:rsidR="00D8178A" w:rsidRPr="00FF030A" w:rsidRDefault="00000000">
            <w:pPr>
              <w:spacing w:line="240" w:lineRule="auto"/>
              <w:rPr>
                <w:szCs w:val="24"/>
              </w:rPr>
            </w:pPr>
            <w:r w:rsidRPr="00FF030A">
              <w:rPr>
                <w:rFonts w:eastAsia="Times New Roman"/>
                <w:szCs w:val="24"/>
                <w:highlight w:val="yellow"/>
              </w:rPr>
              <w:t>Fiber</w:t>
            </w:r>
            <w:r w:rsidRPr="00FF030A">
              <w:rPr>
                <w:rFonts w:eastAsia="Times New Roman"/>
                <w:szCs w:val="24"/>
                <w:highlight w:val="yellow"/>
              </w:rPr>
              <w:br/>
              <w:t>(g/day)</w:t>
            </w:r>
          </w:p>
        </w:tc>
        <w:tc>
          <w:tcPr>
            <w:tcW w:w="1034" w:type="dxa"/>
            <w:tcMar>
              <w:top w:w="35" w:type="dxa"/>
              <w:left w:w="35" w:type="dxa"/>
              <w:bottom w:w="35" w:type="dxa"/>
              <w:right w:w="35" w:type="dxa"/>
            </w:tcMar>
            <w:vAlign w:val="center"/>
          </w:tcPr>
          <w:p w14:paraId="2F6C6CED" w14:textId="77777777" w:rsidR="00D8178A" w:rsidRPr="00FF030A" w:rsidRDefault="00000000">
            <w:pPr>
              <w:spacing w:line="240" w:lineRule="auto"/>
              <w:jc w:val="center"/>
              <w:rPr>
                <w:szCs w:val="24"/>
              </w:rPr>
            </w:pPr>
            <w:r w:rsidRPr="00FF030A">
              <w:rPr>
                <w:rFonts w:eastAsia="Times New Roman"/>
                <w:szCs w:val="24"/>
                <w:highlight w:val="yellow"/>
              </w:rPr>
              <w:t>9.68</w:t>
            </w:r>
            <w:r w:rsidRPr="00FF030A">
              <w:rPr>
                <w:rFonts w:eastAsia="Times New Roman"/>
                <w:szCs w:val="24"/>
                <w:highlight w:val="yellow"/>
              </w:rPr>
              <w:br/>
              <w:t>(4.29)</w:t>
            </w:r>
          </w:p>
        </w:tc>
        <w:tc>
          <w:tcPr>
            <w:tcW w:w="1034" w:type="dxa"/>
            <w:tcMar>
              <w:top w:w="35" w:type="dxa"/>
              <w:left w:w="35" w:type="dxa"/>
              <w:bottom w:w="35" w:type="dxa"/>
              <w:right w:w="35" w:type="dxa"/>
            </w:tcMar>
            <w:vAlign w:val="center"/>
          </w:tcPr>
          <w:p w14:paraId="6D9B8986" w14:textId="77777777" w:rsidR="00D8178A" w:rsidRPr="00FF030A" w:rsidRDefault="00000000">
            <w:pPr>
              <w:spacing w:line="240" w:lineRule="auto"/>
              <w:jc w:val="center"/>
              <w:rPr>
                <w:szCs w:val="24"/>
              </w:rPr>
            </w:pPr>
            <w:r w:rsidRPr="00FF030A">
              <w:rPr>
                <w:rFonts w:eastAsia="Times New Roman"/>
                <w:szCs w:val="24"/>
                <w:highlight w:val="yellow"/>
              </w:rPr>
              <w:t>10.74</w:t>
            </w:r>
            <w:r w:rsidRPr="00FF030A">
              <w:rPr>
                <w:rFonts w:eastAsia="Times New Roman"/>
                <w:szCs w:val="24"/>
                <w:highlight w:val="yellow"/>
              </w:rPr>
              <w:br/>
              <w:t>(5.44)</w:t>
            </w:r>
          </w:p>
        </w:tc>
        <w:tc>
          <w:tcPr>
            <w:tcW w:w="1034" w:type="dxa"/>
            <w:tcMar>
              <w:top w:w="35" w:type="dxa"/>
              <w:left w:w="35" w:type="dxa"/>
              <w:bottom w:w="35" w:type="dxa"/>
              <w:right w:w="35" w:type="dxa"/>
            </w:tcMar>
            <w:vAlign w:val="center"/>
          </w:tcPr>
          <w:p w14:paraId="02F7DA30" w14:textId="77777777" w:rsidR="00D8178A" w:rsidRPr="00FF030A" w:rsidRDefault="00000000">
            <w:pPr>
              <w:spacing w:line="240" w:lineRule="auto"/>
              <w:jc w:val="center"/>
              <w:rPr>
                <w:szCs w:val="24"/>
              </w:rPr>
            </w:pPr>
            <w:r w:rsidRPr="00FF030A">
              <w:rPr>
                <w:rFonts w:eastAsia="Times New Roman"/>
                <w:szCs w:val="24"/>
                <w:highlight w:val="yellow"/>
              </w:rPr>
              <w:t>10.75</w:t>
            </w:r>
            <w:r w:rsidRPr="00FF030A">
              <w:rPr>
                <w:rFonts w:eastAsia="Times New Roman"/>
                <w:szCs w:val="24"/>
                <w:highlight w:val="yellow"/>
              </w:rPr>
              <w:br/>
              <w:t>(6.32)</w:t>
            </w:r>
          </w:p>
        </w:tc>
        <w:tc>
          <w:tcPr>
            <w:tcW w:w="1034" w:type="dxa"/>
            <w:tcMar>
              <w:top w:w="35" w:type="dxa"/>
              <w:left w:w="35" w:type="dxa"/>
              <w:bottom w:w="35" w:type="dxa"/>
              <w:right w:w="35" w:type="dxa"/>
            </w:tcMar>
            <w:vAlign w:val="center"/>
          </w:tcPr>
          <w:p w14:paraId="797A0454" w14:textId="77777777" w:rsidR="00D8178A" w:rsidRPr="00FF030A" w:rsidRDefault="00000000">
            <w:pPr>
              <w:spacing w:line="240" w:lineRule="auto"/>
              <w:jc w:val="center"/>
              <w:rPr>
                <w:szCs w:val="24"/>
              </w:rPr>
            </w:pPr>
            <w:r w:rsidRPr="00FF030A">
              <w:rPr>
                <w:rFonts w:eastAsia="Times New Roman"/>
                <w:szCs w:val="24"/>
                <w:highlight w:val="yellow"/>
              </w:rPr>
              <w:t>10.12</w:t>
            </w:r>
            <w:r w:rsidRPr="00FF030A">
              <w:rPr>
                <w:rFonts w:eastAsia="Times New Roman"/>
                <w:szCs w:val="24"/>
                <w:highlight w:val="yellow"/>
              </w:rPr>
              <w:br/>
              <w:t>(3.56)</w:t>
            </w:r>
          </w:p>
        </w:tc>
        <w:tc>
          <w:tcPr>
            <w:tcW w:w="1034" w:type="dxa"/>
            <w:tcMar>
              <w:top w:w="35" w:type="dxa"/>
              <w:left w:w="35" w:type="dxa"/>
              <w:bottom w:w="35" w:type="dxa"/>
              <w:right w:w="35" w:type="dxa"/>
            </w:tcMar>
            <w:vAlign w:val="center"/>
          </w:tcPr>
          <w:p w14:paraId="590500C1" w14:textId="77777777" w:rsidR="00D8178A" w:rsidRPr="00FF030A" w:rsidRDefault="00000000">
            <w:pPr>
              <w:spacing w:line="240" w:lineRule="auto"/>
              <w:jc w:val="center"/>
              <w:rPr>
                <w:szCs w:val="24"/>
              </w:rPr>
            </w:pPr>
            <w:r w:rsidRPr="00FF030A">
              <w:rPr>
                <w:rFonts w:eastAsia="Times New Roman"/>
                <w:szCs w:val="24"/>
                <w:highlight w:val="yellow"/>
              </w:rPr>
              <w:t>11.36</w:t>
            </w:r>
            <w:r w:rsidRPr="00FF030A">
              <w:rPr>
                <w:rFonts w:eastAsia="Times New Roman"/>
                <w:szCs w:val="24"/>
                <w:highlight w:val="yellow"/>
              </w:rPr>
              <w:br/>
              <w:t>(4.74)</w:t>
            </w:r>
          </w:p>
        </w:tc>
        <w:tc>
          <w:tcPr>
            <w:tcW w:w="1034" w:type="dxa"/>
            <w:tcMar>
              <w:top w:w="35" w:type="dxa"/>
              <w:left w:w="35" w:type="dxa"/>
              <w:bottom w:w="35" w:type="dxa"/>
              <w:right w:w="35" w:type="dxa"/>
            </w:tcMar>
            <w:vAlign w:val="center"/>
          </w:tcPr>
          <w:p w14:paraId="2FFACECC" w14:textId="77777777" w:rsidR="00D8178A" w:rsidRPr="00FF030A" w:rsidRDefault="00000000">
            <w:pPr>
              <w:spacing w:line="240" w:lineRule="auto"/>
              <w:jc w:val="center"/>
              <w:rPr>
                <w:szCs w:val="24"/>
              </w:rPr>
            </w:pPr>
            <w:r w:rsidRPr="00FF030A">
              <w:rPr>
                <w:rFonts w:eastAsia="Times New Roman"/>
                <w:szCs w:val="24"/>
                <w:highlight w:val="yellow"/>
              </w:rPr>
              <w:t>10.59</w:t>
            </w:r>
            <w:r w:rsidRPr="00FF030A">
              <w:rPr>
                <w:rFonts w:eastAsia="Times New Roman"/>
                <w:szCs w:val="24"/>
                <w:highlight w:val="yellow"/>
              </w:rPr>
              <w:br/>
              <w:t>(5.10)</w:t>
            </w:r>
          </w:p>
        </w:tc>
        <w:tc>
          <w:tcPr>
            <w:tcW w:w="1034" w:type="dxa"/>
            <w:tcMar>
              <w:top w:w="35" w:type="dxa"/>
              <w:left w:w="35" w:type="dxa"/>
              <w:bottom w:w="35" w:type="dxa"/>
              <w:right w:w="35" w:type="dxa"/>
            </w:tcMar>
            <w:vAlign w:val="center"/>
          </w:tcPr>
          <w:p w14:paraId="43DC240D" w14:textId="77777777" w:rsidR="00D8178A" w:rsidRPr="00FF030A" w:rsidRDefault="00000000">
            <w:pPr>
              <w:spacing w:line="240" w:lineRule="auto"/>
              <w:jc w:val="center"/>
              <w:rPr>
                <w:szCs w:val="24"/>
              </w:rPr>
            </w:pPr>
            <w:r w:rsidRPr="00FF030A">
              <w:rPr>
                <w:rFonts w:eastAsia="Times New Roman"/>
                <w:szCs w:val="24"/>
                <w:highlight w:val="yellow"/>
              </w:rPr>
              <w:t>10.72</w:t>
            </w:r>
            <w:r w:rsidRPr="00FF030A">
              <w:rPr>
                <w:rFonts w:eastAsia="Times New Roman"/>
                <w:szCs w:val="24"/>
                <w:highlight w:val="yellow"/>
              </w:rPr>
              <w:br/>
              <w:t>(4.53)</w:t>
            </w:r>
          </w:p>
        </w:tc>
      </w:tr>
    </w:tbl>
    <w:p w14:paraId="4E02B14B" w14:textId="77777777" w:rsidR="00D8178A" w:rsidRDefault="00000000" w:rsidP="0027039D">
      <w:pPr>
        <w:spacing w:before="80"/>
        <w:jc w:val="both"/>
      </w:pPr>
      <w:r>
        <w:rPr>
          <w:highlight w:val="yellow"/>
        </w:rPr>
        <w:t>Values are mean (SD). Two dietary records were averaged per participant per week. Cookie inclusion in intake totals was not documented. Week 7 random glucose was not recorded. Repeated weekly measurements are not independent participants.</w:t>
      </w:r>
    </w:p>
    <w:p w14:paraId="58585C97" w14:textId="77777777" w:rsidR="00D8178A" w:rsidRDefault="00D8178A">
      <w:pPr>
        <w:sectPr w:rsidR="00D8178A" w:rsidSect="0027039D">
          <w:pgSz w:w="11906" w:h="16838"/>
          <w:pgMar w:top="1440" w:right="1440" w:bottom="1440" w:left="1440" w:header="720" w:footer="720" w:gutter="0"/>
          <w:lnNumType w:countBy="1" w:distance="240" w:restart="continuous"/>
          <w:cols w:space="720"/>
          <w:docGrid w:linePitch="360"/>
        </w:sectPr>
      </w:pPr>
    </w:p>
    <w:p w14:paraId="50E4FE99" w14:textId="77777777" w:rsidR="00D8178A" w:rsidRDefault="00000000">
      <w:pPr>
        <w:keepNext/>
        <w:spacing w:line="240" w:lineRule="auto"/>
        <w:jc w:val="center"/>
      </w:pPr>
      <w:r>
        <w:rPr>
          <w:noProof/>
        </w:rPr>
        <w:lastRenderedPageBreak/>
        <w:drawing>
          <wp:inline distT="0" distB="0" distL="0" distR="0" wp14:anchorId="11199EF4" wp14:editId="1EF3A0E7">
            <wp:extent cx="5623560" cy="3706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623560" cy="3706880"/>
                    </a:xfrm>
                    <a:prstGeom prst="rect">
                      <a:avLst/>
                    </a:prstGeom>
                  </pic:spPr>
                </pic:pic>
              </a:graphicData>
            </a:graphic>
          </wp:inline>
        </w:drawing>
      </w:r>
    </w:p>
    <w:p w14:paraId="7C080314" w14:textId="77777777" w:rsidR="00D8178A" w:rsidRDefault="00000000" w:rsidP="0027039D">
      <w:pPr>
        <w:jc w:val="both"/>
      </w:pPr>
      <w:r>
        <w:rPr>
          <w:highlight w:val="yellow"/>
        </w:rPr>
        <w:t>Figure 1. Original intervention schematic for the 38 participants with paired glycemic measurements. All categories received cookies and dietary guidance; none was a control group. The original diagram includes HOMA-Beta as an intended assessment, but its numerical results were withdrawn after the calculation error was identified.</w:t>
      </w:r>
    </w:p>
    <w:p w14:paraId="5A6B0BC0" w14:textId="77777777" w:rsidR="00D8178A" w:rsidRDefault="00000000">
      <w:pPr>
        <w:spacing w:line="20" w:lineRule="exact"/>
      </w:pPr>
      <w:r>
        <w:rPr>
          <w:sz w:val="2"/>
        </w:rPr>
        <w:br w:type="page"/>
      </w:r>
    </w:p>
    <w:p w14:paraId="57AEBDC2" w14:textId="77777777" w:rsidR="00D8178A" w:rsidRDefault="00000000">
      <w:pPr>
        <w:keepNext/>
        <w:spacing w:line="240" w:lineRule="auto"/>
        <w:jc w:val="center"/>
      </w:pPr>
      <w:r>
        <w:rPr>
          <w:noProof/>
        </w:rPr>
        <w:lastRenderedPageBreak/>
        <w:drawing>
          <wp:inline distT="0" distB="0" distL="0" distR="0" wp14:anchorId="0370827B" wp14:editId="0E4A63E1">
            <wp:extent cx="5623560" cy="2798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623560" cy="2798661"/>
                    </a:xfrm>
                    <a:prstGeom prst="rect">
                      <a:avLst/>
                    </a:prstGeom>
                  </pic:spPr>
                </pic:pic>
              </a:graphicData>
            </a:graphic>
          </wp:inline>
        </w:drawing>
      </w:r>
    </w:p>
    <w:p w14:paraId="65B2A2BA" w14:textId="77777777" w:rsidR="00D8178A" w:rsidRDefault="00000000" w:rsidP="0027039D">
      <w:pPr>
        <w:jc w:val="both"/>
      </w:pPr>
      <w:r>
        <w:rPr>
          <w:highlight w:val="yellow"/>
        </w:rPr>
        <w:t>Figure 2. Original participant flow: 75 screened, 47 enrolled, and 38 with paired measurements. Categories are recorded participant labels, not randomized treatment assignments. Missing post-intervention counts are five, two, and two in the healthy, prediabetes, and diabetes categories, respectively.</w:t>
      </w:r>
    </w:p>
    <w:sectPr w:rsidR="00D8178A" w:rsidSect="00034616">
      <w:pgSz w:w="11906" w:h="16838"/>
      <w:pgMar w:top="1440" w:right="1440" w:bottom="1440" w:left="1440" w:header="720" w:footer="720" w:gutter="0"/>
      <w:lnNumType w:countBy="1" w:distance="24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B4CBF" w14:textId="77777777" w:rsidR="0081393E" w:rsidRDefault="0081393E">
      <w:pPr>
        <w:spacing w:line="240" w:lineRule="auto"/>
      </w:pPr>
      <w:r>
        <w:separator/>
      </w:r>
    </w:p>
  </w:endnote>
  <w:endnote w:type="continuationSeparator" w:id="0">
    <w:p w14:paraId="4F7F830A" w14:textId="77777777" w:rsidR="0081393E" w:rsidRDefault="008139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582D" w14:textId="77777777" w:rsidR="00D8178A" w:rsidRDefault="00000000">
    <w:pPr>
      <w:pStyle w:val="Footer"/>
      <w:jc w:val="center"/>
    </w:pPr>
    <w:r>
      <w:fldChar w:fldCharType="begin"/>
    </w:r>
    <w:r>
      <w:instrText>PAGE</w:instrText>
    </w:r>
    <w:r>
      <w:fldChar w:fldCharType="separate"/>
    </w:r>
    <w:r w:rsidR="004572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5DC1" w14:textId="77777777" w:rsidR="0081393E" w:rsidRDefault="0081393E">
      <w:pPr>
        <w:spacing w:line="240" w:lineRule="auto"/>
      </w:pPr>
      <w:r>
        <w:separator/>
      </w:r>
    </w:p>
  </w:footnote>
  <w:footnote w:type="continuationSeparator" w:id="0">
    <w:p w14:paraId="7025B2D2" w14:textId="77777777" w:rsidR="0081393E" w:rsidRDefault="008139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468452">
    <w:abstractNumId w:val="8"/>
  </w:num>
  <w:num w:numId="2" w16cid:durableId="1646162408">
    <w:abstractNumId w:val="6"/>
  </w:num>
  <w:num w:numId="3" w16cid:durableId="208490836">
    <w:abstractNumId w:val="5"/>
  </w:num>
  <w:num w:numId="4" w16cid:durableId="1631663729">
    <w:abstractNumId w:val="4"/>
  </w:num>
  <w:num w:numId="5" w16cid:durableId="995105325">
    <w:abstractNumId w:val="7"/>
  </w:num>
  <w:num w:numId="6" w16cid:durableId="85229530">
    <w:abstractNumId w:val="3"/>
  </w:num>
  <w:num w:numId="7" w16cid:durableId="459373607">
    <w:abstractNumId w:val="2"/>
  </w:num>
  <w:num w:numId="8" w16cid:durableId="1913612483">
    <w:abstractNumId w:val="1"/>
  </w:num>
  <w:num w:numId="9" w16cid:durableId="1972443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39D"/>
    <w:rsid w:val="0029639D"/>
    <w:rsid w:val="00326F90"/>
    <w:rsid w:val="004572A3"/>
    <w:rsid w:val="00795668"/>
    <w:rsid w:val="007D3ACF"/>
    <w:rsid w:val="0081393E"/>
    <w:rsid w:val="00AA1D8D"/>
    <w:rsid w:val="00B47730"/>
    <w:rsid w:val="00CA47AF"/>
    <w:rsid w:val="00CB0664"/>
    <w:rsid w:val="00D8178A"/>
    <w:rsid w:val="00FC693F"/>
    <w:rsid w:val="00FF03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B4BA7"/>
  <w14:defaultImageDpi w14:val="300"/>
  <w15:docId w15:val="{0F6FEA3D-BB70-4486-A26A-FDECE9539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457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4840</Words>
  <Characters>27588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4</cp:revision>
  <dcterms:created xsi:type="dcterms:W3CDTF">2013-12-23T23:15:00Z</dcterms:created>
  <dcterms:modified xsi:type="dcterms:W3CDTF">2026-10-23T08:32:00Z</dcterms:modified>
  <cp:category/>
</cp:coreProperties>
</file>