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36BF" w14:textId="77777777" w:rsidR="002B73D6" w:rsidRDefault="00000000" w:rsidP="00590832">
      <w:pPr>
        <w:jc w:val="both"/>
      </w:pPr>
      <w:r>
        <w:t>Dear Editor-in-Chief,</w:t>
      </w:r>
    </w:p>
    <w:p w14:paraId="7FC30BC2" w14:textId="77777777" w:rsidR="002B73D6" w:rsidRDefault="00000000" w:rsidP="00590832">
      <w:pPr>
        <w:jc w:val="both"/>
      </w:pPr>
      <w:r>
        <w:t>Translational Research in Urology</w:t>
      </w:r>
    </w:p>
    <w:p w14:paraId="78A71187" w14:textId="77777777" w:rsidR="002B73D6" w:rsidRDefault="00000000" w:rsidP="00590832">
      <w:pPr>
        <w:jc w:val="both"/>
      </w:pPr>
      <w:r>
        <w:t>Re: Revised manuscript TRU-2609-1388</w:t>
      </w:r>
    </w:p>
    <w:p w14:paraId="3C585238" w14:textId="77777777" w:rsidR="002B73D6" w:rsidRDefault="00000000" w:rsidP="00590832">
      <w:pPr>
        <w:jc w:val="both"/>
      </w:pPr>
      <w:r>
        <w:t>Iatrogenic Glans Penis Injury During Circumcision: Clinical Spectrum, Mechanisms, and Medicolegal Implications—A Systematic Review</w:t>
      </w:r>
    </w:p>
    <w:p w14:paraId="2356F0A8" w14:textId="77777777" w:rsidR="002B73D6" w:rsidRDefault="00000000" w:rsidP="00590832">
      <w:pPr>
        <w:jc w:val="both"/>
      </w:pPr>
      <w:r>
        <w:t>Dear Editor,</w:t>
      </w:r>
    </w:p>
    <w:p w14:paraId="595B2D5A" w14:textId="77777777" w:rsidR="002B73D6" w:rsidRDefault="00000000" w:rsidP="00590832">
      <w:pPr>
        <w:jc w:val="both"/>
      </w:pPr>
      <w:r>
        <w:t>Thank you for the opportunity to revise our manuscript. We appreciate the detailed comments from the three reviewers. We have revised the paper carefully and tried to keep the responses clear and direct.</w:t>
      </w:r>
    </w:p>
    <w:p w14:paraId="19E7CB1C" w14:textId="77777777" w:rsidR="002B73D6" w:rsidRDefault="00000000" w:rsidP="00590832">
      <w:pPr>
        <w:jc w:val="both"/>
      </w:pPr>
      <w:r>
        <w:t>The main changes include: separating Results and Discussion; clarifying the 20 clinical studies and seven additional medicolegal publications; correcting the Ceylan et al. case count and reporting a clinical total of 88 eligible patients/cases; making the Tasci et al. study design consistent; adding descriptive and JBI domain-level summary tables; expanding the medicolegal findings; strengthening the limitations and practical conclusion; and completing a full language edit.</w:t>
      </w:r>
    </w:p>
    <w:p w14:paraId="6C67BCD9" w14:textId="77777777" w:rsidR="002B73D6" w:rsidRDefault="00000000" w:rsidP="00590832">
      <w:pPr>
        <w:jc w:val="both"/>
      </w:pPr>
      <w:r>
        <w:rPr>
          <w:rFonts w:eastAsia="Times New Roman" w:cs="Times New Roman"/>
          <w:sz w:val="20"/>
        </w:rPr>
        <w:t>We also rechecked the original PRISMA record. Mendeley was the verifiable reference-management environment, but the review log did not document a separate automated screening classifier for the 80 records removed before formal screening. We therefore corrected the PRISMA category from “automation tools” to “records removed for other reasons,” without changing any numerical study-selection counts.</w:t>
      </w:r>
    </w:p>
    <w:p w14:paraId="62C4BC34" w14:textId="77777777" w:rsidR="002B73D6" w:rsidRDefault="00000000" w:rsidP="00590832">
      <w:pPr>
        <w:jc w:val="both"/>
      </w:pPr>
      <w:r>
        <w:t>A clean revised manuscript, a highlighted manuscript, and a point-by-point response are provided. We hope the revised version addresses the reviewers’ concerns and is suitable for further consideration.</w:t>
      </w:r>
    </w:p>
    <w:p w14:paraId="3074FBF8" w14:textId="77777777" w:rsidR="002B73D6" w:rsidRDefault="00000000">
      <w:r>
        <w:t>Sincerely,</w:t>
      </w:r>
    </w:p>
    <w:p w14:paraId="12F33436" w14:textId="7965B44B" w:rsidR="002B73D6" w:rsidRDefault="00000000">
      <w:r>
        <w:t>Abdul Hakim Nitiprodjo</w:t>
      </w:r>
      <w:r>
        <w:br/>
        <w:t>Corresponding Author</w:t>
      </w:r>
      <w:r>
        <w:br/>
        <w:t>Faculty of Medicine, Universitas Muhammadiyah Purwokerto</w:t>
      </w:r>
      <w:r>
        <w:br/>
        <w:t>Purwokerto, Indonesia</w:t>
      </w:r>
      <w:r>
        <w:br/>
        <w:t xml:space="preserve">Email: </w:t>
      </w:r>
      <w:hyperlink r:id="rId6" w:history="1">
        <w:r w:rsidR="00590832" w:rsidRPr="000C651D">
          <w:rPr>
            <w:rStyle w:val="Hyperlink"/>
          </w:rPr>
          <w:t>hakims4n6@gmail.com</w:t>
        </w:r>
      </w:hyperlink>
      <w:r w:rsidR="00590832">
        <w:t xml:space="preserve"> </w:t>
      </w:r>
    </w:p>
    <w:sectPr w:rsidR="002B73D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036129">
    <w:abstractNumId w:val="8"/>
  </w:num>
  <w:num w:numId="2" w16cid:durableId="2120442601">
    <w:abstractNumId w:val="6"/>
  </w:num>
  <w:num w:numId="3" w16cid:durableId="1869102500">
    <w:abstractNumId w:val="5"/>
  </w:num>
  <w:num w:numId="4" w16cid:durableId="1783112212">
    <w:abstractNumId w:val="4"/>
  </w:num>
  <w:num w:numId="5" w16cid:durableId="767119817">
    <w:abstractNumId w:val="7"/>
  </w:num>
  <w:num w:numId="6" w16cid:durableId="880632071">
    <w:abstractNumId w:val="3"/>
  </w:num>
  <w:num w:numId="7" w16cid:durableId="1054084832">
    <w:abstractNumId w:val="2"/>
  </w:num>
  <w:num w:numId="8" w16cid:durableId="1137146159">
    <w:abstractNumId w:val="1"/>
  </w:num>
  <w:num w:numId="9" w16cid:durableId="552734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3D6"/>
    <w:rsid w:val="00326F90"/>
    <w:rsid w:val="00590832"/>
    <w:rsid w:val="008031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D5A18"/>
  <w14:defaultImageDpi w14:val="300"/>
  <w15:docId w15:val="{38848739-2AA9-4DA0-B727-C6FC819D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0832"/>
    <w:rPr>
      <w:color w:val="0000FF" w:themeColor="hyperlink"/>
      <w:u w:val="single"/>
    </w:rPr>
  </w:style>
  <w:style w:type="character" w:styleId="UnresolvedMention">
    <w:name w:val="Unresolved Mention"/>
    <w:basedOn w:val="DefaultParagraphFont"/>
    <w:uiPriority w:val="99"/>
    <w:semiHidden/>
    <w:unhideWhenUsed/>
    <w:rsid w:val="00590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kims4n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PT. ANOA SEJAHTERA MANDIRI 06</cp:lastModifiedBy>
  <cp:revision>2</cp:revision>
  <dcterms:created xsi:type="dcterms:W3CDTF">2013-12-23T23:15:00Z</dcterms:created>
  <dcterms:modified xsi:type="dcterms:W3CDTF">2026-10-17T09:15:00Z</dcterms:modified>
  <cp:category/>
</cp:coreProperties>
</file>