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83805" w14:textId="77777777" w:rsidR="00AA7612" w:rsidRPr="00FC6A35" w:rsidRDefault="00000000">
      <w:pPr>
        <w:pStyle w:val="Title"/>
        <w:jc w:val="center"/>
        <w:rPr>
          <w:rFonts w:ascii="Times New Roman" w:hAnsi="Times New Roman" w:cs="Times New Roman"/>
          <w:color w:val="000000" w:themeColor="text1"/>
        </w:rPr>
      </w:pPr>
      <w:r w:rsidRPr="00FC6A35">
        <w:rPr>
          <w:rFonts w:ascii="Times New Roman" w:hAnsi="Times New Roman" w:cs="Times New Roman"/>
          <w:color w:val="000000" w:themeColor="text1"/>
        </w:rPr>
        <w:t>RESPONSE TO REVIEWERS</w:t>
      </w:r>
    </w:p>
    <w:p w14:paraId="09DA0238" w14:textId="77777777" w:rsidR="00AA7612" w:rsidRPr="00FC6A35" w:rsidRDefault="00000000">
      <w:pPr>
        <w:jc w:val="center"/>
        <w:rPr>
          <w:rFonts w:cs="Times New Roman"/>
          <w:color w:val="000000" w:themeColor="text1"/>
        </w:rPr>
      </w:pPr>
      <w:r w:rsidRPr="00FC6A35">
        <w:rPr>
          <w:rFonts w:cs="Times New Roman"/>
          <w:color w:val="000000" w:themeColor="text1"/>
        </w:rPr>
        <w:t>Manuscript ID: TRU-2609-1388</w:t>
      </w:r>
      <w:r w:rsidRPr="00FC6A35">
        <w:rPr>
          <w:rFonts w:cs="Times New Roman"/>
          <w:color w:val="000000" w:themeColor="text1"/>
        </w:rPr>
        <w:br/>
        <w:t>Iatrogenic Glans Penis Injury During Circumcision: Clinical Spectrum, Mechanisms, and Medicolegal Implications—A Systematic Review</w:t>
      </w:r>
    </w:p>
    <w:p w14:paraId="0B93DA97" w14:textId="77777777" w:rsidR="00AA7612" w:rsidRPr="00FC6A35" w:rsidRDefault="00000000" w:rsidP="00FC6A35">
      <w:pPr>
        <w:jc w:val="both"/>
        <w:rPr>
          <w:rFonts w:cs="Times New Roman"/>
          <w:color w:val="000000" w:themeColor="text1"/>
        </w:rPr>
      </w:pPr>
      <w:r w:rsidRPr="00FC6A35">
        <w:rPr>
          <w:rFonts w:cs="Times New Roman"/>
          <w:color w:val="000000" w:themeColor="text1"/>
        </w:rPr>
        <w:t>Dear Editor and Reviewers,</w:t>
      </w:r>
    </w:p>
    <w:p w14:paraId="423587D4" w14:textId="77777777" w:rsidR="00AA7612" w:rsidRPr="00FC6A35" w:rsidRDefault="00000000" w:rsidP="00FC6A35">
      <w:pPr>
        <w:jc w:val="both"/>
        <w:rPr>
          <w:rFonts w:cs="Times New Roman"/>
          <w:color w:val="000000" w:themeColor="text1"/>
        </w:rPr>
      </w:pPr>
      <w:r w:rsidRPr="00FC6A35">
        <w:rPr>
          <w:rFonts w:cs="Times New Roman"/>
          <w:color w:val="000000" w:themeColor="text1"/>
        </w:rPr>
        <w:t>Thank you for the careful comments. We revised the manuscript point by point. We also rechecked the original review file so that the revised version does not add methodological details that cannot be verified. Where the original documentation was incomplete, we corrected the reporting and stated the limitation clearly. A clean manuscript and a highlighted copy are submitted with this response.</w:t>
      </w:r>
    </w:p>
    <w:p w14:paraId="1AA8B9F8" w14:textId="77777777" w:rsidR="00AA7612" w:rsidRPr="00FC6A35" w:rsidRDefault="00000000" w:rsidP="00FC6A35">
      <w:pPr>
        <w:pStyle w:val="Heading1"/>
        <w:jc w:val="both"/>
        <w:rPr>
          <w:rFonts w:ascii="Times New Roman" w:hAnsi="Times New Roman" w:cs="Times New Roman"/>
          <w:color w:val="000000" w:themeColor="text1"/>
        </w:rPr>
      </w:pPr>
      <w:r w:rsidRPr="00FC6A35">
        <w:rPr>
          <w:rFonts w:ascii="Times New Roman" w:hAnsi="Times New Roman" w:cs="Times New Roman"/>
          <w:color w:val="000000" w:themeColor="text1"/>
        </w:rPr>
        <w:t>Reviewer 1</w:t>
      </w:r>
    </w:p>
    <w:p w14:paraId="55F30C6D" w14:textId="77777777" w:rsidR="00AA7612" w:rsidRPr="00FC6A35" w:rsidRDefault="00000000" w:rsidP="00FC6A35">
      <w:pPr>
        <w:jc w:val="both"/>
        <w:rPr>
          <w:rFonts w:cs="Times New Roman"/>
          <w:color w:val="000000" w:themeColor="text1"/>
        </w:rPr>
      </w:pPr>
      <w:r w:rsidRPr="00FC6A35">
        <w:rPr>
          <w:rFonts w:cs="Times New Roman"/>
          <w:color w:val="000000" w:themeColor="text1"/>
        </w:rPr>
        <w:t>We appreciate the reviewer’s detailed methodological assessment. The comments helped us improve the transparency of the search and selection process, separate the clinical and medicolegal evidence more clearly, and make the paper easier to read.</w:t>
      </w:r>
    </w:p>
    <w:p w14:paraId="68308750"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1. Database selection and search comprehensiveness</w:t>
      </w:r>
    </w:p>
    <w:p w14:paraId="28C40079"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search was run across PubMed, ScienceDirect, Cochrane Library, Wiley Online Library, ProQuest, and JSTOR. For a clinical/surgical systematic review, the omission of Embase, Scopus, and Web of Science is a significant limitation... Please justify this database selection or expand the search to include at least Embase and Scopus, then re-run study selection and update the PRISMA flow diagram accordingly.</w:t>
      </w:r>
    </w:p>
    <w:p w14:paraId="0252F7D4"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Thank you. We agree that Embase, Scopus, and Web of Science would have increased biomedical search coverage. We did not add a new post hoc search during revision because doing so would create a second search time point and require the entire screening workflow to be repeated. Instead, we clarified the rationale for the original source set. PubMed and the Cochrane Library were used for biomedical literature, ScienceDirect and Wiley Online Library broadened publisher-based retrieval, and ProQuest and JSTOR were included because the review also had a medicolegal evidence stream. We have reduced any implication that the search was exhaustive and now state the absence of Embase, Scopus, and Web of Science as a limitation that may have reduced sensitivity.</w:t>
      </w:r>
    </w:p>
    <w:p w14:paraId="43FA39A3"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Methods – Data Sources and Search Strategy; Table 1; Discussion – Limitations.</w:t>
      </w:r>
    </w:p>
    <w:p w14:paraId="7181EFD7"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2. Inconsistent counts between text and Table 3</w:t>
      </w:r>
    </w:p>
    <w:p w14:paraId="20DB02D8"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Eligibility Criteria section states that seven publications were retained for medicolegal synthesis, but Table 3 lists eight studies. Tasci et al. also appears in both the clinical and medicolegal evidence tables. Please reconcile this discrepancy.</w:t>
      </w:r>
    </w:p>
    <w:p w14:paraId="0D08D623"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Thank you. We have made the overlap explicit. The review contains 27 unique studies. Twenty studies contributed to the clinical synthesis. Seven additional publications contributed medicolegal evidence (Li, Nurhayani, Hakim, Latifah, Pane, Sahari, and Wulandari). Tasci et al. contributed to both streams but was counted only once among the 27 unique studies. This is now stated in Methods, Results, and a note below Table 3. We also added the missing Latifah reference to the Vancouver reference list.</w:t>
      </w:r>
    </w:p>
    <w:p w14:paraId="270BC300"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Methods – Eligibility Criteria; Results; Table 3 and its note; References.</w:t>
      </w:r>
    </w:p>
    <w:p w14:paraId="09449904"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lastRenderedPageBreak/>
        <w:t>3. Study design labeling inconsistency</w:t>
      </w:r>
    </w:p>
    <w:p w14:paraId="27AEE2E8"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text refers to one retrospective study, while Table 2 classifies the studies as case reports or case series. Please clarify the tool applied to the retrospective study, or reclassify Tasci et al. consistently.</w:t>
      </w:r>
    </w:p>
    <w:p w14:paraId="7B439773"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We agree. Tasci et al. is now described consistently as a retrospective case series in the clinical synthesis and was assessed with the JBI Case Series checklist. The same publication also contains forensic/medicolegal information, which is why it remains in the medicolegal stream.</w:t>
      </w:r>
    </w:p>
    <w:p w14:paraId="6B160751"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Methods – Quality Assessment; Table 2; Study Characteristics; Table 3.</w:t>
      </w:r>
    </w:p>
    <w:p w14:paraId="4723A809"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4. Automation-assisted exclusion needs methodological detail</w:t>
      </w:r>
    </w:p>
    <w:p w14:paraId="3DF2339E"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manuscript reports that 80 records were marked as ineligible by an unspecified automation tool. PRISMA 2020 requires transparent reporting of any automation tool used. Please name the tool, describe the exclusion logic, and report whether automated exclusions were manually verified.</w:t>
      </w:r>
    </w:p>
    <w:p w14:paraId="0FB2FFC8" w14:textId="77777777" w:rsidR="00AA7612" w:rsidRPr="00FC6A35" w:rsidRDefault="00000000" w:rsidP="00FC6A35">
      <w:pPr>
        <w:jc w:val="both"/>
        <w:rPr>
          <w:rFonts w:cs="Times New Roman"/>
          <w:color w:val="000000" w:themeColor="text1"/>
        </w:rPr>
      </w:pPr>
      <w:r w:rsidRPr="00FC6A35">
        <w:rPr>
          <w:rFonts w:eastAsia="Times New Roman" w:cs="Times New Roman"/>
          <w:color w:val="000000" w:themeColor="text1"/>
          <w:sz w:val="20"/>
        </w:rPr>
        <w:t>Response: Thank you for pointing this out. We rechecked the original review files. Mendeley was the verifiable reference-management environment, and duplicate records were removed before screening. However, the review log did not document a separate automated screening classifier for the 80 records shown before formal screening. The original PRISMA wording therefore overstated the available documentation. We corrected that box to “records removed for other reasons (n = 80)” and describe the step as preliminary record filtering. The detailed rule for those 80 records was not retained in the review log and is now acknowledged as a limitation. All numerical study-selection counts remain unchanged: 417 records were identified, 48 duplicates and 80 other pre-screening records were removed, 289 records were screened, 58 full texts were assessed, and 27 studies were included.</w:t>
      </w:r>
    </w:p>
    <w:p w14:paraId="610B44CA" w14:textId="77777777" w:rsidR="00AA7612" w:rsidRPr="00FC6A35" w:rsidRDefault="00000000" w:rsidP="00FC6A35">
      <w:pPr>
        <w:jc w:val="both"/>
        <w:rPr>
          <w:rFonts w:cs="Times New Roman"/>
          <w:color w:val="000000" w:themeColor="text1"/>
        </w:rPr>
      </w:pPr>
      <w:r w:rsidRPr="00FC6A35">
        <w:rPr>
          <w:rFonts w:cs="Times New Roman"/>
          <w:color w:val="000000" w:themeColor="text1"/>
        </w:rPr>
        <w:t>Change in manuscript: Methods – Study Selection; Figure 1 (PRISMA 2020 flow diagram); Results; Discussion – Limitations.</w:t>
      </w:r>
    </w:p>
    <w:p w14:paraId="085AEEE0"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5. Redundancy between Results and Discussion</w:t>
      </w:r>
    </w:p>
    <w:p w14:paraId="238AB3A9"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combined RESULTS AND DISCUSSION section largely repeats the same findings. Please tighten the Discussion to focus on interpretation, comparison with prior reviews, and clinical/legal implications.</w:t>
      </w:r>
    </w:p>
    <w:p w14:paraId="1B1B1B49"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Thank you. Results and Discussion are now separate sections. The Results report what was found, while the Discussion focuses on interpretation, comparison with earlier circumcision-complication literature, prevention, medicolegal meaning, and limitations. Repeated case descriptions were removed.</w:t>
      </w:r>
    </w:p>
    <w:p w14:paraId="79F27E88"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Results and Discussion sections throughout.</w:t>
      </w:r>
    </w:p>
    <w:p w14:paraId="66ED1E64"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6. Missing quantitative descriptive synthesis</w:t>
      </w:r>
    </w:p>
    <w:p w14:paraId="31B3CD41"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authors have sufficiently structured data to support basic descriptive statistics. Adding a simple summary table or figure with frequencies would strengthen the presentation.</w:t>
      </w:r>
    </w:p>
    <w:p w14:paraId="59D5F1CE"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We added a descriptive summary table. The 20 clinical studies represented 88 eligible patients/cases based on the extractable study-level counts. The table also summarizes study design, age group, primary injury focus, reported setting, and geographic region. Percentages are labeled as study-level summaries so that they are not interpreted as patient-level incidence estimates.</w:t>
      </w:r>
    </w:p>
    <w:p w14:paraId="7FAA58B4"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Results – Study Characteristics; Table 5.</w:t>
      </w:r>
    </w:p>
    <w:p w14:paraId="4519EEAC"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7. No prospective registration</w:t>
      </w:r>
    </w:p>
    <w:p w14:paraId="0EE60AF0"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absence of PROSPERO or equivalent registration should be acknowledged and justified in the Limitations paragraph, not only in the Declarations section.</w:t>
      </w:r>
    </w:p>
    <w:p w14:paraId="2A3E537C" w14:textId="77777777" w:rsidR="00AA7612" w:rsidRPr="00FC6A35" w:rsidRDefault="00000000" w:rsidP="00FC6A35">
      <w:pPr>
        <w:jc w:val="both"/>
        <w:rPr>
          <w:rFonts w:cs="Times New Roman"/>
          <w:color w:val="000000" w:themeColor="text1"/>
        </w:rPr>
      </w:pPr>
      <w:r w:rsidRPr="00FC6A35">
        <w:rPr>
          <w:rFonts w:cs="Times New Roman"/>
          <w:b/>
          <w:color w:val="000000" w:themeColor="text1"/>
        </w:rPr>
        <w:lastRenderedPageBreak/>
        <w:t xml:space="preserve">Response: </w:t>
      </w:r>
      <w:r w:rsidRPr="00FC6A35">
        <w:rPr>
          <w:rFonts w:cs="Times New Roman"/>
          <w:color w:val="000000" w:themeColor="text1"/>
        </w:rPr>
        <w:t>Agreed. The review was not prospectively registered. This is now stated in the Limitations as a methodological weakness because protocol non-registration may increase the possibility of selective methodological decisions.</w:t>
      </w:r>
    </w:p>
    <w:p w14:paraId="34157BA9"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Discussion – Limitations; Declarations.</w:t>
      </w:r>
    </w:p>
    <w:p w14:paraId="3735E467"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8. Quality appraisal narrative lacks granularity</w:t>
      </w:r>
    </w:p>
    <w:p w14:paraId="29880D60"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quality narrative does not specify which JBI checklist domains were most frequently unmet. Consider adding a summary table with number/proportion meeting each domain.</w:t>
      </w:r>
    </w:p>
    <w:p w14:paraId="6375DA10"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Thank you. We added a domain-level JBI summary table with n/N (%) for each checklist domain in the case-report and case-series groups. The narrative now identifies the domains with the most frequent concerns and is presented alongside the existing traffic-light plots.</w:t>
      </w:r>
    </w:p>
    <w:p w14:paraId="3B3B8EE0"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Quality Assessment Results; Figures 2–3; Table 4.</w:t>
      </w:r>
    </w:p>
    <w:p w14:paraId="76E4F2E6" w14:textId="77777777" w:rsidR="00AA7612" w:rsidRPr="00FC6A35" w:rsidRDefault="00000000" w:rsidP="00FC6A35">
      <w:pPr>
        <w:pStyle w:val="Heading1"/>
        <w:jc w:val="both"/>
        <w:rPr>
          <w:rFonts w:ascii="Times New Roman" w:hAnsi="Times New Roman" w:cs="Times New Roman"/>
          <w:color w:val="000000" w:themeColor="text1"/>
        </w:rPr>
      </w:pPr>
      <w:r w:rsidRPr="00FC6A35">
        <w:rPr>
          <w:rFonts w:ascii="Times New Roman" w:hAnsi="Times New Roman" w:cs="Times New Roman"/>
          <w:color w:val="000000" w:themeColor="text1"/>
        </w:rPr>
        <w:t>Reviewer 1 – Minor and language comments</w:t>
      </w:r>
    </w:p>
    <w:p w14:paraId="4847655A"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Abstract formatting</w:t>
      </w:r>
    </w:p>
    <w:p w14:paraId="76081B03"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abstract should use distinct Background / Objective / Methods / Results / Conclusions elements and normal-weight text.</w:t>
      </w:r>
    </w:p>
    <w:p w14:paraId="300142D1"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The abstract has been reformatted into separate labeled elements with normal body text.</w:t>
      </w:r>
    </w:p>
    <w:p w14:paraId="3B6D282A"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Abstract.</w:t>
      </w:r>
    </w:p>
    <w:p w14:paraId="65AA9DBC"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METHODS heading formatting</w:t>
      </w:r>
    </w:p>
    <w:p w14:paraId="5D722444"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METHODS heading has a formatting artifact.</w:t>
      </w:r>
    </w:p>
    <w:p w14:paraId="7EE61EEA"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The heading and surrounding formatting have been corrected.</w:t>
      </w:r>
    </w:p>
    <w:p w14:paraId="5D3CEB85"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Methods heading.</w:t>
      </w:r>
    </w:p>
    <w:p w14:paraId="0524388B"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English-language polishing</w:t>
      </w:r>
    </w:p>
    <w:p w14:paraId="5999DD33"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Several sentences require English-language polishing and a full professional edit.</w:t>
      </w:r>
    </w:p>
    <w:p w14:paraId="7EC7C9E9"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We revised the manuscript sentence by sentence. The wording is now simpler and more natural, with less repetition and fewer translated-sounding constructions. We deliberately kept the language straightforward rather than overly polished. Scientific meaning and data were not changed.</w:t>
      </w:r>
    </w:p>
    <w:p w14:paraId="5199EE6C"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Throughout the manuscript.</w:t>
      </w:r>
    </w:p>
    <w:p w14:paraId="195C8BF7"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Language restriction</w:t>
      </w:r>
    </w:p>
    <w:p w14:paraId="0E723755"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Clarify whether non-English studies were identified and how translation was handled.</w:t>
      </w:r>
    </w:p>
    <w:p w14:paraId="4EC17EFC"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The original review log did not record language as a separate exclusion category and did not preserve a count of non-English records or a translation log. We therefore removed the earlier ambiguous statement and report this documentation gap directly rather than inventing a translation procedure.</w:t>
      </w:r>
    </w:p>
    <w:p w14:paraId="703171D8"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Methods – Eligibility Criteria; Discussion – Limitations.</w:t>
      </w:r>
    </w:p>
    <w:p w14:paraId="33E965AE"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Exact search end date</w:t>
      </w:r>
    </w:p>
    <w:p w14:paraId="1BEE8194"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Specify the exact search end date (month/year).</w:t>
      </w:r>
    </w:p>
    <w:p w14:paraId="27EDDB8A"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 xml:space="preserve">We agree that an exact date would improve reproducibility. The original review file does not preserve the exact calendar date of the final search. We therefore did not reconstruct a date. The Methods now </w:t>
      </w:r>
      <w:r w:rsidRPr="00FC6A35">
        <w:rPr>
          <w:rFonts w:cs="Times New Roman"/>
          <w:color w:val="000000" w:themeColor="text1"/>
        </w:rPr>
        <w:lastRenderedPageBreak/>
        <w:t>state that no publication-year restriction was documented, that included clinical studies span 2007–2026, and that the exact final search date is unavailable. This is also acknowledged as a limitation.</w:t>
      </w:r>
    </w:p>
    <w:p w14:paraId="6B0C0FA0"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Methods – Data Sources and Search Strategy; Discussion – Limitations.</w:t>
      </w:r>
    </w:p>
    <w:p w14:paraId="48C06CCD"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Ceylan et al. (2007) – 48 cases</w:t>
      </w:r>
    </w:p>
    <w:p w14:paraId="191AE218"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Confirm whether all 48 cases met the glans/penile injury eligibility criteria.</w:t>
      </w:r>
    </w:p>
    <w:p w14:paraId="37608298"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We rechecked the source. Ceylan et al. reported 48 severe circumcision complications overall, but only four were partial glandular amputations. Table 2 and the total clinical N now use these four eligible cases rather than all 48 cases.</w:t>
      </w:r>
    </w:p>
    <w:p w14:paraId="0C7ECCD3"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Table 2; Study Characteristics; Abstract/Results total N.</w:t>
      </w:r>
    </w:p>
    <w:p w14:paraId="778478B1"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Terminology: medicolegal / medico-legal</w:t>
      </w:r>
    </w:p>
    <w:p w14:paraId="3017076D"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Use one form consistently.</w:t>
      </w:r>
    </w:p>
    <w:p w14:paraId="7E84B470"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We standardized the term as “medicolegal” throughout the manuscript.</w:t>
      </w:r>
    </w:p>
    <w:p w14:paraId="440B36B5"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Throughout the manuscript.</w:t>
      </w:r>
    </w:p>
    <w:p w14:paraId="7D3E87B4"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Conclusion repetition</w:t>
      </w:r>
    </w:p>
    <w:p w14:paraId="62E90F4E"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Make the Conclusion more concise and forward-looking.</w:t>
      </w:r>
    </w:p>
    <w:p w14:paraId="21FD1A8D"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The Conclusion was rewritten as a short practical closing statement focused on training, visualization of the glans, cautious energy use, early referral, and informed-consent/documentation practice.</w:t>
      </w:r>
    </w:p>
    <w:p w14:paraId="05F04654"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Conclusion.</w:t>
      </w:r>
    </w:p>
    <w:p w14:paraId="6DC6B358"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Figure 2 and Figure 3 legends</w:t>
      </w:r>
    </w:p>
    <w:p w14:paraId="7ADB24F6"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Add legends explaining the traffic-light colors/symbols.</w:t>
      </w:r>
    </w:p>
    <w:p w14:paraId="4425E415"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Legends now explain green, red, yellow, and grey categories for the JBI plots.</w:t>
      </w:r>
    </w:p>
    <w:p w14:paraId="7CABD710"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Figures 2 and 3.</w:t>
      </w:r>
    </w:p>
    <w:p w14:paraId="67666E0E"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Generative AI disclosure</w:t>
      </w:r>
    </w:p>
    <w:p w14:paraId="5F9908FE"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Retain the AI disclosure and perform further copyediting.</w:t>
      </w:r>
    </w:p>
    <w:p w14:paraId="0CFAE66C" w14:textId="77777777" w:rsidR="00AA7612" w:rsidRPr="00FC6A35" w:rsidRDefault="00000000" w:rsidP="00FC6A35">
      <w:pPr>
        <w:jc w:val="both"/>
        <w:rPr>
          <w:rFonts w:cs="Times New Roman"/>
          <w:color w:val="000000" w:themeColor="text1"/>
        </w:rPr>
      </w:pPr>
      <w:r w:rsidRPr="00FC6A35">
        <w:rPr>
          <w:rFonts w:eastAsia="Times New Roman" w:cs="Times New Roman"/>
          <w:color w:val="000000" w:themeColor="text1"/>
          <w:sz w:val="20"/>
        </w:rPr>
        <w:t>Response: The disclosure is retained and has been made more precise. ChatGPT was used for English-language editing, organizational refinement, and assistance in checking the presentation of descriptive summaries derived from the extracted study data. It was not used to make study-eligibility decisions or to create source data. The authors reviewed and verified the numerical summaries and remain fully responsible for the final manuscript.</w:t>
      </w:r>
    </w:p>
    <w:p w14:paraId="1066712A"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Declarations; throughout manuscript.</w:t>
      </w:r>
    </w:p>
    <w:p w14:paraId="45100703"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Publication/reporting bias</w:t>
      </w:r>
    </w:p>
    <w:p w14:paraId="12E9E51F"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Acknowledge likely bias toward severe or litigated cases.</w:t>
      </w:r>
    </w:p>
    <w:p w14:paraId="3207805F"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This limitation is now explicit. We note that severe, unusual, or litigated cases are more likely to be published and may overrepresent the most dramatic injuries relative to population-level incidence.</w:t>
      </w:r>
    </w:p>
    <w:p w14:paraId="64D4997F"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Discussion – Limitations.</w:t>
      </w:r>
    </w:p>
    <w:p w14:paraId="4B1186EF" w14:textId="77777777" w:rsidR="00AA7612" w:rsidRPr="00FC6A35" w:rsidRDefault="00000000" w:rsidP="00FC6A35">
      <w:pPr>
        <w:pStyle w:val="Heading1"/>
        <w:jc w:val="both"/>
        <w:rPr>
          <w:rFonts w:ascii="Times New Roman" w:hAnsi="Times New Roman" w:cs="Times New Roman"/>
          <w:color w:val="000000" w:themeColor="text1"/>
        </w:rPr>
      </w:pPr>
      <w:r w:rsidRPr="00FC6A35">
        <w:rPr>
          <w:rFonts w:ascii="Times New Roman" w:hAnsi="Times New Roman" w:cs="Times New Roman"/>
          <w:color w:val="000000" w:themeColor="text1"/>
        </w:rPr>
        <w:lastRenderedPageBreak/>
        <w:t>Reviewer 2</w:t>
      </w:r>
    </w:p>
    <w:p w14:paraId="7A726AF1"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1. Search methodology – temporal scope</w:t>
      </w:r>
    </w:p>
    <w:p w14:paraId="127DA3E1"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Methods list databases but do not clearly state the search timeframe.</w:t>
      </w:r>
    </w:p>
    <w:p w14:paraId="790499D2"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We revised the search description. No publication-year restriction was documented for the searches; the included clinical studies span 2007–2026. The exact final search date was not preserved in the source file, and we report that limitation rather than guessing a date.</w:t>
      </w:r>
    </w:p>
    <w:p w14:paraId="408DF823"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Methods – Data Sources and Search Strategy; Discussion – Limitations.</w:t>
      </w:r>
    </w:p>
    <w:p w14:paraId="21753175"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2. Clarity of data synthesis – 20/27 discrepancy</w:t>
      </w:r>
    </w:p>
    <w:p w14:paraId="27F707B5"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Clarify what the remaining seven studies focused on and why they were not part of the clinical analysis.</w:t>
      </w:r>
    </w:p>
    <w:p w14:paraId="4AEF790E"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The manuscript now explains that 20 studies contributed to the clinical synthesis and seven additional publications contributed medicolegal evidence. Tasci et al. contributed to both streams but was counted once among 27 unique studies.</w:t>
      </w:r>
    </w:p>
    <w:p w14:paraId="6003E0CE"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Methods – Eligibility Criteria; Results; Table 3 note.</w:t>
      </w:r>
    </w:p>
    <w:p w14:paraId="0FD42D0F"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3. Quantitative reporting – total N</w:t>
      </w:r>
    </w:p>
    <w:p w14:paraId="59D15357"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Please include the total sample size of patients/cases across the included clinical studies.</w:t>
      </w:r>
    </w:p>
    <w:p w14:paraId="4E7727F7"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The revised manuscript reports 88 eligible clinical patients/cases. This count uses the four partial glandular amputation cases from Ceylan et al., not the entire 48-case complication series. The N is reported consistently in the Abstract, Results, Study Characteristics, and Table 5.</w:t>
      </w:r>
    </w:p>
    <w:p w14:paraId="4C451622"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Abstract; Results; Study Characteristics; Table 5.</w:t>
      </w:r>
    </w:p>
    <w:p w14:paraId="116EE34E"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4. Medicolegal implications</w:t>
      </w:r>
    </w:p>
    <w:p w14:paraId="6612EFB7"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Expand the Results with a more specific medicolegal takeaway.</w:t>
      </w:r>
    </w:p>
    <w:p w14:paraId="7F832B26"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The medicolegal Results now identify recurring themes: alleged procedural error, provider competence, scope of practice, documentation, informed consent, and malpractice investigation. We also added the previously missing Latifah legal reference.</w:t>
      </w:r>
    </w:p>
    <w:p w14:paraId="661B51AE"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Abstract – Results; Medicolegal Findings; Table 3; References.</w:t>
      </w:r>
    </w:p>
    <w:p w14:paraId="41196A3C"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5. Actionable conclusions</w:t>
      </w:r>
    </w:p>
    <w:p w14:paraId="070D5A77"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Provide more specific practical recommendations.</w:t>
      </w:r>
    </w:p>
    <w:p w14:paraId="26543277"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The Conclusion now gives practical recommendations supported by the reviewed evidence: supervised competency-based training before independent practice, direct visualization and protection of the glans, cautious use of electrocautery, early referral for ischemia or amputation, and clear informed-consent/documentation practice.</w:t>
      </w:r>
    </w:p>
    <w:p w14:paraId="0720D1A8"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Conclusion.</w:t>
      </w:r>
    </w:p>
    <w:p w14:paraId="1117C604"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6. Manuscript appears to have been written by AI</w:t>
      </w:r>
    </w:p>
    <w:p w14:paraId="581452D4"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This manuscript version appears to have been written by AI.</w:t>
      </w:r>
    </w:p>
    <w:p w14:paraId="1EBA84E1" w14:textId="77777777" w:rsidR="00AA7612" w:rsidRPr="00FC6A35" w:rsidRDefault="00000000" w:rsidP="00FC6A35">
      <w:pPr>
        <w:jc w:val="both"/>
        <w:rPr>
          <w:rFonts w:cs="Times New Roman"/>
          <w:color w:val="000000" w:themeColor="text1"/>
        </w:rPr>
      </w:pPr>
      <w:r w:rsidRPr="00FC6A35">
        <w:rPr>
          <w:rFonts w:eastAsia="Times New Roman" w:cs="Times New Roman"/>
          <w:color w:val="000000" w:themeColor="text1"/>
          <w:sz w:val="20"/>
        </w:rPr>
        <w:t>Response: We understand the concern. The manuscript was rewritten with simpler, more natural academic English and less generic phrasing. Repetitive or translated-sounding sentences were removed. The AI disclosure remains transparent: ChatGPT was used for language editing, organization, and assistance in checking how descriptive summaries were presented. It was not used to make eligibility decisions or create source data, and the authors reviewed and verified the numerical summaries.</w:t>
      </w:r>
    </w:p>
    <w:p w14:paraId="74887ADC" w14:textId="77777777" w:rsidR="00AA7612" w:rsidRPr="00FC6A35" w:rsidRDefault="00000000" w:rsidP="00FC6A35">
      <w:pPr>
        <w:jc w:val="both"/>
        <w:rPr>
          <w:rFonts w:cs="Times New Roman"/>
          <w:color w:val="000000" w:themeColor="text1"/>
        </w:rPr>
      </w:pPr>
      <w:r w:rsidRPr="00FC6A35">
        <w:rPr>
          <w:rFonts w:cs="Times New Roman"/>
          <w:b/>
          <w:color w:val="000000" w:themeColor="text1"/>
        </w:rPr>
        <w:lastRenderedPageBreak/>
        <w:t xml:space="preserve">Change in manuscript: </w:t>
      </w:r>
      <w:r w:rsidRPr="00FC6A35">
        <w:rPr>
          <w:rFonts w:cs="Times New Roman"/>
          <w:color w:val="000000" w:themeColor="text1"/>
        </w:rPr>
        <w:t>Throughout the manuscript; Declarations.</w:t>
      </w:r>
    </w:p>
    <w:p w14:paraId="32DE42EF" w14:textId="77777777" w:rsidR="00AA7612" w:rsidRPr="00FC6A35" w:rsidRDefault="00000000" w:rsidP="00FC6A35">
      <w:pPr>
        <w:pStyle w:val="Heading1"/>
        <w:jc w:val="both"/>
        <w:rPr>
          <w:rFonts w:ascii="Times New Roman" w:hAnsi="Times New Roman" w:cs="Times New Roman"/>
          <w:color w:val="000000" w:themeColor="text1"/>
        </w:rPr>
      </w:pPr>
      <w:r w:rsidRPr="00FC6A35">
        <w:rPr>
          <w:rFonts w:ascii="Times New Roman" w:hAnsi="Times New Roman" w:cs="Times New Roman"/>
          <w:color w:val="000000" w:themeColor="text1"/>
        </w:rPr>
        <w:t>Reviewer 3</w:t>
      </w:r>
    </w:p>
    <w:p w14:paraId="13BA8BCA" w14:textId="77777777" w:rsidR="00AA7612" w:rsidRPr="00FC6A35" w:rsidRDefault="00000000" w:rsidP="00FC6A35">
      <w:pPr>
        <w:pStyle w:val="Heading2"/>
        <w:jc w:val="both"/>
        <w:rPr>
          <w:rFonts w:ascii="Times New Roman" w:hAnsi="Times New Roman" w:cs="Times New Roman"/>
          <w:color w:val="000000" w:themeColor="text1"/>
        </w:rPr>
      </w:pPr>
      <w:r w:rsidRPr="00FC6A35">
        <w:rPr>
          <w:rFonts w:ascii="Times New Roman" w:hAnsi="Times New Roman" w:cs="Times New Roman"/>
          <w:color w:val="000000" w:themeColor="text1"/>
        </w:rPr>
        <w:t>Article type and scope</w:t>
      </w:r>
    </w:p>
    <w:p w14:paraId="76918A5D"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Reviewer comment: </w:t>
      </w:r>
      <w:r w:rsidRPr="00FC6A35">
        <w:rPr>
          <w:rFonts w:cs="Times New Roman"/>
          <w:color w:val="000000" w:themeColor="text1"/>
        </w:rPr>
        <w:t>The reviewer suggested organizing the paper as a Short Article or Letter to the Editor and focusing on gaps and practical solutions, including minimally invasive or modified traditional approaches. The reviewer also noted that a systematic review should review original clinical studies.</w:t>
      </w:r>
    </w:p>
    <w:p w14:paraId="487604A6"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Response: </w:t>
      </w:r>
      <w:r w:rsidRPr="00FC6A35">
        <w:rPr>
          <w:rFonts w:cs="Times New Roman"/>
          <w:color w:val="000000" w:themeColor="text1"/>
        </w:rPr>
        <w:t>Thank you for this perspective. We retained the systematic-review format because the clinical evidence base consists of original case reports and case series, which are the main original clinical reports available for this rare adverse event. We have made the review more focused, reduced repetition, separated the medicolegal evidence from the clinical evidence, and strengthened practical prevention recommendations. We did not add a recommendation for a specific minimally invasive technique because the included studies do not provide comparative evidence to support one method over another. If the Editor specifically prefers a Short Article or Letter format, we would be happy to follow that editorial direction.</w:t>
      </w:r>
    </w:p>
    <w:p w14:paraId="729D3FAD" w14:textId="77777777" w:rsidR="00AA7612" w:rsidRPr="00FC6A35" w:rsidRDefault="00000000" w:rsidP="00FC6A35">
      <w:pPr>
        <w:jc w:val="both"/>
        <w:rPr>
          <w:rFonts w:cs="Times New Roman"/>
          <w:color w:val="000000" w:themeColor="text1"/>
        </w:rPr>
      </w:pPr>
      <w:r w:rsidRPr="00FC6A35">
        <w:rPr>
          <w:rFonts w:cs="Times New Roman"/>
          <w:b/>
          <w:color w:val="000000" w:themeColor="text1"/>
        </w:rPr>
        <w:t xml:space="preserve">Change in manuscript: </w:t>
      </w:r>
      <w:r w:rsidRPr="00FC6A35">
        <w:rPr>
          <w:rFonts w:cs="Times New Roman"/>
          <w:color w:val="000000" w:themeColor="text1"/>
        </w:rPr>
        <w:t>Overall manuscript structure; Methods – Study Design; Discussion and Conclusion.</w:t>
      </w:r>
    </w:p>
    <w:p w14:paraId="15A0B4DB" w14:textId="77777777" w:rsidR="00AA7612" w:rsidRPr="00FC6A35" w:rsidRDefault="00000000" w:rsidP="00FC6A35">
      <w:pPr>
        <w:jc w:val="both"/>
        <w:rPr>
          <w:rFonts w:cs="Times New Roman"/>
          <w:color w:val="000000" w:themeColor="text1"/>
        </w:rPr>
      </w:pPr>
      <w:r w:rsidRPr="00FC6A35">
        <w:rPr>
          <w:rFonts w:cs="Times New Roman"/>
          <w:color w:val="000000" w:themeColor="text1"/>
        </w:rPr>
        <w:t>We again thank the Editor and Reviewers. The revisions improved the clarity, transparency, and practical focus of the manuscript. We hope the revised version is now suitable for further consideration.</w:t>
      </w:r>
    </w:p>
    <w:sectPr w:rsidR="00AA7612" w:rsidRPr="00FC6A35">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130328">
    <w:abstractNumId w:val="8"/>
  </w:num>
  <w:num w:numId="2" w16cid:durableId="1333292426">
    <w:abstractNumId w:val="6"/>
  </w:num>
  <w:num w:numId="3" w16cid:durableId="2012902440">
    <w:abstractNumId w:val="5"/>
  </w:num>
  <w:num w:numId="4" w16cid:durableId="1963419221">
    <w:abstractNumId w:val="4"/>
  </w:num>
  <w:num w:numId="5" w16cid:durableId="150602802">
    <w:abstractNumId w:val="7"/>
  </w:num>
  <w:num w:numId="6" w16cid:durableId="1559239262">
    <w:abstractNumId w:val="3"/>
  </w:num>
  <w:num w:numId="7" w16cid:durableId="1755660811">
    <w:abstractNumId w:val="2"/>
  </w:num>
  <w:num w:numId="8" w16cid:durableId="1610309069">
    <w:abstractNumId w:val="1"/>
  </w:num>
  <w:num w:numId="9" w16cid:durableId="168620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7EA"/>
    <w:rsid w:val="009D58EA"/>
    <w:rsid w:val="00AA1D8D"/>
    <w:rsid w:val="00AA7612"/>
    <w:rsid w:val="00B47730"/>
    <w:rsid w:val="00CB0664"/>
    <w:rsid w:val="00FC693F"/>
    <w:rsid w:val="00FC6A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2015D"/>
  <w14:defaultImageDpi w14:val="300"/>
  <w15:docId w15:val="{507D5FF3-44D1-4454-ADE8-6B95B8287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2448</Words>
  <Characters>13954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PT. ANOA SEJAHTERA MANDIRI 06</cp:lastModifiedBy>
  <cp:revision>3</cp:revision>
  <dcterms:created xsi:type="dcterms:W3CDTF">2013-12-23T23:15:00Z</dcterms:created>
  <dcterms:modified xsi:type="dcterms:W3CDTF">2026-10-17T08:59:00Z</dcterms:modified>
  <cp:category/>
</cp:coreProperties>
</file>