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CA1B" w14:textId="77777777" w:rsidR="00A90CCD" w:rsidRPr="00A90CCD" w:rsidRDefault="00A90CCD" w:rsidP="00A90CCD">
      <w:pPr>
        <w:keepNext/>
        <w:spacing w:line="480" w:lineRule="auto"/>
        <w:jc w:val="center"/>
        <w:rPr>
          <w:rFonts w:cs="Times New Roman"/>
          <w:b/>
          <w:bCs/>
          <w:sz w:val="28"/>
          <w:szCs w:val="28"/>
        </w:rPr>
      </w:pPr>
      <w:r w:rsidRPr="00A90CCD">
        <w:rPr>
          <w:rFonts w:eastAsia="Times New Roman" w:cs="Times New Roman"/>
          <w:b/>
          <w:bCs/>
          <w:sz w:val="28"/>
          <w:szCs w:val="28"/>
        </w:rPr>
        <w:t>Iatrogenic Glans Penis Injury During Circumcision: Clinical Spectrum, Mechanisms, and Medicolegal Implications—A Systematic Review</w:t>
      </w:r>
    </w:p>
    <w:p w14:paraId="0AC76912" w14:textId="77777777" w:rsidR="0065179B" w:rsidRPr="00542BC0" w:rsidRDefault="00A612D0" w:rsidP="0065179B">
      <w:pPr>
        <w:keepNext/>
        <w:keepLines/>
        <w:spacing w:before="160" w:after="80" w:line="480" w:lineRule="auto"/>
        <w:rPr>
          <w:rFonts w:cs="Times New Roman"/>
          <w:b/>
          <w:bCs/>
        </w:rPr>
      </w:pPr>
      <w:r w:rsidRPr="00542BC0">
        <w:rPr>
          <w:rFonts w:eastAsia="Times New Roman" w:cs="Times New Roman"/>
          <w:b/>
          <w:bCs/>
        </w:rPr>
        <w:t>ABSTRACT</w:t>
      </w:r>
    </w:p>
    <w:p w14:paraId="1F168360" w14:textId="77777777" w:rsidR="00C06A65" w:rsidRDefault="00C06A65" w:rsidP="00B24BE6">
      <w:pPr>
        <w:spacing w:after="0" w:line="480" w:lineRule="auto"/>
        <w:jc w:val="both"/>
        <w:rPr>
          <w:rFonts w:cs="Times New Roman"/>
          <w:b/>
          <w:bCs/>
        </w:rPr>
      </w:pPr>
      <w:r w:rsidRPr="00C06A65">
        <w:rPr>
          <w:rFonts w:cs="Times New Roman"/>
          <w:b/>
          <w:bCs/>
        </w:rPr>
        <w:t xml:space="preserve">Background: </w:t>
      </w:r>
      <w:r w:rsidRPr="00C06A65">
        <w:rPr>
          <w:rFonts w:cs="Times New Roman"/>
          <w:bCs/>
        </w:rPr>
        <w:t xml:space="preserve">Iatrogenic glans penis injury during circumcision is a rare but severe complication with important clinical and medicolegal consequences. Although circumcision is generally considered safe, reports of ischemia, necrosis, and </w:t>
      </w:r>
      <w:r>
        <w:rPr>
          <w:rFonts w:cs="Times New Roman"/>
          <w:bCs/>
        </w:rPr>
        <w:t xml:space="preserve">penile </w:t>
      </w:r>
      <w:r w:rsidRPr="00C06A65">
        <w:rPr>
          <w:rFonts w:cs="Times New Roman"/>
          <w:bCs/>
        </w:rPr>
        <w:t>amputation persist, and existing evidence remains fragmented. Objective: To systematically synthesize evidence on the clinical spectrum, mechanisms, risk factors, management outcomes, and medicolegal implications of glans penis injury during circumcision.</w:t>
      </w:r>
      <w:r w:rsidRPr="00C06A65">
        <w:rPr>
          <w:rFonts w:cs="Times New Roman"/>
          <w:b/>
          <w:bCs/>
        </w:rPr>
        <w:t xml:space="preserve"> </w:t>
      </w:r>
    </w:p>
    <w:p w14:paraId="3DBAB751" w14:textId="77777777" w:rsidR="00D95EB5" w:rsidRDefault="00D95EB5" w:rsidP="00B24BE6">
      <w:pPr>
        <w:spacing w:after="0" w:line="480" w:lineRule="auto"/>
        <w:jc w:val="both"/>
        <w:rPr>
          <w:rFonts w:cs="Times New Roman"/>
          <w:bCs/>
        </w:rPr>
      </w:pPr>
      <w:r>
        <w:rPr>
          <w:rFonts w:cs="Times New Roman"/>
          <w:b/>
          <w:bCs/>
        </w:rPr>
        <w:t>Methods</w:t>
      </w:r>
      <w:r w:rsidR="00C06A65" w:rsidRPr="00D31893">
        <w:rPr>
          <w:rFonts w:cs="Times New Roman"/>
          <w:b/>
          <w:bCs/>
        </w:rPr>
        <w:t xml:space="preserve">: </w:t>
      </w:r>
      <w:r w:rsidR="00C06A65" w:rsidRPr="00D31893">
        <w:rPr>
          <w:rFonts w:cs="Times New Roman"/>
          <w:bCs/>
        </w:rPr>
        <w:t xml:space="preserve">A systematic review was conducted following PRISMA 2020 guidelines across PubMed, ScienceDirect, Cochrane Library, Wiley Online Library, ProQuest, and JSTOR. Eligible studies comprised case reports and case series describing iatrogenic glans or penile injury during circumcision. Data extraction covered clinical characteristics, mechanisms, management, outcomes, and medicolegal aspects. Methodological quality was assessed using Joanna Briggs Institute critical appraisal tools. </w:t>
      </w:r>
    </w:p>
    <w:p w14:paraId="3F17762B" w14:textId="77777777" w:rsidR="00C06A65" w:rsidRPr="00C06A65" w:rsidRDefault="00D95EB5" w:rsidP="00B24BE6">
      <w:pPr>
        <w:spacing w:after="0" w:line="480" w:lineRule="auto"/>
        <w:jc w:val="both"/>
        <w:rPr>
          <w:rFonts w:cs="Times New Roman"/>
          <w:bCs/>
        </w:rPr>
      </w:pPr>
      <w:r w:rsidRPr="00592623">
        <w:rPr>
          <w:rFonts w:cs="Times New Roman"/>
          <w:b/>
          <w:bCs/>
        </w:rPr>
        <w:t>Results:</w:t>
      </w:r>
      <w:r>
        <w:rPr>
          <w:rFonts w:cs="Times New Roman"/>
          <w:bCs/>
        </w:rPr>
        <w:t xml:space="preserve"> </w:t>
      </w:r>
      <w:r w:rsidR="00C06A65" w:rsidRPr="00D31893">
        <w:rPr>
          <w:rFonts w:cs="Times New Roman"/>
          <w:bCs/>
        </w:rPr>
        <w:t xml:space="preserve">Twenty-seven studies were included, with 20 contributing to clinical analysis (14 case reports, 6 case series). Common mechanisms included inadequate visualization, blind or clamp-based techniques, electrocautery thermal injury, and vascular compromise following anesthesia or infection. Procedures performed by untrained or non-specialist providers were a major risk factor, though complications also occurred in formal settings. Management varied from conservative approaches to complex reconstruction, with outcomes ranging from full recovery to long-term complications. Case reports showed generally high methodological quality, while case series </w:t>
      </w:r>
      <w:r w:rsidR="00C06A65" w:rsidRPr="00D31893">
        <w:rPr>
          <w:rFonts w:cs="Times New Roman"/>
          <w:bCs/>
        </w:rPr>
        <w:lastRenderedPageBreak/>
        <w:t>were variable. Medicolegal findings frequently involved malpractice claims linked to procedural errors, insufficient training, and inadequate informed consent.</w:t>
      </w:r>
      <w:r w:rsidR="00C06A65" w:rsidRPr="00C06A65">
        <w:rPr>
          <w:rFonts w:cs="Times New Roman"/>
          <w:bCs/>
        </w:rPr>
        <w:t xml:space="preserve"> </w:t>
      </w:r>
    </w:p>
    <w:p w14:paraId="021D1E00" w14:textId="77777777" w:rsidR="00D31893" w:rsidRDefault="00C06A65" w:rsidP="00B24BE6">
      <w:pPr>
        <w:spacing w:after="0" w:line="480" w:lineRule="auto"/>
        <w:jc w:val="both"/>
        <w:rPr>
          <w:rFonts w:cs="Times New Roman"/>
          <w:b/>
          <w:bCs/>
        </w:rPr>
      </w:pPr>
      <w:r w:rsidRPr="00C06A65">
        <w:rPr>
          <w:rFonts w:cs="Times New Roman"/>
          <w:b/>
          <w:bCs/>
        </w:rPr>
        <w:t xml:space="preserve">Conclusions: </w:t>
      </w:r>
      <w:r w:rsidRPr="00C06A65">
        <w:rPr>
          <w:rFonts w:cs="Times New Roman"/>
          <w:bCs/>
        </w:rPr>
        <w:t>These injuries are rare but largely preventable. Improved surgical training, adherence to standardized techniques, and stronger regulatory oversight are essential to enhance patient safety and reduce medicolegal risk.</w:t>
      </w:r>
    </w:p>
    <w:p w14:paraId="32149954" w14:textId="77777777" w:rsidR="00951A63" w:rsidRPr="00492CB3" w:rsidRDefault="00DC2F3E" w:rsidP="00492CB3">
      <w:pPr>
        <w:spacing w:after="0" w:line="480" w:lineRule="auto"/>
        <w:jc w:val="both"/>
      </w:pPr>
      <w:r w:rsidRPr="00492CB3">
        <w:rPr>
          <w:rFonts w:cs="Times New Roman"/>
          <w:b/>
          <w:bCs/>
        </w:rPr>
        <w:t>Keywords</w:t>
      </w:r>
      <w:r>
        <w:rPr>
          <w:rFonts w:cs="Times New Roman"/>
        </w:rPr>
        <w:t>: Circumcision; Glans penis injury; Penile amputation; Iatrogenic complications; Surgical error; Medicolegal</w:t>
      </w:r>
    </w:p>
    <w:p w14:paraId="5B4AEF40" w14:textId="77777777" w:rsidR="00951A63" w:rsidRPr="00EA148C" w:rsidRDefault="00951A63" w:rsidP="0065179B">
      <w:pPr>
        <w:keepNext/>
        <w:keepLines/>
        <w:spacing w:before="160" w:after="80" w:line="480" w:lineRule="auto"/>
        <w:rPr>
          <w:rFonts w:cs="Times New Roman"/>
          <w:b/>
          <w:bCs/>
        </w:rPr>
      </w:pPr>
      <w:r w:rsidRPr="00EA148C">
        <w:rPr>
          <w:rFonts w:eastAsia="Times New Roman" w:cs="Times New Roman"/>
          <w:b/>
          <w:bCs/>
        </w:rPr>
        <w:t>HIGHLIGHTS</w:t>
      </w:r>
    </w:p>
    <w:p w14:paraId="64C962E2"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Iatrogenic glans injury during circumcision ranges from reversible ischemia to partial or complete penile amputation.</w:t>
      </w:r>
    </w:p>
    <w:p w14:paraId="1CE362E0"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Recurrent contributing factors include inadequate glans visualization, blind or clamp-based techniques, thermal injury, and vascular compromise.</w:t>
      </w:r>
    </w:p>
    <w:p w14:paraId="5A54FEFE" w14:textId="77777777" w:rsidR="005360A3" w:rsidRPr="008A2001" w:rsidRDefault="005360A3" w:rsidP="005360A3">
      <w:pPr>
        <w:pStyle w:val="ListParagraph"/>
        <w:spacing w:after="0" w:line="480" w:lineRule="auto"/>
        <w:ind w:left="270" w:hanging="270"/>
        <w:jc w:val="both"/>
        <w:rPr>
          <w:rFonts w:cs="Times New Roman"/>
        </w:rPr>
      </w:pPr>
      <w:r>
        <w:rPr>
          <w:rFonts w:cs="Times New Roman"/>
        </w:rPr>
        <w:t>• Early replantation or reconstructive management may preserve urinary function and improve cosmetic outcomes in selected cases.</w:t>
      </w:r>
    </w:p>
    <w:p w14:paraId="09C74B64" w14:textId="77777777" w:rsidR="005360A3" w:rsidRPr="008A2001" w:rsidRDefault="007F5568" w:rsidP="005360A3">
      <w:pPr>
        <w:pStyle w:val="ListParagraph"/>
        <w:spacing w:after="0" w:line="480" w:lineRule="auto"/>
        <w:ind w:left="270" w:hanging="270"/>
        <w:jc w:val="both"/>
        <w:rPr>
          <w:rFonts w:cs="Times New Roman"/>
        </w:rPr>
      </w:pPr>
      <w:r>
        <w:rPr>
          <w:rFonts w:cs="Times New Roman"/>
        </w:rPr>
        <w:t>• Severe injuries have been reported in both traditional and formal healthcare settings, underscoring operator competency and standardized technique.</w:t>
      </w:r>
    </w:p>
    <w:p w14:paraId="3DA3EB22" w14:textId="77777777" w:rsidR="005360A3" w:rsidRDefault="008A2001" w:rsidP="00492CB3">
      <w:pPr>
        <w:pStyle w:val="ListParagraph"/>
        <w:spacing w:after="0" w:line="480" w:lineRule="auto"/>
        <w:ind w:left="270" w:hanging="270"/>
        <w:jc w:val="both"/>
        <w:rPr>
          <w:rFonts w:cs="Times New Roman"/>
        </w:rPr>
      </w:pPr>
      <w:r>
        <w:rPr>
          <w:rFonts w:cs="Times New Roman"/>
        </w:rPr>
        <w:t>• Procedural safety, appropriate training, documentation, and informed consent are central to reducing clinical and medicolegal risk.</w:t>
      </w:r>
    </w:p>
    <w:p w14:paraId="54804CD8" w14:textId="77777777" w:rsidR="00A612D0" w:rsidRDefault="005F327B" w:rsidP="006F6E47">
      <w:pPr>
        <w:keepNext/>
        <w:keepLines/>
        <w:spacing w:before="160" w:after="80" w:line="480" w:lineRule="auto"/>
        <w:rPr>
          <w:rFonts w:cs="Times New Roman"/>
          <w:b/>
          <w:bCs/>
        </w:rPr>
      </w:pPr>
      <w:r w:rsidRPr="005F327B">
        <w:rPr>
          <w:rFonts w:eastAsia="Times New Roman" w:cs="Times New Roman"/>
          <w:b/>
          <w:bCs/>
        </w:rPr>
        <w:t>BACKGROUND</w:t>
      </w:r>
    </w:p>
    <w:p w14:paraId="5910DDF9" w14:textId="77777777" w:rsidR="00806B97" w:rsidRPr="002705F6" w:rsidRDefault="002705F6" w:rsidP="002705F6">
      <w:pPr>
        <w:spacing w:after="0" w:line="480" w:lineRule="auto"/>
        <w:ind w:firstLine="630"/>
        <w:jc w:val="both"/>
      </w:pPr>
      <w:r w:rsidRPr="002705F6">
        <w:rPr>
          <w:rFonts w:cs="Times New Roman"/>
        </w:rPr>
        <w:t>Circumcision is one of the most popular surgeries performed around the world. It is practiced by people of different religions, cultures and medical conditions</w:t>
      </w:r>
      <w:r w:rsidR="00806B97" w:rsidRPr="00B77F32">
        <w:rPr>
          <w:rFonts w:cs="Times New Roman"/>
        </w:rPr>
        <w:t xml:space="preserve"> </w:t>
      </w:r>
      <w:r>
        <w:rPr>
          <w:rFonts w:cs="Times New Roman"/>
        </w:rPr>
        <w:t>(1-3)</w:t>
      </w:r>
      <w:r w:rsidR="00806B97" w:rsidRPr="00B77F32">
        <w:rPr>
          <w:rFonts w:cs="Times New Roman"/>
        </w:rPr>
        <w:t xml:space="preserve">. </w:t>
      </w:r>
      <w:r w:rsidRPr="002705F6">
        <w:rPr>
          <w:rFonts w:cs="Times New Roman"/>
        </w:rPr>
        <w:t xml:space="preserve">Circumcision, under the right conditions, is a generally safe and simple procedure, but it is not without its risks. </w:t>
      </w:r>
      <w:r w:rsidRPr="002705F6">
        <w:rPr>
          <w:rFonts w:cs="Times New Roman"/>
        </w:rPr>
        <w:lastRenderedPageBreak/>
        <w:t>Complications of all sorts have been reported, from minor bleeding and infection to serious and potentially life-changing injuries</w:t>
      </w:r>
      <w:r w:rsidR="00806B97" w:rsidRPr="00B77F32">
        <w:rPr>
          <w:rFonts w:cs="Times New Roman"/>
        </w:rPr>
        <w:t xml:space="preserve"> </w:t>
      </w:r>
      <w:r>
        <w:rPr>
          <w:rFonts w:cs="Times New Roman"/>
        </w:rPr>
        <w:t>(4,5)</w:t>
      </w:r>
      <w:r w:rsidR="00806B97" w:rsidRPr="00B77F32">
        <w:rPr>
          <w:rFonts w:cs="Times New Roman"/>
        </w:rPr>
        <w:t>.</w:t>
      </w:r>
    </w:p>
    <w:p w14:paraId="77207BAF" w14:textId="77777777" w:rsidR="00C96265" w:rsidRPr="006F6E47" w:rsidRDefault="008B43BC" w:rsidP="006F6E47">
      <w:pPr>
        <w:spacing w:after="0" w:line="480" w:lineRule="auto"/>
        <w:ind w:firstLine="630"/>
        <w:jc w:val="both"/>
        <w:rPr>
          <w:rFonts w:cs="Times New Roman"/>
        </w:rPr>
      </w:pPr>
      <w:r w:rsidRPr="008B43BC">
        <w:rPr>
          <w:rFonts w:cs="Times New Roman"/>
        </w:rPr>
        <w:t>One of the most serious and devastating complications is iatrogenic glans penis injury.</w:t>
      </w:r>
      <w:r w:rsidR="0079073A">
        <w:rPr>
          <w:rFonts w:cs="Times New Roman"/>
        </w:rPr>
        <w:t xml:space="preserve"> </w:t>
      </w:r>
      <w:r w:rsidR="0079073A" w:rsidRPr="00A40C37">
        <w:rPr>
          <w:rFonts w:cs="Times New Roman"/>
        </w:rPr>
        <w:t>Iatrogenic refers to conditions such as injuries, diseases, or complications that occur unintentionally as a result of diagnostic procedures</w:t>
      </w:r>
      <w:r w:rsidR="000649DE">
        <w:rPr>
          <w:rFonts w:cs="Times New Roman"/>
        </w:rPr>
        <w:t xml:space="preserve"> or medical intervention</w:t>
      </w:r>
      <w:r w:rsidR="0079073A" w:rsidRPr="00A40C37">
        <w:rPr>
          <w:rFonts w:cs="Times New Roman"/>
        </w:rPr>
        <w:t xml:space="preserve"> performed by a doctor</w:t>
      </w:r>
      <w:r w:rsidR="0079073A" w:rsidRPr="0079073A">
        <w:rPr>
          <w:rFonts w:cs="Times New Roman"/>
        </w:rPr>
        <w:t>.</w:t>
      </w:r>
      <w:r w:rsidRPr="008B43BC">
        <w:rPr>
          <w:rFonts w:cs="Times New Roman"/>
        </w:rPr>
        <w:t xml:space="preserve"> This includes glans laceration, ischemia, necrosis, and partial or complete amputation, and these can have lasting functional, aesthetic, and psychological consequences</w:t>
      </w:r>
      <w:r w:rsidR="00C96265" w:rsidRPr="00B77F32">
        <w:rPr>
          <w:rFonts w:cs="Times New Roman"/>
        </w:rPr>
        <w:t xml:space="preserve"> </w:t>
      </w:r>
      <w:r>
        <w:rPr>
          <w:rFonts w:cs="Times New Roman"/>
        </w:rPr>
        <w:t>(6-8)</w:t>
      </w:r>
      <w:r w:rsidR="00C96265" w:rsidRPr="00B77F32">
        <w:rPr>
          <w:rFonts w:cs="Times New Roman"/>
        </w:rPr>
        <w:t xml:space="preserve">. </w:t>
      </w:r>
      <w:r w:rsidR="003A3AD1" w:rsidRPr="003A3AD1">
        <w:rPr>
          <w:rFonts w:cs="Times New Roman"/>
        </w:rPr>
        <w:t>Such injuries are described as uncommon, yet have repeatedly been reported in a variety of clinical and non-clinical settings, indicating that they are not isolated events, but rather recurring problems associated with particular procedural and contextual factors</w:t>
      </w:r>
      <w:r w:rsidR="00C96265" w:rsidRPr="00B77F32">
        <w:rPr>
          <w:rFonts w:cs="Times New Roman"/>
        </w:rPr>
        <w:t xml:space="preserve"> </w:t>
      </w:r>
      <w:r>
        <w:rPr>
          <w:rFonts w:cs="Times New Roman"/>
        </w:rPr>
        <w:t>(9,10)</w:t>
      </w:r>
      <w:r w:rsidR="00C96265" w:rsidRPr="00B77F32">
        <w:rPr>
          <w:rFonts w:cs="Times New Roman"/>
        </w:rPr>
        <w:t>.</w:t>
      </w:r>
    </w:p>
    <w:p w14:paraId="3435EDCC" w14:textId="77777777" w:rsidR="00CC3DAD" w:rsidRPr="006F6E47" w:rsidRDefault="000658D9" w:rsidP="006F6E47">
      <w:pPr>
        <w:spacing w:after="0" w:line="480" w:lineRule="auto"/>
        <w:ind w:firstLine="630"/>
        <w:jc w:val="both"/>
        <w:rPr>
          <w:rFonts w:cs="Times New Roman"/>
        </w:rPr>
      </w:pPr>
      <w:r w:rsidRPr="000658D9">
        <w:rPr>
          <w:rFonts w:cs="Times New Roman"/>
        </w:rPr>
        <w:t>The pathophysiology of iatrogenic glans injury during circumcision is multifactorial, involving both mechanical and vascular pathways. Direct traumatic injury can be caused by poor visualization of the glans, improper use of surgical instruments and errors related to blind or clamp-based techniques</w:t>
      </w:r>
      <w:r w:rsidR="00CC3DAD" w:rsidRPr="00B77F32">
        <w:rPr>
          <w:rFonts w:cs="Times New Roman"/>
        </w:rPr>
        <w:t xml:space="preserve"> </w:t>
      </w:r>
      <w:r>
        <w:rPr>
          <w:rFonts w:cs="Times New Roman"/>
        </w:rPr>
        <w:t>(11-14)</w:t>
      </w:r>
      <w:r w:rsidR="00CC3DAD" w:rsidRPr="00B77F32">
        <w:rPr>
          <w:rFonts w:cs="Times New Roman"/>
        </w:rPr>
        <w:t xml:space="preserve">. </w:t>
      </w:r>
      <w:r w:rsidR="00DB3174" w:rsidRPr="00DB3174">
        <w:rPr>
          <w:rFonts w:cs="Times New Roman"/>
        </w:rPr>
        <w:t>Furthermore, vascular compromise can result in ischemic and necrotic complications often related to thermal injury from electrocautery, effects of local anesthesia or postoperative complications such as infection and compressive dressings</w:t>
      </w:r>
      <w:r w:rsidR="00CC3DAD" w:rsidRPr="00B77F32">
        <w:rPr>
          <w:rFonts w:cs="Times New Roman"/>
        </w:rPr>
        <w:t xml:space="preserve"> </w:t>
      </w:r>
      <w:r>
        <w:rPr>
          <w:rFonts w:cs="Times New Roman"/>
        </w:rPr>
        <w:t>(15-18)</w:t>
      </w:r>
      <w:r w:rsidR="00CC3DAD" w:rsidRPr="00B77F32">
        <w:rPr>
          <w:rFonts w:cs="Times New Roman"/>
        </w:rPr>
        <w:t xml:space="preserve">. </w:t>
      </w:r>
      <w:r w:rsidR="003E05A7" w:rsidRPr="003E05A7">
        <w:rPr>
          <w:rFonts w:cs="Times New Roman"/>
        </w:rPr>
        <w:t>These findings exemplify general principles of surgical safety in which iatrogenic injury is a consequence of improper identification and protection of vital anatomical structures</w:t>
      </w:r>
      <w:r w:rsidR="00CC3DAD" w:rsidRPr="00B77F32">
        <w:rPr>
          <w:rFonts w:cs="Times New Roman"/>
        </w:rPr>
        <w:t xml:space="preserve"> </w:t>
      </w:r>
      <w:r>
        <w:rPr>
          <w:rFonts w:cs="Times New Roman"/>
        </w:rPr>
        <w:t>(19,20)</w:t>
      </w:r>
      <w:r w:rsidR="00CC3DAD" w:rsidRPr="00B77F32">
        <w:rPr>
          <w:rFonts w:cs="Times New Roman"/>
        </w:rPr>
        <w:t>.</w:t>
      </w:r>
    </w:p>
    <w:p w14:paraId="13F08374" w14:textId="77777777" w:rsidR="00775212" w:rsidRPr="00775212" w:rsidRDefault="00805E7F" w:rsidP="00775212">
      <w:pPr>
        <w:spacing w:after="0" w:line="480" w:lineRule="auto"/>
        <w:ind w:firstLine="630"/>
        <w:jc w:val="both"/>
        <w:rPr>
          <w:rFonts w:cs="Times New Roman"/>
        </w:rPr>
      </w:pPr>
      <w:r w:rsidRPr="00805E7F">
        <w:rPr>
          <w:rFonts w:cs="Times New Roman"/>
        </w:rPr>
        <w:t>Another critical risk factor is the operator. Evidence exists of heightened risks of complications when procedures are performed by untrained or non-specialist providers, especially in traditional and community settings</w:t>
      </w:r>
      <w:r>
        <w:rPr>
          <w:rFonts w:cs="Times New Roman"/>
        </w:rPr>
        <w:t xml:space="preserve"> (21)</w:t>
      </w:r>
      <w:r w:rsidR="006D26A9" w:rsidRPr="00B77F32">
        <w:rPr>
          <w:rFonts w:cs="Times New Roman"/>
        </w:rPr>
        <w:t xml:space="preserve">. </w:t>
      </w:r>
      <w:r w:rsidR="00775212" w:rsidRPr="00775212">
        <w:rPr>
          <w:rFonts w:cs="Times New Roman"/>
        </w:rPr>
        <w:t>But there have been reports of severe injuries in formal health facilities, indicating that procedural errors and failure to adhere to surgical standards can occur in any setting</w:t>
      </w:r>
      <w:r w:rsidR="006D26A9" w:rsidRPr="00B77F32">
        <w:rPr>
          <w:rFonts w:cs="Times New Roman"/>
        </w:rPr>
        <w:t xml:space="preserve"> </w:t>
      </w:r>
      <w:r>
        <w:rPr>
          <w:rFonts w:cs="Times New Roman"/>
        </w:rPr>
        <w:t>(22,23)</w:t>
      </w:r>
      <w:r w:rsidR="006D26A9" w:rsidRPr="00B77F32">
        <w:rPr>
          <w:rFonts w:cs="Times New Roman"/>
        </w:rPr>
        <w:t xml:space="preserve">. </w:t>
      </w:r>
      <w:r w:rsidR="00775212" w:rsidRPr="00775212">
        <w:rPr>
          <w:rFonts w:cs="Times New Roman"/>
        </w:rPr>
        <w:t>It serves as a reminder of the importance of ski</w:t>
      </w:r>
      <w:r w:rsidR="004A16BD">
        <w:rPr>
          <w:rFonts w:cs="Times New Roman"/>
        </w:rPr>
        <w:t>ll, training and standardiz</w:t>
      </w:r>
      <w:r w:rsidR="00775212" w:rsidRPr="00775212">
        <w:rPr>
          <w:rFonts w:cs="Times New Roman"/>
        </w:rPr>
        <w:t>ation in reducing the incidence of preventable complications.</w:t>
      </w:r>
    </w:p>
    <w:p w14:paraId="0CEFB28A" w14:textId="77777777" w:rsidR="00374DEA" w:rsidRPr="006F6E47" w:rsidRDefault="00307AF6" w:rsidP="006F6E47">
      <w:pPr>
        <w:spacing w:after="0" w:line="480" w:lineRule="auto"/>
        <w:ind w:firstLine="630"/>
        <w:jc w:val="both"/>
        <w:rPr>
          <w:rFonts w:cs="Times New Roman"/>
        </w:rPr>
      </w:pPr>
      <w:r w:rsidRPr="00307AF6">
        <w:rPr>
          <w:rFonts w:cs="Times New Roman"/>
        </w:rPr>
        <w:lastRenderedPageBreak/>
        <w:t>In addition to the medical consequences, there are serious legal consequences of iatrogenic injury of the glans penis. Circumcision complications, particularly permanent loss of function, are increasingly viewed as potential grounds for malpractice claims and legal action</w:t>
      </w:r>
      <w:r w:rsidR="00374DEA" w:rsidRPr="00B77F32">
        <w:rPr>
          <w:rFonts w:cs="Times New Roman"/>
        </w:rPr>
        <w:t xml:space="preserve"> </w:t>
      </w:r>
      <w:r>
        <w:rPr>
          <w:rFonts w:cs="Times New Roman"/>
        </w:rPr>
        <w:t>(24-26)</w:t>
      </w:r>
      <w:r w:rsidR="00374DEA" w:rsidRPr="00B77F32">
        <w:rPr>
          <w:rFonts w:cs="Times New Roman"/>
        </w:rPr>
        <w:t xml:space="preserve">. </w:t>
      </w:r>
      <w:r w:rsidR="009F549C" w:rsidRPr="009F549C">
        <w:rPr>
          <w:rFonts w:cs="Times New Roman"/>
        </w:rPr>
        <w:t>Common causes of liability in legal studies include procedural errors, incompetence, and lack of informed consent</w:t>
      </w:r>
      <w:r w:rsidR="00374DEA" w:rsidRPr="00B77F32">
        <w:rPr>
          <w:rFonts w:cs="Times New Roman"/>
        </w:rPr>
        <w:t xml:space="preserve"> </w:t>
      </w:r>
      <w:r>
        <w:rPr>
          <w:rFonts w:cs="Times New Roman"/>
        </w:rPr>
        <w:t>(27-31)</w:t>
      </w:r>
      <w:r w:rsidR="00374DEA" w:rsidRPr="00B77F32">
        <w:rPr>
          <w:rFonts w:cs="Times New Roman"/>
        </w:rPr>
        <w:t xml:space="preserve">. </w:t>
      </w:r>
      <w:r w:rsidR="009F549C" w:rsidRPr="009F549C">
        <w:rPr>
          <w:rFonts w:cs="Times New Roman"/>
        </w:rPr>
        <w:t>The medicolegal risks are not limited to low-resource settings; they are also relevant to well-established health systems, emphasizing the global importance of patient safety and professional accountability</w:t>
      </w:r>
      <w:r w:rsidR="00374DEA" w:rsidRPr="00B77F32">
        <w:rPr>
          <w:rFonts w:cs="Times New Roman"/>
        </w:rPr>
        <w:t xml:space="preserve"> </w:t>
      </w:r>
      <w:r>
        <w:rPr>
          <w:rFonts w:cs="Times New Roman"/>
        </w:rPr>
        <w:t>(32)</w:t>
      </w:r>
      <w:r w:rsidR="00374DEA" w:rsidRPr="00B77F32">
        <w:rPr>
          <w:rFonts w:cs="Times New Roman"/>
        </w:rPr>
        <w:t>.</w:t>
      </w:r>
    </w:p>
    <w:p w14:paraId="62A110DA" w14:textId="77777777" w:rsidR="002E3A0E" w:rsidRPr="002E3A0E" w:rsidRDefault="00713B5C" w:rsidP="002E3A0E">
      <w:pPr>
        <w:spacing w:after="0" w:line="480" w:lineRule="auto"/>
        <w:ind w:firstLine="630"/>
        <w:jc w:val="both"/>
        <w:rPr>
          <w:rFonts w:cs="Times New Roman"/>
        </w:rPr>
      </w:pPr>
      <w:r w:rsidRPr="00713B5C">
        <w:rPr>
          <w:rFonts w:cs="Times New Roman"/>
        </w:rPr>
        <w:t>Although these injuries are serious from a health and legal point of view, research on them is still scattered and mainly consists of case reports and small case series. Previous reviews have largely focused on general complications of circumcision, without a thorough review of severe injuries specific to the glans, or a synthesis of clinical findings and medicolegal perspectives</w:t>
      </w:r>
      <w:r w:rsidR="00E020FC" w:rsidRPr="00B77F32">
        <w:rPr>
          <w:rFonts w:cs="Times New Roman"/>
        </w:rPr>
        <w:t xml:space="preserve"> </w:t>
      </w:r>
      <w:r>
        <w:rPr>
          <w:rFonts w:cs="Times New Roman"/>
        </w:rPr>
        <w:t>(33-35)</w:t>
      </w:r>
      <w:r w:rsidR="00E020FC" w:rsidRPr="00B77F32">
        <w:rPr>
          <w:rFonts w:cs="Times New Roman"/>
        </w:rPr>
        <w:t xml:space="preserve">. </w:t>
      </w:r>
      <w:r w:rsidR="002E3A0E" w:rsidRPr="002E3A0E">
        <w:rPr>
          <w:rFonts w:cs="Times New Roman"/>
        </w:rPr>
        <w:t>There is a lack of comprehensive understanding of the full clinical spectrum, pathophysiology, risk factors, and legal implications of iatrogenic glans penis injury associated with circumcision.</w:t>
      </w:r>
    </w:p>
    <w:p w14:paraId="5810684A" w14:textId="77777777" w:rsidR="002E3A0E" w:rsidRPr="002E3A0E" w:rsidRDefault="002E3A0E" w:rsidP="002E3A0E">
      <w:pPr>
        <w:spacing w:after="0" w:line="480" w:lineRule="auto"/>
        <w:ind w:firstLine="630"/>
        <w:jc w:val="both"/>
        <w:rPr>
          <w:rFonts w:cs="Times New Roman"/>
        </w:rPr>
      </w:pPr>
      <w:r w:rsidRPr="002E3A0E">
        <w:rPr>
          <w:rFonts w:cs="Times New Roman"/>
        </w:rPr>
        <w:t>The aim of this systematic review is to synthesize the available evidence from case reports and case series on the clinical spectrum, mechanisms, risk factors, management outcomes and medicolegal implications of iatrogenic glans penis injury during circumcision.</w:t>
      </w:r>
    </w:p>
    <w:p w14:paraId="087DCAB5" w14:textId="77777777" w:rsidR="006F6E47" w:rsidRPr="006F6E47" w:rsidRDefault="002E3A0E" w:rsidP="006F6E47">
      <w:pPr>
        <w:spacing w:after="0" w:line="480" w:lineRule="auto"/>
        <w:rPr>
          <w:rFonts w:cs="Times New Roman"/>
        </w:rPr>
      </w:pPr>
      <w:r w:rsidRPr="002E3A0E">
        <w:rPr>
          <w:rFonts w:cs="Times New Roman"/>
        </w:rPr>
        <w:t>The following research questions guided this review:</w:t>
      </w:r>
    </w:p>
    <w:p w14:paraId="5CD643D7" w14:textId="77777777" w:rsidR="006F6E47" w:rsidRPr="006F6E47" w:rsidRDefault="00180A91" w:rsidP="006F6E47">
      <w:pPr>
        <w:numPr>
          <w:ilvl w:val="0"/>
          <w:numId w:val="1"/>
        </w:numPr>
        <w:tabs>
          <w:tab w:val="clear" w:pos="720"/>
        </w:tabs>
        <w:spacing w:after="0" w:line="480" w:lineRule="auto"/>
        <w:ind w:left="360"/>
        <w:rPr>
          <w:rFonts w:cs="Times New Roman"/>
        </w:rPr>
      </w:pPr>
      <w:r w:rsidRPr="00180A91">
        <w:rPr>
          <w:rFonts w:cs="Times New Roman"/>
        </w:rPr>
        <w:t xml:space="preserve">What is the clinical spectrum of iatrogenic glans penis injury arising over circumcision? </w:t>
      </w:r>
      <w:r w:rsidR="006F6E47" w:rsidRPr="006F6E47">
        <w:rPr>
          <w:rFonts w:cs="Times New Roman"/>
        </w:rPr>
        <w:t xml:space="preserve"> </w:t>
      </w:r>
    </w:p>
    <w:p w14:paraId="22F570E4"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What processes and mechanisms lead to these injuries?</w:t>
      </w:r>
      <w:r w:rsidR="006F6E47" w:rsidRPr="006F6E47">
        <w:rPr>
          <w:rFonts w:cs="Times New Roman"/>
        </w:rPr>
        <w:t xml:space="preserve"> </w:t>
      </w:r>
    </w:p>
    <w:p w14:paraId="3CF88FE1"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 xml:space="preserve">What are the main things that make glans injury more likely to happen during circumcision? </w:t>
      </w:r>
      <w:r w:rsidR="006F6E47" w:rsidRPr="006F6E47">
        <w:rPr>
          <w:rFonts w:cs="Times New Roman"/>
        </w:rPr>
        <w:t xml:space="preserve"> </w:t>
      </w:r>
    </w:p>
    <w:p w14:paraId="26B4754B" w14:textId="77777777" w:rsidR="006F6E47" w:rsidRPr="006F6E47" w:rsidRDefault="00D57713" w:rsidP="006F6E47">
      <w:pPr>
        <w:numPr>
          <w:ilvl w:val="0"/>
          <w:numId w:val="1"/>
        </w:numPr>
        <w:tabs>
          <w:tab w:val="clear" w:pos="720"/>
        </w:tabs>
        <w:spacing w:after="0" w:line="480" w:lineRule="auto"/>
        <w:ind w:left="360"/>
        <w:rPr>
          <w:rFonts w:cs="Times New Roman"/>
        </w:rPr>
      </w:pPr>
      <w:r w:rsidRPr="00D57713">
        <w:rPr>
          <w:rFonts w:cs="Times New Roman"/>
        </w:rPr>
        <w:t>What management strategies are used, and what are the clinical results that go along with them?</w:t>
      </w:r>
      <w:r w:rsidR="006F6E47" w:rsidRPr="006F6E47">
        <w:rPr>
          <w:rFonts w:cs="Times New Roman"/>
        </w:rPr>
        <w:t xml:space="preserve"> </w:t>
      </w:r>
    </w:p>
    <w:p w14:paraId="74048DD1" w14:textId="77777777" w:rsidR="00B77F32" w:rsidRPr="00492CB3" w:rsidRDefault="00D57713" w:rsidP="0065179B">
      <w:pPr>
        <w:numPr>
          <w:ilvl w:val="0"/>
          <w:numId w:val="1"/>
        </w:numPr>
        <w:tabs>
          <w:tab w:val="clear" w:pos="720"/>
        </w:tabs>
        <w:spacing w:after="0" w:line="480" w:lineRule="auto"/>
        <w:ind w:left="360"/>
        <w:rPr>
          <w:rFonts w:cs="Times New Roman"/>
        </w:rPr>
      </w:pPr>
      <w:r w:rsidRPr="00D57713">
        <w:rPr>
          <w:rFonts w:cs="Times New Roman"/>
        </w:rPr>
        <w:lastRenderedPageBreak/>
        <w:t>What are the medicolegal ramifications of iatrogenic glans penis injury occurring during circumcision?</w:t>
      </w:r>
    </w:p>
    <w:p w14:paraId="6DC18761" w14:textId="77777777" w:rsidR="00A612D0" w:rsidRPr="00CB4678" w:rsidRDefault="00A612D0" w:rsidP="00CB4678">
      <w:pPr>
        <w:keepNext/>
        <w:keepLines/>
        <w:spacing w:before="160" w:after="80" w:line="480" w:lineRule="auto"/>
        <w:jc w:val="both"/>
        <w:rPr>
          <w:rFonts w:cs="Times New Roman"/>
          <w:b/>
          <w:bCs/>
        </w:rPr>
      </w:pPr>
      <w:r w:rsidRPr="00CB4678">
        <w:rPr>
          <w:rFonts w:eastAsia="Times New Roman" w:cs="Times New Roman"/>
          <w:b/>
          <w:bCs/>
        </w:rPr>
        <w:t>METHOD</w:t>
      </w:r>
      <w:r w:rsidR="00031EBE">
        <w:rPr>
          <w:rFonts w:eastAsia="Times New Roman" w:cs="Times New Roman"/>
          <w:b/>
          <w:bCs/>
        </w:rPr>
        <w:t>S</w:t>
      </w:r>
    </w:p>
    <w:p w14:paraId="34738934" w14:textId="77777777" w:rsidR="00CB4678" w:rsidRDefault="002E3A0E" w:rsidP="00CB4678">
      <w:pPr>
        <w:spacing w:after="0" w:line="480" w:lineRule="auto"/>
        <w:jc w:val="both"/>
        <w:rPr>
          <w:rFonts w:cs="Times New Roman"/>
        </w:rPr>
      </w:pPr>
      <w:r w:rsidRPr="002E3A0E">
        <w:rPr>
          <w:rFonts w:cs="Times New Roman"/>
        </w:rPr>
        <w:t>This systematic review was conducted and reported following the Preferred Reporting Items for Systematic Reviews and Meta-Analyses (PRISMA) 2020 statement</w:t>
      </w:r>
      <w:r w:rsidR="00D06550">
        <w:rPr>
          <w:rFonts w:cs="Times New Roman"/>
        </w:rPr>
        <w:t xml:space="preserve"> </w:t>
      </w:r>
      <w:r>
        <w:rPr>
          <w:rFonts w:cs="Times New Roman"/>
        </w:rPr>
        <w:t>(36)</w:t>
      </w:r>
      <w:r w:rsidR="00CB4678" w:rsidRPr="00CB4678">
        <w:rPr>
          <w:rFonts w:cs="Times New Roman"/>
        </w:rPr>
        <w:t>.</w:t>
      </w:r>
    </w:p>
    <w:p w14:paraId="4F635832"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Study Design and Protocol</w:t>
      </w:r>
    </w:p>
    <w:p w14:paraId="313B5ADE" w14:textId="77777777" w:rsidR="00F34CE8" w:rsidRPr="00F34CE8" w:rsidRDefault="00F34CE8" w:rsidP="00F34CE8">
      <w:pPr>
        <w:spacing w:after="0" w:line="480" w:lineRule="auto"/>
        <w:jc w:val="both"/>
        <w:rPr>
          <w:rFonts w:cs="Times New Roman"/>
        </w:rPr>
      </w:pPr>
      <w:r w:rsidRPr="00F34CE8">
        <w:rPr>
          <w:rFonts w:cs="Times New Roman"/>
        </w:rPr>
        <w:t xml:space="preserve">This study aimed to systematically review case reports and case series to pool evidence on the clinical spectrum, mechanisms, risk factors and medicolegal implications of iatrogenic glans penis injury during circumcision. As such injuries are rare and ethical considerations are involved it was felt that a comprehensive analysis is best approached using </w:t>
      </w:r>
      <w:proofErr w:type="gramStart"/>
      <w:r w:rsidRPr="00F34CE8">
        <w:rPr>
          <w:rFonts w:cs="Times New Roman"/>
        </w:rPr>
        <w:t>case based</w:t>
      </w:r>
      <w:proofErr w:type="gramEnd"/>
      <w:r w:rsidRPr="00F34CE8">
        <w:rPr>
          <w:rFonts w:cs="Times New Roman"/>
        </w:rPr>
        <w:t xml:space="preserve"> evidence.</w:t>
      </w:r>
    </w:p>
    <w:p w14:paraId="4D19D548"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Sources and Search Strategy</w:t>
      </w:r>
    </w:p>
    <w:p w14:paraId="731814CD" w14:textId="77777777" w:rsidR="00F34CE8" w:rsidRPr="00F34CE8" w:rsidRDefault="00F34CE8" w:rsidP="00F34CE8">
      <w:pPr>
        <w:spacing w:after="0" w:line="480" w:lineRule="auto"/>
        <w:jc w:val="both"/>
        <w:rPr>
          <w:rFonts w:cs="Times New Roman"/>
        </w:rPr>
      </w:pPr>
      <w:r>
        <w:t>The electronic search covered publications from 2007 to 2026. Accordingly, studies published within this period were considered for inclusion.</w:t>
      </w:r>
    </w:p>
    <w:p w14:paraId="7DE30104" w14:textId="77777777" w:rsidR="00F34CE8" w:rsidRPr="00F34CE8" w:rsidRDefault="00F34CE8" w:rsidP="00F34CE8">
      <w:pPr>
        <w:spacing w:after="0" w:line="480" w:lineRule="auto"/>
        <w:jc w:val="both"/>
        <w:rPr>
          <w:rFonts w:cs="Times New Roman"/>
        </w:rPr>
      </w:pPr>
      <w:r w:rsidRPr="00F34CE8">
        <w:rPr>
          <w:rFonts w:cs="Times New Roman"/>
        </w:rPr>
        <w:t>The search strategy included a combination of Medical Subject Headings (</w:t>
      </w:r>
      <w:proofErr w:type="spellStart"/>
      <w:r w:rsidRPr="00F34CE8">
        <w:rPr>
          <w:rFonts w:cs="Times New Roman"/>
        </w:rPr>
        <w:t>MeSH</w:t>
      </w:r>
      <w:proofErr w:type="spellEnd"/>
      <w:r w:rsidRPr="00F34CE8">
        <w:rPr>
          <w:rFonts w:cs="Times New Roman"/>
        </w:rPr>
        <w:t>) and free-text terms pertaining to circumcision and penile injury. Search terms were combinations of the following:</w:t>
      </w:r>
    </w:p>
    <w:p w14:paraId="08AB0319" w14:textId="77777777" w:rsidR="00CB4678" w:rsidRPr="00CB4678" w:rsidRDefault="00CB4678" w:rsidP="00CB4678">
      <w:pPr>
        <w:spacing w:after="0" w:line="480" w:lineRule="auto"/>
        <w:jc w:val="both"/>
        <w:rPr>
          <w:rFonts w:cs="Times New Roman"/>
        </w:rPr>
      </w:pPr>
      <w:r w:rsidRPr="00CB4678">
        <w:rPr>
          <w:rFonts w:cs="Times New Roman"/>
        </w:rPr>
        <w:t>“circumcision” AND (“glans injury” OR “penile injury” OR “glans amputation” OR “penile necrosis” OR “iatrogenic injury” OR “circumcision complication”)</w:t>
      </w:r>
    </w:p>
    <w:p w14:paraId="23A28750" w14:textId="77777777" w:rsidR="00CB4678" w:rsidRDefault="00CF04C1" w:rsidP="00CB4678">
      <w:pPr>
        <w:spacing w:after="0" w:line="480" w:lineRule="auto"/>
        <w:jc w:val="both"/>
        <w:rPr>
          <w:rFonts w:eastAsia="Times New Roman"/>
        </w:rPr>
      </w:pPr>
      <w:r w:rsidRPr="00CF04C1">
        <w:rPr>
          <w:rFonts w:cs="Times New Roman"/>
        </w:rPr>
        <w:t>Search strategies were designed for each database. The reference lists of the included studies were also checked manually for relevant articles, in addition to database searches.</w:t>
      </w:r>
      <w:r>
        <w:t xml:space="preserve"> </w:t>
      </w:r>
      <w:r>
        <w:rPr>
          <w:rFonts w:eastAsia="Times New Roman"/>
        </w:rPr>
        <w:t>The database-specific search strategies are presented in Table 1.</w:t>
      </w:r>
    </w:p>
    <w:p w14:paraId="2290EEF8" w14:textId="77777777" w:rsidR="004E5D67" w:rsidRDefault="004E5D67" w:rsidP="00CB4678">
      <w:pPr>
        <w:spacing w:after="0" w:line="480" w:lineRule="auto"/>
        <w:jc w:val="both"/>
        <w:rPr>
          <w:rFonts w:cs="Times New Roman"/>
        </w:rPr>
      </w:pPr>
    </w:p>
    <w:p w14:paraId="2D2DC881" w14:textId="77777777" w:rsidR="008F1935" w:rsidRDefault="008F1935" w:rsidP="006A0FB9">
      <w:pPr>
        <w:keepNext/>
        <w:keepLines/>
        <w:spacing w:before="120" w:after="80" w:line="240" w:lineRule="auto"/>
        <w:jc w:val="center"/>
        <w:rPr>
          <w:rFonts w:cs="Times New Roman"/>
        </w:rPr>
      </w:pPr>
      <w:r w:rsidRPr="008F1935">
        <w:rPr>
          <w:rFonts w:eastAsia="Times New Roman" w:cs="Times New Roman"/>
          <w:b/>
          <w:bCs/>
          <w:sz w:val="20"/>
        </w:rPr>
        <w:lastRenderedPageBreak/>
        <w:t>Table 1.</w:t>
      </w:r>
      <w:r>
        <w:rPr>
          <w:rFonts w:eastAsia="Times New Roman" w:cs="Times New Roman"/>
          <w:sz w:val="20"/>
        </w:rPr>
        <w:t xml:space="preserve"> Search Terms in the Databases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7704"/>
      </w:tblGrid>
      <w:tr w:rsidR="008F1935" w:rsidRPr="006A0FB9" w14:paraId="37E5E860"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5071B86E"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Databases</w:t>
            </w:r>
          </w:p>
        </w:tc>
        <w:tc>
          <w:tcPr>
            <w:tcW w:w="7704" w:type="dxa"/>
            <w:tcBorders>
              <w:bottom w:val="single" w:sz="4" w:space="0" w:color="auto"/>
            </w:tcBorders>
            <w:tcMar>
              <w:top w:w="30" w:type="dxa"/>
              <w:left w:w="45" w:type="dxa"/>
              <w:bottom w:w="30" w:type="dxa"/>
              <w:right w:w="45" w:type="dxa"/>
            </w:tcMar>
            <w:vAlign w:val="center"/>
          </w:tcPr>
          <w:p w14:paraId="35BD3D50" w14:textId="77777777" w:rsidR="008F1935" w:rsidRPr="006A0FB9" w:rsidRDefault="008F1935" w:rsidP="006A0FB9">
            <w:pPr>
              <w:keepLines/>
              <w:jc w:val="center"/>
              <w:rPr>
                <w:rFonts w:cs="Times New Roman"/>
                <w:b/>
                <w:bCs/>
                <w:sz w:val="20"/>
                <w:szCs w:val="28"/>
              </w:rPr>
            </w:pPr>
            <w:r w:rsidRPr="006A0FB9">
              <w:rPr>
                <w:rFonts w:eastAsia="Times New Roman" w:cs="Times New Roman"/>
                <w:b/>
                <w:bCs/>
                <w:sz w:val="20"/>
                <w:szCs w:val="28"/>
              </w:rPr>
              <w:t>Terms</w:t>
            </w:r>
          </w:p>
        </w:tc>
      </w:tr>
      <w:tr w:rsidR="008F1935" w:rsidRPr="006A0FB9" w14:paraId="51625371" w14:textId="77777777" w:rsidTr="006A0FB9">
        <w:trPr>
          <w:cantSplit/>
          <w:jc w:val="center"/>
        </w:trPr>
        <w:tc>
          <w:tcPr>
            <w:tcW w:w="1656" w:type="dxa"/>
            <w:tcBorders>
              <w:top w:val="single" w:sz="4" w:space="0" w:color="auto"/>
            </w:tcBorders>
            <w:tcMar>
              <w:top w:w="30" w:type="dxa"/>
              <w:left w:w="45" w:type="dxa"/>
              <w:bottom w:w="30" w:type="dxa"/>
              <w:right w:w="45" w:type="dxa"/>
            </w:tcMar>
          </w:tcPr>
          <w:p w14:paraId="0A107B34" w14:textId="77777777" w:rsidR="008F1935" w:rsidRPr="006A0FB9" w:rsidRDefault="008F1935" w:rsidP="00CB4678">
            <w:pPr>
              <w:keepLines/>
              <w:rPr>
                <w:rFonts w:cs="Times New Roman"/>
                <w:sz w:val="20"/>
                <w:szCs w:val="28"/>
              </w:rPr>
            </w:pPr>
            <w:r w:rsidRPr="006A0FB9">
              <w:rPr>
                <w:rFonts w:eastAsia="Times New Roman" w:cs="Times New Roman"/>
                <w:sz w:val="20"/>
                <w:szCs w:val="28"/>
              </w:rPr>
              <w:t>PubMed</w:t>
            </w:r>
          </w:p>
        </w:tc>
        <w:tc>
          <w:tcPr>
            <w:tcW w:w="7704" w:type="dxa"/>
            <w:tcBorders>
              <w:top w:val="single" w:sz="4" w:space="0" w:color="auto"/>
            </w:tcBorders>
            <w:tcMar>
              <w:top w:w="30" w:type="dxa"/>
              <w:left w:w="45" w:type="dxa"/>
              <w:bottom w:w="30" w:type="dxa"/>
              <w:right w:w="45" w:type="dxa"/>
            </w:tcMar>
          </w:tcPr>
          <w:p w14:paraId="35532294" w14:textId="77777777" w:rsidR="008F1935" w:rsidRPr="006A0FB9" w:rsidRDefault="008F1935" w:rsidP="00CB4678">
            <w:pPr>
              <w:keepLines/>
              <w:rPr>
                <w:rFonts w:cs="Times New Roman"/>
                <w:sz w:val="20"/>
                <w:szCs w:val="28"/>
              </w:rPr>
            </w:pPr>
            <w:r w:rsidRPr="006A0FB9">
              <w:rPr>
                <w:rFonts w:eastAsia="Times New Roman" w:cs="Times New Roman"/>
                <w:sz w:val="20"/>
                <w:szCs w:val="28"/>
              </w:rPr>
              <w:t xml:space="preserve">(“Circumcision, </w:t>
            </w:r>
            <w:proofErr w:type="gramStart"/>
            <w:r w:rsidRPr="006A0FB9">
              <w:rPr>
                <w:rFonts w:eastAsia="Times New Roman" w:cs="Times New Roman"/>
                <w:sz w:val="20"/>
                <w:szCs w:val="28"/>
              </w:rPr>
              <w:t>Male”[</w:t>
            </w:r>
            <w:proofErr w:type="gramEnd"/>
            <w:r w:rsidRPr="006A0FB9">
              <w:rPr>
                <w:rFonts w:eastAsia="Times New Roman" w:cs="Times New Roman"/>
                <w:sz w:val="20"/>
                <w:szCs w:val="28"/>
              </w:rPr>
              <w:t>Mesh] OR circumcision[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xml:space="preserve">]) AND (“Penile </w:t>
            </w:r>
            <w:proofErr w:type="gramStart"/>
            <w:r w:rsidRPr="006A0FB9">
              <w:rPr>
                <w:rFonts w:eastAsia="Times New Roman" w:cs="Times New Roman"/>
                <w:sz w:val="20"/>
                <w:szCs w:val="28"/>
              </w:rPr>
              <w:t>Injuries”[</w:t>
            </w:r>
            <w:proofErr w:type="gramEnd"/>
            <w:r w:rsidRPr="006A0FB9">
              <w:rPr>
                <w:rFonts w:eastAsia="Times New Roman" w:cs="Times New Roman"/>
                <w:sz w:val="20"/>
                <w:szCs w:val="28"/>
              </w:rPr>
              <w:t xml:space="preserve">Mesh] OR “glans </w:t>
            </w:r>
            <w:proofErr w:type="gramStart"/>
            <w:r w:rsidRPr="006A0FB9">
              <w:rPr>
                <w:rFonts w:eastAsia="Times New Roman" w:cs="Times New Roman"/>
                <w:sz w:val="20"/>
                <w:szCs w:val="28"/>
              </w:rPr>
              <w:t>penis”[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injury”[</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“glans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amputation”[</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OR “penile </w:t>
            </w:r>
            <w:proofErr w:type="gramStart"/>
            <w:r w:rsidRPr="006A0FB9">
              <w:rPr>
                <w:rFonts w:eastAsia="Times New Roman" w:cs="Times New Roman"/>
                <w:sz w:val="20"/>
                <w:szCs w:val="28"/>
              </w:rPr>
              <w:t>necrosis”[</w:t>
            </w:r>
            <w:proofErr w:type="spellStart"/>
            <w:proofErr w:type="gramEnd"/>
            <w:r w:rsidRPr="006A0FB9">
              <w:rPr>
                <w:rFonts w:eastAsia="Times New Roman" w:cs="Times New Roman"/>
                <w:sz w:val="20"/>
                <w:szCs w:val="28"/>
              </w:rPr>
              <w:t>tiab</w:t>
            </w:r>
            <w:proofErr w:type="spellEnd"/>
            <w:r w:rsidRPr="006A0FB9">
              <w:rPr>
                <w:rFonts w:eastAsia="Times New Roman" w:cs="Times New Roman"/>
                <w:sz w:val="20"/>
                <w:szCs w:val="28"/>
              </w:rPr>
              <w:t xml:space="preserve">]) AND (“Iatrogenic </w:t>
            </w:r>
            <w:proofErr w:type="gramStart"/>
            <w:r w:rsidRPr="006A0FB9">
              <w:rPr>
                <w:rFonts w:eastAsia="Times New Roman" w:cs="Times New Roman"/>
                <w:sz w:val="20"/>
                <w:szCs w:val="28"/>
              </w:rPr>
              <w:t>Disease”[</w:t>
            </w:r>
            <w:proofErr w:type="gramEnd"/>
            <w:r w:rsidRPr="006A0FB9">
              <w:rPr>
                <w:rFonts w:eastAsia="Times New Roman" w:cs="Times New Roman"/>
                <w:sz w:val="20"/>
                <w:szCs w:val="28"/>
              </w:rPr>
              <w:t>Mesh] OR iatrogenic[</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complication*[</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 OR adverse event*[</w:t>
            </w:r>
            <w:proofErr w:type="spellStart"/>
            <w:r w:rsidRPr="006A0FB9">
              <w:rPr>
                <w:rFonts w:eastAsia="Times New Roman" w:cs="Times New Roman"/>
                <w:sz w:val="20"/>
                <w:szCs w:val="28"/>
              </w:rPr>
              <w:t>tiab</w:t>
            </w:r>
            <w:proofErr w:type="spellEnd"/>
            <w:r w:rsidRPr="006A0FB9">
              <w:rPr>
                <w:rFonts w:eastAsia="Times New Roman" w:cs="Times New Roman"/>
                <w:sz w:val="20"/>
                <w:szCs w:val="28"/>
              </w:rPr>
              <w:t>])</w:t>
            </w:r>
          </w:p>
        </w:tc>
      </w:tr>
      <w:tr w:rsidR="008F1935" w:rsidRPr="006A0FB9" w14:paraId="10C4054F" w14:textId="77777777" w:rsidTr="006A0FB9">
        <w:trPr>
          <w:cantSplit/>
          <w:jc w:val="center"/>
        </w:trPr>
        <w:tc>
          <w:tcPr>
            <w:tcW w:w="1656" w:type="dxa"/>
            <w:tcMar>
              <w:top w:w="30" w:type="dxa"/>
              <w:left w:w="45" w:type="dxa"/>
              <w:bottom w:w="30" w:type="dxa"/>
              <w:right w:w="45" w:type="dxa"/>
            </w:tcMar>
          </w:tcPr>
          <w:p w14:paraId="4428016C"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Sciencedirect</w:t>
            </w:r>
            <w:proofErr w:type="spellEnd"/>
          </w:p>
        </w:tc>
        <w:tc>
          <w:tcPr>
            <w:tcW w:w="7704" w:type="dxa"/>
            <w:tcMar>
              <w:top w:w="30" w:type="dxa"/>
              <w:left w:w="45" w:type="dxa"/>
              <w:bottom w:w="30" w:type="dxa"/>
              <w:right w:w="45" w:type="dxa"/>
            </w:tcMar>
          </w:tcPr>
          <w:p w14:paraId="4DCB713D" w14:textId="77777777" w:rsidR="008F1935" w:rsidRPr="006A0FB9" w:rsidRDefault="00AF7DB5" w:rsidP="00CB4678">
            <w:pPr>
              <w:keepLines/>
              <w:rPr>
                <w:rFonts w:cs="Times New Roman"/>
                <w:sz w:val="20"/>
                <w:szCs w:val="28"/>
              </w:rPr>
            </w:pPr>
            <w:r w:rsidRPr="006A0FB9">
              <w:rPr>
                <w:rFonts w:eastAsia="Times New Roman" w:cs="Times New Roman"/>
                <w:sz w:val="20"/>
                <w:szCs w:val="28"/>
              </w:rPr>
              <w:t>TITLE-ABSTR-KEY (circumcision AND (“glans injury” OR “penile injury” OR “glans amputation” OR “penile amputation” OR “penile necrosis” OR “circumcision complication” OR iatrogenic))</w:t>
            </w:r>
          </w:p>
        </w:tc>
      </w:tr>
      <w:tr w:rsidR="008F1935" w:rsidRPr="006A0FB9" w14:paraId="68F1A330" w14:textId="77777777" w:rsidTr="006A0FB9">
        <w:trPr>
          <w:cantSplit/>
          <w:jc w:val="center"/>
        </w:trPr>
        <w:tc>
          <w:tcPr>
            <w:tcW w:w="1656" w:type="dxa"/>
            <w:tcMar>
              <w:top w:w="30" w:type="dxa"/>
              <w:left w:w="45" w:type="dxa"/>
              <w:bottom w:w="30" w:type="dxa"/>
              <w:right w:w="45" w:type="dxa"/>
            </w:tcMar>
          </w:tcPr>
          <w:p w14:paraId="4B0C5A80" w14:textId="77777777" w:rsidR="008F1935" w:rsidRPr="006A0FB9" w:rsidRDefault="00AF7DB5" w:rsidP="00CB4678">
            <w:pPr>
              <w:keepLines/>
              <w:rPr>
                <w:rFonts w:cs="Times New Roman"/>
                <w:sz w:val="20"/>
                <w:szCs w:val="28"/>
              </w:rPr>
            </w:pPr>
            <w:r w:rsidRPr="006A0FB9">
              <w:rPr>
                <w:rFonts w:eastAsia="Times New Roman" w:cs="Times New Roman"/>
                <w:sz w:val="20"/>
                <w:szCs w:val="28"/>
              </w:rPr>
              <w:t>Cochrane Library</w:t>
            </w:r>
          </w:p>
        </w:tc>
        <w:tc>
          <w:tcPr>
            <w:tcW w:w="7704" w:type="dxa"/>
            <w:tcMar>
              <w:top w:w="30" w:type="dxa"/>
              <w:left w:w="45" w:type="dxa"/>
              <w:bottom w:w="30" w:type="dxa"/>
              <w:right w:w="45" w:type="dxa"/>
            </w:tcMar>
          </w:tcPr>
          <w:p w14:paraId="33F8C02F"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r w:rsidRPr="006A0FB9">
              <w:rPr>
                <w:rFonts w:eastAsia="Times New Roman" w:cs="Times New Roman"/>
                <w:sz w:val="20"/>
                <w:szCs w:val="28"/>
              </w:rPr>
              <w:t xml:space="preserve"> AND (“glans injury” OR “penile injury” OR “penile amputation” OR “glans amputation” OR “penile necrosis” OR iatrogenic OR complication</w:t>
            </w:r>
            <w:proofErr w:type="gramStart"/>
            <w:r w:rsidRPr="006A0FB9">
              <w:rPr>
                <w:rFonts w:eastAsia="Times New Roman" w:cs="Times New Roman"/>
                <w:sz w:val="20"/>
                <w:szCs w:val="28"/>
              </w:rPr>
              <w:t>):</w:t>
            </w:r>
            <w:proofErr w:type="spellStart"/>
            <w:r w:rsidRPr="006A0FB9">
              <w:rPr>
                <w:rFonts w:eastAsia="Times New Roman" w:cs="Times New Roman"/>
                <w:sz w:val="20"/>
                <w:szCs w:val="28"/>
              </w:rPr>
              <w:t>ti</w:t>
            </w:r>
            <w:proofErr w:type="gramEnd"/>
            <w:r w:rsidRPr="006A0FB9">
              <w:rPr>
                <w:rFonts w:eastAsia="Times New Roman" w:cs="Times New Roman"/>
                <w:sz w:val="20"/>
                <w:szCs w:val="28"/>
              </w:rPr>
              <w:t>,</w:t>
            </w:r>
            <w:proofErr w:type="gramStart"/>
            <w:r w:rsidRPr="006A0FB9">
              <w:rPr>
                <w:rFonts w:eastAsia="Times New Roman" w:cs="Times New Roman"/>
                <w:sz w:val="20"/>
                <w:szCs w:val="28"/>
              </w:rPr>
              <w:t>ab,kw</w:t>
            </w:r>
            <w:proofErr w:type="spellEnd"/>
            <w:proofErr w:type="gramEnd"/>
          </w:p>
        </w:tc>
      </w:tr>
      <w:tr w:rsidR="008F1935" w:rsidRPr="006A0FB9" w14:paraId="44BF0F82" w14:textId="77777777" w:rsidTr="006A0FB9">
        <w:trPr>
          <w:cantSplit/>
          <w:jc w:val="center"/>
        </w:trPr>
        <w:tc>
          <w:tcPr>
            <w:tcW w:w="1656" w:type="dxa"/>
            <w:tcMar>
              <w:top w:w="30" w:type="dxa"/>
              <w:left w:w="45" w:type="dxa"/>
              <w:bottom w:w="30" w:type="dxa"/>
              <w:right w:w="45" w:type="dxa"/>
            </w:tcMar>
          </w:tcPr>
          <w:p w14:paraId="190E59A8" w14:textId="77777777" w:rsidR="008F1935" w:rsidRPr="006A0FB9" w:rsidRDefault="00AF7DB5" w:rsidP="00CB4678">
            <w:pPr>
              <w:keepLines/>
              <w:rPr>
                <w:rFonts w:cs="Times New Roman"/>
                <w:sz w:val="20"/>
                <w:szCs w:val="28"/>
              </w:rPr>
            </w:pPr>
            <w:r w:rsidRPr="006A0FB9">
              <w:rPr>
                <w:rFonts w:eastAsia="Times New Roman" w:cs="Times New Roman"/>
                <w:sz w:val="20"/>
                <w:szCs w:val="28"/>
              </w:rPr>
              <w:t>Wiley Online Library</w:t>
            </w:r>
          </w:p>
        </w:tc>
        <w:tc>
          <w:tcPr>
            <w:tcW w:w="7704" w:type="dxa"/>
            <w:tcMar>
              <w:top w:w="30" w:type="dxa"/>
              <w:left w:w="45" w:type="dxa"/>
              <w:bottom w:w="30" w:type="dxa"/>
              <w:right w:w="45" w:type="dxa"/>
            </w:tcMar>
          </w:tcPr>
          <w:p w14:paraId="5692471D" w14:textId="77777777" w:rsidR="008F193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“glans amputation” OR “penile amputation” OR “penile necrosis” OR iatrogenic OR complication)</w:t>
            </w:r>
          </w:p>
        </w:tc>
      </w:tr>
      <w:tr w:rsidR="008F1935" w:rsidRPr="006A0FB9" w14:paraId="581EFF9E" w14:textId="77777777" w:rsidTr="006A0FB9">
        <w:trPr>
          <w:cantSplit/>
          <w:jc w:val="center"/>
        </w:trPr>
        <w:tc>
          <w:tcPr>
            <w:tcW w:w="1656" w:type="dxa"/>
            <w:tcMar>
              <w:top w:w="30" w:type="dxa"/>
              <w:left w:w="45" w:type="dxa"/>
              <w:bottom w:w="30" w:type="dxa"/>
              <w:right w:w="45" w:type="dxa"/>
            </w:tcMar>
          </w:tcPr>
          <w:p w14:paraId="70C2BE3F" w14:textId="77777777" w:rsidR="008F1935" w:rsidRPr="006A0FB9" w:rsidRDefault="00AF7DB5" w:rsidP="00CB4678">
            <w:pPr>
              <w:keepLines/>
              <w:rPr>
                <w:rFonts w:cs="Times New Roman"/>
                <w:sz w:val="20"/>
                <w:szCs w:val="28"/>
              </w:rPr>
            </w:pPr>
            <w:proofErr w:type="spellStart"/>
            <w:r w:rsidRPr="006A0FB9">
              <w:rPr>
                <w:rFonts w:eastAsia="Times New Roman" w:cs="Times New Roman"/>
                <w:sz w:val="20"/>
                <w:szCs w:val="28"/>
              </w:rPr>
              <w:t>Proquest</w:t>
            </w:r>
            <w:proofErr w:type="spellEnd"/>
          </w:p>
        </w:tc>
        <w:tc>
          <w:tcPr>
            <w:tcW w:w="7704" w:type="dxa"/>
            <w:tcMar>
              <w:top w:w="30" w:type="dxa"/>
              <w:left w:w="45" w:type="dxa"/>
              <w:bottom w:w="30" w:type="dxa"/>
              <w:right w:w="45" w:type="dxa"/>
            </w:tcMar>
          </w:tcPr>
          <w:p w14:paraId="7A0976C9" w14:textId="77777777" w:rsidR="008F1935" w:rsidRPr="006A0FB9" w:rsidRDefault="00AF7DB5" w:rsidP="00CB4678">
            <w:pPr>
              <w:keepLines/>
              <w:rPr>
                <w:rFonts w:cs="Times New Roman"/>
                <w:sz w:val="20"/>
                <w:szCs w:val="28"/>
              </w:rPr>
            </w:pPr>
            <w:proofErr w:type="gramStart"/>
            <w:r w:rsidRPr="006A0FB9">
              <w:rPr>
                <w:rFonts w:eastAsia="Times New Roman" w:cs="Times New Roman"/>
                <w:sz w:val="20"/>
                <w:szCs w:val="28"/>
              </w:rPr>
              <w:t>AB(</w:t>
            </w:r>
            <w:proofErr w:type="gramEnd"/>
            <w:r w:rsidRPr="006A0FB9">
              <w:rPr>
                <w:rFonts w:eastAsia="Times New Roman" w:cs="Times New Roman"/>
                <w:sz w:val="20"/>
                <w:szCs w:val="28"/>
              </w:rPr>
              <w:t>circumcision AND (“glans injury” OR “penile injury” OR “glans amputation” OR “penile amputation” OR “penile necrosis” OR iatrogenic OR complication))</w:t>
            </w:r>
          </w:p>
        </w:tc>
      </w:tr>
      <w:tr w:rsidR="00AF7DB5" w:rsidRPr="006A0FB9" w14:paraId="7E682617" w14:textId="77777777" w:rsidTr="006A0FB9">
        <w:trPr>
          <w:cantSplit/>
          <w:jc w:val="center"/>
        </w:trPr>
        <w:tc>
          <w:tcPr>
            <w:tcW w:w="1656" w:type="dxa"/>
            <w:tcMar>
              <w:top w:w="30" w:type="dxa"/>
              <w:left w:w="45" w:type="dxa"/>
              <w:bottom w:w="30" w:type="dxa"/>
              <w:right w:w="45" w:type="dxa"/>
            </w:tcMar>
          </w:tcPr>
          <w:p w14:paraId="38414151" w14:textId="77777777" w:rsidR="00AF7DB5" w:rsidRPr="006A0FB9" w:rsidRDefault="00AF7DB5" w:rsidP="00CB4678">
            <w:pPr>
              <w:keepLines/>
              <w:rPr>
                <w:rFonts w:cs="Times New Roman"/>
                <w:sz w:val="20"/>
                <w:szCs w:val="28"/>
              </w:rPr>
            </w:pPr>
            <w:r w:rsidRPr="006A0FB9">
              <w:rPr>
                <w:rFonts w:eastAsia="Times New Roman" w:cs="Times New Roman"/>
                <w:sz w:val="20"/>
                <w:szCs w:val="28"/>
              </w:rPr>
              <w:t>JSTOR</w:t>
            </w:r>
          </w:p>
        </w:tc>
        <w:tc>
          <w:tcPr>
            <w:tcW w:w="7704" w:type="dxa"/>
            <w:tcMar>
              <w:top w:w="30" w:type="dxa"/>
              <w:left w:w="45" w:type="dxa"/>
              <w:bottom w:w="30" w:type="dxa"/>
              <w:right w:w="45" w:type="dxa"/>
            </w:tcMar>
          </w:tcPr>
          <w:p w14:paraId="3A739000" w14:textId="77777777" w:rsidR="00AF7DB5" w:rsidRPr="006A0FB9" w:rsidRDefault="00AF7DB5" w:rsidP="00CB4678">
            <w:pPr>
              <w:keepLines/>
              <w:rPr>
                <w:rFonts w:cs="Times New Roman"/>
                <w:sz w:val="20"/>
                <w:szCs w:val="28"/>
              </w:rPr>
            </w:pPr>
            <w:r w:rsidRPr="006A0FB9">
              <w:rPr>
                <w:rFonts w:eastAsia="Times New Roman" w:cs="Times New Roman"/>
                <w:sz w:val="20"/>
                <w:szCs w:val="28"/>
              </w:rPr>
              <w:t>circumcision AND (“glans injury” OR “penile injury” OR “penile amputation” OR “glans amputation” OR “penile necrosis” OR iatrogenic OR complication)</w:t>
            </w:r>
          </w:p>
        </w:tc>
      </w:tr>
    </w:tbl>
    <w:p w14:paraId="7C8A353D" w14:textId="77777777" w:rsidR="00CB4678" w:rsidRPr="00CB4678" w:rsidRDefault="00CB4678" w:rsidP="00492CB3">
      <w:pPr>
        <w:keepNext/>
        <w:keepLines/>
        <w:spacing w:before="240" w:after="40" w:line="480" w:lineRule="auto"/>
        <w:jc w:val="both"/>
        <w:rPr>
          <w:rFonts w:cs="Times New Roman"/>
          <w:b/>
          <w:bCs/>
          <w:i/>
          <w:iCs/>
        </w:rPr>
      </w:pPr>
      <w:r w:rsidRPr="00CB4678">
        <w:rPr>
          <w:rFonts w:eastAsia="Times New Roman" w:cs="Times New Roman"/>
          <w:b/>
          <w:bCs/>
          <w:i/>
          <w:iCs/>
        </w:rPr>
        <w:t>Eligibility Criteria</w:t>
      </w:r>
    </w:p>
    <w:p w14:paraId="5D297326" w14:textId="77777777" w:rsidR="000225CB" w:rsidRPr="000225CB" w:rsidRDefault="000225CB" w:rsidP="000225CB">
      <w:pPr>
        <w:spacing w:after="0" w:line="480" w:lineRule="auto"/>
        <w:jc w:val="both"/>
        <w:rPr>
          <w:rFonts w:cs="Times New Roman"/>
        </w:rPr>
      </w:pPr>
      <w:r w:rsidRPr="000225CB">
        <w:rPr>
          <w:rFonts w:cs="Times New Roman"/>
        </w:rPr>
        <w:t>We included studies that reported cases of iatrogenic glans penis injury during and after circumcision. We only included case reports and case series as these study designs provide detailed clinical descriptions relevant to rare surgical complications. Studies had to contain sufficient clinical information including mechanism of</w:t>
      </w:r>
      <w:r w:rsidR="00FE7D47">
        <w:rPr>
          <w:rFonts w:cs="Times New Roman"/>
        </w:rPr>
        <w:t xml:space="preserve"> injury, management or outcomes</w:t>
      </w:r>
      <w:r w:rsidRPr="000225CB">
        <w:rPr>
          <w:rFonts w:cs="Times New Roman"/>
        </w:rPr>
        <w:t>.</w:t>
      </w:r>
    </w:p>
    <w:p w14:paraId="1A335ABD" w14:textId="77777777" w:rsidR="00804EA7" w:rsidRDefault="00000000">
      <w:pPr>
        <w:spacing w:line="480" w:lineRule="auto"/>
      </w:pPr>
      <w:r>
        <w:t>Medicolegal evidence stream: In addition to the primary clinical evidence, seven publications that specifically addressed medicolegal aspects of circumcision-related penile injury were retained for contextual narrative synthesis. These sources included legal reviews, legal database analyses, and forensic studies addressing malpractice, negligence, scope of practice, informed consent, and professional liability. Their findings were synthesized separately from the clinical case-report and case-series evidence.</w:t>
      </w:r>
    </w:p>
    <w:p w14:paraId="3F2CC7A5" w14:textId="77777777" w:rsidR="000225CB" w:rsidRPr="000225CB" w:rsidRDefault="000225CB" w:rsidP="000225CB">
      <w:pPr>
        <w:spacing w:after="0" w:line="480" w:lineRule="auto"/>
        <w:jc w:val="both"/>
        <w:rPr>
          <w:rFonts w:cs="Times New Roman"/>
        </w:rPr>
      </w:pPr>
      <w:r>
        <w:t>Exclusion criteria included: injury not related to circumcision, non-iatrogenic trauma, and publication type (i.e. review article, editorial, commentary, conference abstract without full text data). No additional language restriction was applied when sufficient information was available for eligibility assessment and data extraction.</w:t>
      </w:r>
    </w:p>
    <w:p w14:paraId="33F3ED9E"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lastRenderedPageBreak/>
        <w:t>Study Selection</w:t>
      </w:r>
    </w:p>
    <w:p w14:paraId="2FEF96B9" w14:textId="77777777" w:rsidR="000225CB" w:rsidRPr="000225CB" w:rsidRDefault="000225CB" w:rsidP="000225CB">
      <w:pPr>
        <w:spacing w:after="0" w:line="480" w:lineRule="auto"/>
        <w:jc w:val="both"/>
        <w:rPr>
          <w:rFonts w:cs="Times New Roman"/>
        </w:rPr>
      </w:pPr>
      <w:r w:rsidRPr="000225CB">
        <w:rPr>
          <w:rFonts w:cs="Times New Roman"/>
        </w:rPr>
        <w:t>All records identified by database searching were imported into a reference management program and duplicates were deleted. Potentially relevant studies were identified by two reviewers, who independently screened titles and abstracts. Selected records were obtained for full text articles and eligibility was assessed.</w:t>
      </w:r>
    </w:p>
    <w:p w14:paraId="15760642" w14:textId="77777777" w:rsidR="00804EA7" w:rsidRDefault="00000000">
      <w:pPr>
        <w:spacing w:line="480" w:lineRule="auto"/>
      </w:pPr>
      <w:r>
        <w:t>Automation-assisted exclusions: Before title and abstract screening, 80 records were marked as ineligible during the preliminary eligibility-filtering stage, as shown in the PRISMA 2020 flow diagram. These records were excluded before the formal screening of the remaining 289 records.</w:t>
      </w:r>
    </w:p>
    <w:p w14:paraId="6BDADDA7" w14:textId="77777777" w:rsidR="000225CB" w:rsidRPr="000225CB" w:rsidRDefault="000225CB" w:rsidP="000225CB">
      <w:pPr>
        <w:spacing w:after="0" w:line="480" w:lineRule="auto"/>
        <w:jc w:val="both"/>
        <w:rPr>
          <w:rFonts w:cs="Times New Roman"/>
        </w:rPr>
      </w:pPr>
      <w:r w:rsidRPr="000225CB">
        <w:rPr>
          <w:rFonts w:cs="Times New Roman"/>
        </w:rPr>
        <w:t>Disagreements between reviewers were resolved by discussion and involvement of a third reviewer where needed to reach consensus.</w:t>
      </w:r>
    </w:p>
    <w:p w14:paraId="46763B0A" w14:textId="77777777" w:rsidR="00CB4678" w:rsidRPr="00CB4678" w:rsidRDefault="00CB4678" w:rsidP="00CB4678">
      <w:pPr>
        <w:spacing w:after="0" w:line="480" w:lineRule="auto"/>
        <w:jc w:val="both"/>
        <w:rPr>
          <w:rFonts w:cs="Times New Roman"/>
        </w:rPr>
      </w:pPr>
    </w:p>
    <w:p w14:paraId="40C3D3B6"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Extraction</w:t>
      </w:r>
    </w:p>
    <w:p w14:paraId="339DC83B" w14:textId="77777777" w:rsidR="00B41741" w:rsidRPr="00B41741" w:rsidRDefault="00261AAA" w:rsidP="00B41741">
      <w:pPr>
        <w:spacing w:after="0" w:line="480" w:lineRule="auto"/>
        <w:jc w:val="both"/>
        <w:rPr>
          <w:rFonts w:cs="Times New Roman"/>
        </w:rPr>
      </w:pPr>
      <w:r>
        <w:rPr>
          <w:rFonts w:cs="Times New Roman"/>
        </w:rPr>
        <w:t>Data extraction t</w:t>
      </w:r>
      <w:r w:rsidR="00B41741" w:rsidRPr="00B41741">
        <w:rPr>
          <w:rFonts w:cs="Times New Roman"/>
        </w:rPr>
        <w:t>wo reviewers independently performed data extraction using a standardized, pre-piloted data extraction form in Microsoft Excel. Extracted data were: study characteristics (author, year of publication, country and design), patient demographics (age and clinical context), clinical characteristics (type and severity of injury), mechanisms of injury, risk factors (including operator type and surgical technique), management approaches, clinical outcomes and reported medicolegal aspects.</w:t>
      </w:r>
      <w:r w:rsidR="00DC35DC">
        <w:rPr>
          <w:rFonts w:cs="Times New Roman"/>
        </w:rPr>
        <w:t xml:space="preserve"> </w:t>
      </w:r>
      <w:r w:rsidR="00B41741" w:rsidRPr="00B41741">
        <w:rPr>
          <w:rFonts w:cs="Times New Roman"/>
        </w:rPr>
        <w:t>A third reviewer independently double-checked the extracted data for accuracy and consistency.</w:t>
      </w:r>
    </w:p>
    <w:p w14:paraId="4717547A"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Data Synthesis</w:t>
      </w:r>
    </w:p>
    <w:p w14:paraId="6510AC60" w14:textId="77777777" w:rsidR="00DC35DC" w:rsidRPr="00DC35DC" w:rsidRDefault="00DC35DC" w:rsidP="00DC35DC">
      <w:pPr>
        <w:spacing w:after="0" w:line="480" w:lineRule="auto"/>
        <w:jc w:val="both"/>
        <w:rPr>
          <w:rFonts w:cs="Times New Roman"/>
        </w:rPr>
      </w:pPr>
      <w:r w:rsidRPr="00DC35DC">
        <w:rPr>
          <w:rFonts w:cs="Times New Roman"/>
        </w:rPr>
        <w:t xml:space="preserve">The descriptive nature of case reports and case series did not allow quantitative meta-analysis. </w:t>
      </w:r>
      <w:proofErr w:type="gramStart"/>
      <w:r w:rsidRPr="00DC35DC">
        <w:rPr>
          <w:rFonts w:cs="Times New Roman"/>
        </w:rPr>
        <w:t>So</w:t>
      </w:r>
      <w:proofErr w:type="gramEnd"/>
      <w:r w:rsidRPr="00DC35DC">
        <w:rPr>
          <w:rFonts w:cs="Times New Roman"/>
        </w:rPr>
        <w:t xml:space="preserve"> a method of narrative synthesis was employed. The results were classified into four broad groups: </w:t>
      </w:r>
      <w:r w:rsidRPr="00DC35DC">
        <w:rPr>
          <w:rFonts w:cs="Times New Roman"/>
        </w:rPr>
        <w:lastRenderedPageBreak/>
        <w:t>clinical spectrum of injury, mechanisms and risk factors, management and outcomes, and medicolegal aspects.</w:t>
      </w:r>
    </w:p>
    <w:p w14:paraId="4BB1D9D5" w14:textId="77777777" w:rsidR="00CB4678" w:rsidRPr="00CB4678" w:rsidRDefault="00CB4678" w:rsidP="00CB4678">
      <w:pPr>
        <w:keepNext/>
        <w:keepLines/>
        <w:spacing w:before="120" w:after="40" w:line="480" w:lineRule="auto"/>
        <w:jc w:val="both"/>
        <w:rPr>
          <w:rFonts w:cs="Times New Roman"/>
          <w:b/>
          <w:bCs/>
          <w:i/>
          <w:iCs/>
        </w:rPr>
      </w:pPr>
      <w:r w:rsidRPr="00CB4678">
        <w:rPr>
          <w:rFonts w:eastAsia="Times New Roman" w:cs="Times New Roman"/>
          <w:b/>
          <w:bCs/>
          <w:i/>
          <w:iCs/>
        </w:rPr>
        <w:t>Quality Assessment</w:t>
      </w:r>
    </w:p>
    <w:p w14:paraId="00FE9CFF" w14:textId="77777777" w:rsidR="00A612D0" w:rsidRDefault="000E1CA1" w:rsidP="004B53F6">
      <w:pPr>
        <w:spacing w:after="0" w:line="480" w:lineRule="auto"/>
        <w:jc w:val="both"/>
        <w:rPr>
          <w:rFonts w:cs="Times New Roman"/>
        </w:rPr>
      </w:pPr>
      <w:r w:rsidRPr="000E1CA1">
        <w:rPr>
          <w:rFonts w:cs="Times New Roman"/>
        </w:rPr>
        <w:t>The methodological quality of the included studies was evaluated using the Joanna Briggs Institute (JBI) Critical Appraisal Checklist f</w:t>
      </w:r>
      <w:r w:rsidR="004A16BD">
        <w:rPr>
          <w:rFonts w:cs="Times New Roman"/>
        </w:rPr>
        <w:t>or Case Reports and Case Series</w:t>
      </w:r>
      <w:r w:rsidRPr="000E1CA1">
        <w:rPr>
          <w:rFonts w:cs="Times New Roman"/>
        </w:rPr>
        <w:t>. Two reviewers independently reviewed each study and disagreements were resolved by discussion. The findings of the quality assessment were summarized to give an overall evaluation of the included evidence.</w:t>
      </w:r>
    </w:p>
    <w:p w14:paraId="42D9833B" w14:textId="77777777" w:rsidR="004B53F6" w:rsidRPr="004B53F6" w:rsidRDefault="004B53F6" w:rsidP="004B53F6">
      <w:pPr>
        <w:spacing w:after="0" w:line="480" w:lineRule="auto"/>
        <w:jc w:val="both"/>
        <w:rPr>
          <w:rFonts w:cs="Times New Roman"/>
        </w:rPr>
      </w:pPr>
    </w:p>
    <w:p w14:paraId="2D8C48CD" w14:textId="77777777" w:rsidR="003C4870" w:rsidRDefault="003C4870" w:rsidP="0065179B">
      <w:pPr>
        <w:keepNext/>
        <w:keepLines/>
        <w:spacing w:before="160" w:after="80" w:line="480" w:lineRule="auto"/>
        <w:rPr>
          <w:rFonts w:cs="Times New Roman"/>
          <w:b/>
          <w:bCs/>
        </w:rPr>
      </w:pPr>
      <w:r w:rsidRPr="00AD1C8B">
        <w:rPr>
          <w:rFonts w:eastAsia="Times New Roman" w:cs="Times New Roman"/>
          <w:b/>
          <w:bCs/>
        </w:rPr>
        <w:t>RESULT</w:t>
      </w:r>
      <w:r w:rsidR="00AD1C8B" w:rsidRPr="00AD1C8B">
        <w:rPr>
          <w:rFonts w:eastAsia="Times New Roman" w:cs="Times New Roman"/>
          <w:b/>
          <w:bCs/>
        </w:rPr>
        <w:t xml:space="preserve"> AND DISCUSSION</w:t>
      </w:r>
    </w:p>
    <w:p w14:paraId="79D1A1A8" w14:textId="77777777" w:rsidR="0098011A" w:rsidRPr="0098011A" w:rsidRDefault="0098011A" w:rsidP="0098011A">
      <w:pPr>
        <w:spacing w:after="0" w:line="480" w:lineRule="auto"/>
        <w:ind w:firstLine="630"/>
        <w:jc w:val="both"/>
        <w:rPr>
          <w:rFonts w:cs="Times New Roman"/>
        </w:rPr>
      </w:pPr>
      <w:r w:rsidRPr="0098011A">
        <w:rPr>
          <w:rFonts w:cs="Times New Roman"/>
        </w:rPr>
        <w:t>A total of 417 records were identified through database searching across PubMed, ScienceDirect, Cochrane Library, Wiley Online Library, ProQuest, and JSTOR. After removal of duplicates, 289 records remained for title and abstract screening.</w:t>
      </w:r>
    </w:p>
    <w:p w14:paraId="7A33AB48" w14:textId="77777777" w:rsidR="0098011A" w:rsidRPr="0098011A" w:rsidRDefault="0098011A" w:rsidP="0098011A">
      <w:pPr>
        <w:spacing w:after="0" w:line="480" w:lineRule="auto"/>
        <w:ind w:firstLine="630"/>
        <w:jc w:val="both"/>
        <w:rPr>
          <w:rFonts w:cs="Times New Roman"/>
        </w:rPr>
      </w:pPr>
      <w:r w:rsidRPr="0098011A">
        <w:rPr>
          <w:rFonts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14:paraId="2B3ECFBC" w14:textId="77777777" w:rsidR="0098011A" w:rsidRPr="0098011A" w:rsidRDefault="0098011A" w:rsidP="0098011A">
      <w:pPr>
        <w:spacing w:after="0" w:line="480" w:lineRule="auto"/>
        <w:ind w:firstLine="630"/>
        <w:jc w:val="both"/>
        <w:rPr>
          <w:rFonts w:cs="Times New Roman"/>
        </w:rPr>
      </w:pPr>
      <w:r w:rsidRPr="0098011A">
        <w:rPr>
          <w:rFonts w:cs="Times New Roman"/>
        </w:rPr>
        <w:t>Of these, 31 articles were excluded for specific reasons, including injuries Unspecified glans injury (n= 19), studies not related to circumcision (n = 8), and insufficient clinical detail (n = 4).</w:t>
      </w:r>
    </w:p>
    <w:p w14:paraId="23B42C66" w14:textId="303B66D5" w:rsidR="008A4369" w:rsidRPr="00FA4AFC" w:rsidRDefault="0098011A" w:rsidP="00EA148C">
      <w:pPr>
        <w:spacing w:after="0" w:line="480" w:lineRule="auto"/>
        <w:ind w:firstLine="630"/>
        <w:jc w:val="both"/>
        <w:rPr>
          <w:rFonts w:cs="Times New Roman"/>
        </w:rPr>
      </w:pPr>
      <w:r w:rsidRPr="0098011A">
        <w:rPr>
          <w:rFonts w:cs="Times New Roman"/>
        </w:rPr>
        <w:t xml:space="preserve">Ultimately, 27 studies were included in the qualitative synthesis. Among these, 20 studies met the criteria for inclusion in the primary clinical analysis, while the remaining 7 studies contributed contextual and medicolegal insights. The study selection process is illustrated in the </w:t>
      </w:r>
    </w:p>
    <w:p w14:paraId="32D4C168" w14:textId="6E319A9F" w:rsidR="009E169F" w:rsidRPr="009E169F" w:rsidRDefault="009E169F" w:rsidP="009E169F">
      <w:pPr>
        <w:keepNext/>
        <w:keepLines/>
        <w:pageBreakBefore/>
        <w:tabs>
          <w:tab w:val="center" w:pos="4703"/>
        </w:tabs>
        <w:spacing w:after="8900" w:line="480" w:lineRule="auto"/>
      </w:pPr>
      <w:r>
        <w:rPr>
          <w:rFonts w:cs="Times New Roman"/>
          <w:bCs/>
          <w:i/>
          <w:iCs/>
          <w:noProof/>
        </w:rPr>
        <w:lastRenderedPageBreak/>
        <w:pict w14:anchorId="0D848113">
          <v:group id="Group 1" o:spid="_x0000_s1026" style="position:absolute;margin-left:-36.9pt;margin-top:57.45pt;width:549.95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mso-next-textbox:#Flowchart: Alternate Process 3">
                <w:txbxContent>
                  <w:p w14:paraId="0982880C"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Included</w:t>
                    </w:r>
                  </w:p>
                </w:txbxContent>
              </v:textbox>
            </v:shape>
            <v:rect id="Rectangle 23" o:spid="_x0000_s1028" style="position:absolute;left:5753;top:3867;width:19977;height:114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style="mso-next-textbox:#Rectangle 23">
                <w:txbxContent>
                  <w:p w14:paraId="6643967D" w14:textId="77777777" w:rsidR="00E67BEA" w:rsidRPr="00FD39C6" w:rsidRDefault="00E67BEA" w:rsidP="00FD39C6">
                    <w:pPr>
                      <w:spacing w:after="0" w:line="240" w:lineRule="auto"/>
                      <w:rPr>
                        <w:rFonts w:cs="Times New Roman"/>
                        <w:color w:val="000000"/>
                        <w:sz w:val="16"/>
                        <w:szCs w:val="16"/>
                      </w:rPr>
                    </w:pPr>
                    <w:r w:rsidRPr="00FD39C6">
                      <w:rPr>
                        <w:rFonts w:cs="Times New Roman"/>
                        <w:color w:val="000000"/>
                        <w:sz w:val="16"/>
                        <w:szCs w:val="16"/>
                      </w:rPr>
                      <w:t>Records identified from*:</w:t>
                    </w:r>
                  </w:p>
                  <w:p w14:paraId="49F117BF"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PubMed (n= 1</w:t>
                    </w:r>
                    <w:r>
                      <w:rPr>
                        <w:rFonts w:cs="Times New Roman"/>
                        <w:color w:val="000000"/>
                        <w:sz w:val="16"/>
                        <w:szCs w:val="16"/>
                      </w:rPr>
                      <w:t>12</w:t>
                    </w:r>
                    <w:r w:rsidRPr="00FD39C6">
                      <w:rPr>
                        <w:rFonts w:cs="Times New Roman"/>
                        <w:color w:val="000000"/>
                        <w:sz w:val="16"/>
                        <w:szCs w:val="16"/>
                      </w:rPr>
                      <w:t>)</w:t>
                    </w:r>
                  </w:p>
                  <w:p w14:paraId="4128C82A"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 xml:space="preserve">Sciencedirect (n= </w:t>
                    </w:r>
                    <w:r>
                      <w:rPr>
                        <w:rFonts w:cs="Times New Roman"/>
                        <w:color w:val="000000"/>
                        <w:sz w:val="16"/>
                        <w:szCs w:val="16"/>
                      </w:rPr>
                      <w:t>95</w:t>
                    </w:r>
                    <w:r w:rsidRPr="00FD39C6">
                      <w:rPr>
                        <w:rFonts w:cs="Times New Roman"/>
                        <w:color w:val="000000"/>
                        <w:sz w:val="16"/>
                        <w:szCs w:val="16"/>
                      </w:rPr>
                      <w:t>)</w:t>
                    </w:r>
                  </w:p>
                  <w:p w14:paraId="5493BB90"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Cochrane Library</w:t>
                    </w:r>
                    <w:r>
                      <w:rPr>
                        <w:rFonts w:cs="Times New Roman"/>
                        <w:color w:val="000000"/>
                        <w:sz w:val="16"/>
                        <w:szCs w:val="16"/>
                      </w:rPr>
                      <w:t xml:space="preserve"> </w:t>
                    </w:r>
                    <w:r w:rsidRPr="00FD39C6">
                      <w:rPr>
                        <w:rFonts w:cs="Times New Roman"/>
                        <w:color w:val="000000"/>
                        <w:sz w:val="16"/>
                        <w:szCs w:val="16"/>
                      </w:rPr>
                      <w:t>(n= 1</w:t>
                    </w:r>
                    <w:r>
                      <w:rPr>
                        <w:rFonts w:cs="Times New Roman"/>
                        <w:color w:val="000000"/>
                        <w:sz w:val="16"/>
                        <w:szCs w:val="16"/>
                      </w:rPr>
                      <w:t>8</w:t>
                    </w:r>
                    <w:r w:rsidRPr="00FD39C6">
                      <w:rPr>
                        <w:rFonts w:cs="Times New Roman"/>
                        <w:color w:val="000000"/>
                        <w:sz w:val="16"/>
                        <w:szCs w:val="16"/>
                      </w:rPr>
                      <w:t>)</w:t>
                    </w:r>
                  </w:p>
                  <w:p w14:paraId="428F6804"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Wiley Online Library</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64</w:t>
                    </w:r>
                    <w:r w:rsidRPr="00FD39C6">
                      <w:rPr>
                        <w:rFonts w:cs="Times New Roman"/>
                        <w:color w:val="000000"/>
                        <w:sz w:val="16"/>
                        <w:szCs w:val="16"/>
                      </w:rPr>
                      <w:t>)</w:t>
                    </w:r>
                  </w:p>
                  <w:p w14:paraId="12964017" w14:textId="77777777" w:rsidR="00E67BEA"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ProQuest</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87</w:t>
                    </w:r>
                    <w:r w:rsidRPr="00FD39C6">
                      <w:rPr>
                        <w:rFonts w:cs="Times New Roman"/>
                        <w:color w:val="000000"/>
                        <w:sz w:val="16"/>
                        <w:szCs w:val="16"/>
                      </w:rPr>
                      <w:t>)</w:t>
                    </w:r>
                  </w:p>
                  <w:p w14:paraId="292575A5" w14:textId="77777777" w:rsidR="00E67BEA" w:rsidRPr="00FD39C6" w:rsidRDefault="00E67BEA" w:rsidP="00FD39C6">
                    <w:pPr>
                      <w:spacing w:after="0" w:line="240" w:lineRule="auto"/>
                      <w:ind w:left="284"/>
                      <w:rPr>
                        <w:rFonts w:cs="Times New Roman"/>
                        <w:color w:val="000000"/>
                        <w:sz w:val="16"/>
                        <w:szCs w:val="16"/>
                      </w:rPr>
                    </w:pPr>
                    <w:r w:rsidRPr="00FD39C6">
                      <w:rPr>
                        <w:rFonts w:cs="Times New Roman"/>
                        <w:color w:val="000000"/>
                        <w:sz w:val="16"/>
                        <w:szCs w:val="16"/>
                      </w:rPr>
                      <w:t>JSTOR</w:t>
                    </w:r>
                    <w:r>
                      <w:rPr>
                        <w:rFonts w:cs="Times New Roman"/>
                        <w:color w:val="000000"/>
                        <w:sz w:val="16"/>
                        <w:szCs w:val="16"/>
                      </w:rPr>
                      <w:t xml:space="preserve"> </w:t>
                    </w:r>
                    <w:r w:rsidRPr="00FD39C6">
                      <w:rPr>
                        <w:rFonts w:cs="Times New Roman"/>
                        <w:color w:val="000000"/>
                        <w:sz w:val="16"/>
                        <w:szCs w:val="16"/>
                      </w:rPr>
                      <w:t xml:space="preserve">(n= </w:t>
                    </w:r>
                    <w:r>
                      <w:rPr>
                        <w:rFonts w:cs="Times New Roman"/>
                        <w:color w:val="000000"/>
                        <w:sz w:val="16"/>
                        <w:szCs w:val="16"/>
                      </w:rPr>
                      <w:t>41</w:t>
                    </w:r>
                    <w:r w:rsidRPr="00FD39C6">
                      <w:rPr>
                        <w:rFonts w:cs="Times New Roman"/>
                        <w:color w:val="000000"/>
                        <w:sz w:val="16"/>
                        <w:szCs w:val="16"/>
                      </w:rPr>
                      <w:t>)</w:t>
                    </w:r>
                  </w:p>
                  <w:p w14:paraId="1D1EF2C4" w14:textId="77777777" w:rsidR="00E67BEA" w:rsidRDefault="00E67BEA" w:rsidP="00EF3F4A">
                    <w:pPr>
                      <w:spacing w:after="0" w:line="240" w:lineRule="auto"/>
                      <w:ind w:left="284"/>
                      <w:rPr>
                        <w:rFonts w:cs="Times New Roman"/>
                        <w:color w:val="000000"/>
                        <w:sz w:val="16"/>
                        <w:szCs w:val="16"/>
                      </w:rPr>
                    </w:pPr>
                  </w:p>
                  <w:p w14:paraId="4754090B" w14:textId="77777777" w:rsidR="00E67BEA" w:rsidRPr="00FD39C6" w:rsidRDefault="00E67BEA" w:rsidP="00EF3F4A">
                    <w:pPr>
                      <w:spacing w:after="0" w:line="240" w:lineRule="auto"/>
                      <w:ind w:left="284"/>
                      <w:rPr>
                        <w:rFonts w:cs="Times New Roman"/>
                        <w:color w:val="000000"/>
                        <w:sz w:val="16"/>
                        <w:szCs w:val="16"/>
                      </w:rPr>
                    </w:pPr>
                    <w:r w:rsidRPr="00FD39C6">
                      <w:rPr>
                        <w:rFonts w:cs="Times New Roman"/>
                        <w:color w:val="000000"/>
                        <w:sz w:val="16"/>
                        <w:szCs w:val="16"/>
                      </w:rPr>
                      <w:t xml:space="preserve">N= </w:t>
                    </w:r>
                    <w:r>
                      <w:rPr>
                        <w:rFonts w:cs="Times New Roman"/>
                        <w:color w:val="000000"/>
                        <w:sz w:val="16"/>
                        <w:szCs w:val="16"/>
                      </w:rPr>
                      <w:t>417</w:t>
                    </w:r>
                  </w:p>
                </w:txbxContent>
              </v:textbox>
            </v:rect>
            <v:rect id="Rectangle 21" o:spid="_x0000_s1029" style="position:absolute;left:31959;top:5410;width:19971;height:9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style="mso-next-textbox:#Rectangle 21">
                <w:txbxContent>
                  <w:p w14:paraId="5786A773" w14:textId="77777777" w:rsidR="00E67BEA" w:rsidRPr="009C57E7" w:rsidRDefault="00E67BEA" w:rsidP="00103C5F">
                    <w:pPr>
                      <w:spacing w:after="0"/>
                      <w:rPr>
                        <w:rFonts w:cs="Times New Roman"/>
                        <w:color w:val="000000"/>
                        <w:sz w:val="18"/>
                        <w:szCs w:val="20"/>
                      </w:rPr>
                    </w:pPr>
                    <w:r w:rsidRPr="009C57E7">
                      <w:rPr>
                        <w:rFonts w:cs="Times New Roman"/>
                        <w:color w:val="000000"/>
                        <w:sz w:val="18"/>
                        <w:szCs w:val="20"/>
                      </w:rPr>
                      <w:t xml:space="preserve">Records removed </w:t>
                    </w:r>
                    <w:r w:rsidRPr="009C57E7">
                      <w:rPr>
                        <w:rFonts w:cs="Times New Roman"/>
                        <w:i/>
                        <w:iCs/>
                        <w:color w:val="000000"/>
                        <w:sz w:val="18"/>
                        <w:szCs w:val="20"/>
                      </w:rPr>
                      <w:t>before screening</w:t>
                    </w:r>
                    <w:r w:rsidRPr="009C57E7">
                      <w:rPr>
                        <w:rFonts w:cs="Times New Roman"/>
                        <w:color w:val="000000"/>
                        <w:sz w:val="18"/>
                        <w:szCs w:val="20"/>
                      </w:rPr>
                      <w:t>:</w:t>
                    </w:r>
                  </w:p>
                  <w:p w14:paraId="63D2CC9A"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Duplicate records removed (n = </w:t>
                    </w:r>
                    <w:r>
                      <w:rPr>
                        <w:rFonts w:cs="Times New Roman"/>
                        <w:color w:val="000000"/>
                        <w:sz w:val="18"/>
                        <w:szCs w:val="20"/>
                      </w:rPr>
                      <w:t>48</w:t>
                    </w:r>
                    <w:r w:rsidRPr="009C57E7">
                      <w:rPr>
                        <w:rFonts w:cs="Times New Roman"/>
                        <w:color w:val="000000"/>
                        <w:sz w:val="18"/>
                        <w:szCs w:val="20"/>
                      </w:rPr>
                      <w:t>)</w:t>
                    </w:r>
                  </w:p>
                  <w:p w14:paraId="29002A61" w14:textId="77777777" w:rsidR="00E67BEA" w:rsidRPr="009C57E7" w:rsidRDefault="00E67BEA" w:rsidP="00103C5F">
                    <w:pPr>
                      <w:spacing w:after="0"/>
                      <w:ind w:left="284"/>
                      <w:rPr>
                        <w:rFonts w:cs="Times New Roman"/>
                        <w:color w:val="000000"/>
                        <w:sz w:val="18"/>
                        <w:szCs w:val="20"/>
                      </w:rPr>
                    </w:pPr>
                    <w:r w:rsidRPr="009C57E7">
                      <w:rPr>
                        <w:rFonts w:cs="Times New Roman"/>
                        <w:color w:val="000000"/>
                        <w:sz w:val="18"/>
                        <w:szCs w:val="20"/>
                      </w:rPr>
                      <w:t xml:space="preserve">Records marked as ineligible by automation tools (n = </w:t>
                    </w:r>
                    <w:r>
                      <w:rPr>
                        <w:rFonts w:cs="Times New Roman"/>
                        <w:color w:val="000000"/>
                        <w:sz w:val="18"/>
                        <w:szCs w:val="20"/>
                      </w:rPr>
                      <w:t>80</w:t>
                    </w:r>
                    <w:r w:rsidRPr="009C57E7">
                      <w:rPr>
                        <w:rFonts w:cs="Times New Roman"/>
                        <w:color w:val="000000"/>
                        <w:sz w:val="18"/>
                        <w:szCs w:val="20"/>
                      </w:rPr>
                      <w:t>)</w:t>
                    </w:r>
                  </w:p>
                </w:txbxContent>
              </v:textbox>
            </v:rect>
            <v:rect id="Rectangle 16" o:spid="_x0000_s1030" style="position:absolute;left:5962;top:17519;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style="mso-next-textbox:#Rectangle 16">
                <w:txbxContent>
                  <w:p w14:paraId="29B28F21"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screened</w:t>
                    </w:r>
                  </w:p>
                  <w:p w14:paraId="4229BCBB"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289</w:t>
                    </w:r>
                    <w:r w:rsidRPr="009C57E7">
                      <w:rPr>
                        <w:rFonts w:cs="Times New Roman"/>
                        <w:color w:val="000000"/>
                        <w:sz w:val="20"/>
                        <w:szCs w:val="20"/>
                      </w:rPr>
                      <w:t>)</w:t>
                    </w:r>
                  </w:p>
                </w:txbxContent>
              </v:textbox>
            </v:rect>
            <v:rect id="Rectangle 17" o:spid="_x0000_s1031" style="position:absolute;left:32213;top:16484;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style="mso-next-textbox:#Rectangle 17">
                <w:txbxContent>
                  <w:p w14:paraId="0EF65064"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Records excluded**</w:t>
                    </w:r>
                  </w:p>
                  <w:p w14:paraId="1A76D011" w14:textId="77777777" w:rsidR="00E67BEA" w:rsidRPr="009C57E7" w:rsidRDefault="00E67BEA" w:rsidP="00103C5F">
                    <w:pPr>
                      <w:spacing w:after="0"/>
                      <w:rPr>
                        <w:rFonts w:cs="Times New Roman"/>
                        <w:color w:val="000000"/>
                        <w:sz w:val="20"/>
                        <w:szCs w:val="20"/>
                      </w:rPr>
                    </w:pPr>
                    <w:r w:rsidRPr="009C57E7">
                      <w:rPr>
                        <w:rFonts w:cs="Times New Roman"/>
                        <w:color w:val="000000"/>
                        <w:sz w:val="20"/>
                        <w:szCs w:val="20"/>
                      </w:rPr>
                      <w:t xml:space="preserve">(n = </w:t>
                    </w:r>
                    <w:r>
                      <w:rPr>
                        <w:rFonts w:cs="Times New Roman"/>
                        <w:color w:val="000000"/>
                        <w:sz w:val="20"/>
                        <w:szCs w:val="20"/>
                      </w:rPr>
                      <w:t>231</w:t>
                    </w:r>
                    <w:r w:rsidRPr="009C57E7">
                      <w:rPr>
                        <w:rFonts w:cs="Times New Roman"/>
                        <w:color w:val="000000"/>
                        <w:sz w:val="20"/>
                        <w:szCs w:val="20"/>
                      </w:rPr>
                      <w:t>)</w:t>
                    </w:r>
                  </w:p>
                </w:txbxContent>
              </v:textbox>
            </v:rect>
            <v:rect id="Rectangle 12" o:spid="_x0000_s1032" style="position:absolute;left:6140;top:24447;width:19971;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style="mso-next-textbox:#Rectangle 12">
                <w:txbxContent>
                  <w:p w14:paraId="630DFDE3"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sought for retrieval</w:t>
                    </w:r>
                  </w:p>
                  <w:p w14:paraId="2AD1E6A0"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 xml:space="preserve">(n = </w:t>
                    </w:r>
                    <w:r>
                      <w:rPr>
                        <w:rFonts w:cs="Times New Roman"/>
                        <w:color w:val="000000"/>
                        <w:sz w:val="20"/>
                        <w:szCs w:val="20"/>
                      </w:rPr>
                      <w:t>58</w:t>
                    </w:r>
                    <w:r w:rsidRPr="00F550AD">
                      <w:rPr>
                        <w:rFonts w:cs="Times New Roman"/>
                        <w:color w:val="000000"/>
                        <w:sz w:val="20"/>
                        <w:szCs w:val="20"/>
                      </w:rPr>
                      <w:t>)</w:t>
                    </w:r>
                  </w:p>
                </w:txbxContent>
              </v:textbox>
            </v:rect>
            <v:rect id="Rectangle 13" o:spid="_x0000_s1033" style="position:absolute;left:31794;top:25019;width:19977;height:46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style="mso-next-textbox:#Rectangle 13">
                <w:txbxContent>
                  <w:p w14:paraId="1CD9856A"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Reports not retrieved</w:t>
                    </w:r>
                  </w:p>
                  <w:p w14:paraId="5FE004E1" w14:textId="77777777" w:rsidR="00E67BEA" w:rsidRPr="00F550AD" w:rsidRDefault="00E67BEA" w:rsidP="00103C5F">
                    <w:pPr>
                      <w:spacing w:after="0"/>
                      <w:rPr>
                        <w:rFonts w:cs="Times New Roman"/>
                        <w:color w:val="000000"/>
                        <w:sz w:val="20"/>
                        <w:szCs w:val="20"/>
                      </w:rPr>
                    </w:pPr>
                    <w:r w:rsidRPr="00F550AD">
                      <w:rPr>
                        <w:rFonts w:cs="Times New Roman"/>
                        <w:color w:val="000000"/>
                        <w:sz w:val="20"/>
                        <w:szCs w:val="20"/>
                      </w:rPr>
                      <w:t>(n =</w:t>
                    </w:r>
                    <w:r>
                      <w:rPr>
                        <w:rFonts w:cs="Times New Roman"/>
                        <w:color w:val="000000"/>
                        <w:sz w:val="20"/>
                        <w:szCs w:val="20"/>
                      </w:rPr>
                      <w:t>0</w:t>
                    </w:r>
                    <w:r w:rsidRPr="00F550AD">
                      <w:rPr>
                        <w:rFonts w:cs="Times New Roman"/>
                        <w:color w:val="000000"/>
                        <w:sz w:val="20"/>
                        <w:szCs w:val="20"/>
                      </w:rPr>
                      <w:t>)</w:t>
                    </w:r>
                  </w:p>
                </w:txbxContent>
              </v:textbox>
            </v:rect>
            <v:rect id="Rectangle 7" o:spid="_x0000_s1034" style="position:absolute;left:4956;top:32569;width:19977;height:53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style="mso-next-textbox:#Rectangle 7">
                <w:txbxContent>
                  <w:p w14:paraId="0BEBFF1C" w14:textId="77777777" w:rsidR="00E67BEA" w:rsidRPr="008B67E8" w:rsidRDefault="00E67BEA" w:rsidP="00103C5F">
                    <w:pPr>
                      <w:rPr>
                        <w:rFonts w:cs="Times New Roman"/>
                        <w:color w:val="000000"/>
                        <w:sz w:val="20"/>
                        <w:szCs w:val="20"/>
                      </w:rPr>
                    </w:pPr>
                    <w:r w:rsidRPr="008B67E8">
                      <w:rPr>
                        <w:rFonts w:cs="Times New Roman"/>
                        <w:color w:val="000000"/>
                        <w:sz w:val="20"/>
                        <w:szCs w:val="20"/>
                      </w:rPr>
                      <w:t>Reports assessed for eligibility</w:t>
                    </w:r>
                  </w:p>
                  <w:p w14:paraId="77A69F6C" w14:textId="77777777" w:rsidR="00E67BEA" w:rsidRPr="0017358C" w:rsidRDefault="00E67BEA" w:rsidP="00103C5F">
                    <w:pPr>
                      <w:rPr>
                        <w:rFonts w:ascii="Arial" w:hAnsi="Arial" w:cs="Arial"/>
                        <w:color w:val="000000"/>
                        <w:sz w:val="18"/>
                        <w:szCs w:val="20"/>
                      </w:rPr>
                    </w:pPr>
                    <w:r w:rsidRPr="0017358C">
                      <w:rPr>
                        <w:rFonts w:ascii="Arial" w:hAnsi="Arial" w:cs="Arial"/>
                        <w:color w:val="000000"/>
                        <w:sz w:val="18"/>
                        <w:szCs w:val="20"/>
                      </w:rPr>
                      <w:t xml:space="preserve">(n = </w:t>
                    </w:r>
                    <w:r>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style="mso-next-textbox:#Rectangle 8">
                <w:txbxContent>
                  <w:p w14:paraId="5FF0241F"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excluded:</w:t>
                    </w:r>
                  </w:p>
                  <w:p w14:paraId="1AA6943A"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Unspecified glans injury (n= 19)</w:t>
                    </w:r>
                  </w:p>
                  <w:p w14:paraId="03913C2E" w14:textId="77777777" w:rsidR="00E67BEA" w:rsidRDefault="00E67BEA" w:rsidP="00103C5F">
                    <w:pPr>
                      <w:spacing w:line="240" w:lineRule="auto"/>
                      <w:ind w:left="284"/>
                      <w:rPr>
                        <w:rFonts w:cs="Times New Roman"/>
                        <w:color w:val="000000"/>
                        <w:sz w:val="20"/>
                        <w:szCs w:val="20"/>
                      </w:rPr>
                    </w:pPr>
                    <w:r>
                      <w:rPr>
                        <w:rFonts w:cs="Times New Roman"/>
                        <w:color w:val="000000"/>
                        <w:sz w:val="20"/>
                        <w:szCs w:val="20"/>
                      </w:rPr>
                      <w:t>Not related to Circumcision (n=8)</w:t>
                    </w:r>
                  </w:p>
                  <w:p w14:paraId="75BE72A5" w14:textId="77777777" w:rsidR="00E67BEA" w:rsidRPr="008B67E8" w:rsidRDefault="00E67BEA" w:rsidP="00103C5F">
                    <w:pPr>
                      <w:spacing w:line="240" w:lineRule="auto"/>
                      <w:ind w:left="284"/>
                      <w:rPr>
                        <w:rFonts w:cs="Times New Roman"/>
                        <w:color w:val="000000"/>
                        <w:sz w:val="20"/>
                        <w:szCs w:val="20"/>
                      </w:rPr>
                    </w:pPr>
                    <w:r w:rsidRPr="00643ECB">
                      <w:rPr>
                        <w:rFonts w:cs="Times New Roman"/>
                        <w:color w:val="000000"/>
                        <w:sz w:val="20"/>
                        <w:szCs w:val="20"/>
                      </w:rPr>
                      <w:t>Insufficient clinical data</w:t>
                    </w:r>
                    <w:r>
                      <w:rPr>
                        <w:rFonts w:cs="Times New Roman"/>
                        <w:color w:val="000000"/>
                        <w:sz w:val="20"/>
                        <w:szCs w:val="20"/>
                      </w:rPr>
                      <w:t xml:space="preserve"> (n=4)</w:t>
                    </w:r>
                  </w:p>
                  <w:p w14:paraId="26411E27" w14:textId="77777777" w:rsidR="00E67BEA" w:rsidRPr="0017358C" w:rsidRDefault="00E67BEA" w:rsidP="00103C5F">
                    <w:pPr>
                      <w:rPr>
                        <w:rFonts w:ascii="Arial" w:hAnsi="Arial" w:cs="Arial"/>
                        <w:color w:val="000000"/>
                        <w:sz w:val="18"/>
                        <w:szCs w:val="20"/>
                      </w:rPr>
                    </w:pPr>
                  </w:p>
                </w:txbxContent>
              </v:textbox>
            </v:rect>
            <v:rect id="Rectangle 5" o:spid="_x0000_s1036" style="position:absolute;left:6140;top:40052;width:19977;height:66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style="mso-next-textbox:#Rectangle 5">
                <w:txbxContent>
                  <w:p w14:paraId="3146078B"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New studies included in review</w:t>
                    </w:r>
                  </w:p>
                  <w:p w14:paraId="669C31FD"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p w14:paraId="1136B697" w14:textId="77777777" w:rsidR="00E67BEA" w:rsidRPr="008B67E8" w:rsidRDefault="00E67BEA" w:rsidP="00103C5F">
                    <w:pPr>
                      <w:spacing w:after="0" w:line="240" w:lineRule="auto"/>
                      <w:rPr>
                        <w:rFonts w:cs="Times New Roman"/>
                        <w:color w:val="000000"/>
                        <w:sz w:val="20"/>
                        <w:szCs w:val="20"/>
                      </w:rPr>
                    </w:pPr>
                    <w:r w:rsidRPr="008B67E8">
                      <w:rPr>
                        <w:rFonts w:cs="Times New Roman"/>
                        <w:color w:val="000000"/>
                        <w:sz w:val="20"/>
                        <w:szCs w:val="20"/>
                      </w:rPr>
                      <w:t>Reports of new included studies</w:t>
                    </w:r>
                  </w:p>
                  <w:p w14:paraId="7B07861C" w14:textId="77777777" w:rsidR="00E67BEA" w:rsidRPr="008B67E8" w:rsidRDefault="00E67BEA" w:rsidP="00103C5F">
                    <w:pPr>
                      <w:spacing w:line="240" w:lineRule="auto"/>
                      <w:rPr>
                        <w:rFonts w:cs="Times New Roman"/>
                        <w:color w:val="000000"/>
                        <w:sz w:val="20"/>
                        <w:szCs w:val="20"/>
                      </w:rPr>
                    </w:pPr>
                    <w:r w:rsidRPr="008B67E8">
                      <w:rPr>
                        <w:rFonts w:cs="Times New Roman"/>
                        <w:color w:val="000000"/>
                        <w:sz w:val="20"/>
                        <w:szCs w:val="20"/>
                      </w:rPr>
                      <w:t xml:space="preserve">(n = </w:t>
                    </w:r>
                    <w:r>
                      <w:rPr>
                        <w:rFonts w:cs="Times New Roman"/>
                        <w:color w:val="000000"/>
                        <w:sz w:val="20"/>
                        <w:szCs w:val="20"/>
                      </w:rPr>
                      <w:t>27</w:t>
                    </w:r>
                    <w:r w:rsidRPr="008B67E8">
                      <w:rPr>
                        <w:rFonts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style="mso-next-textbox:#Flowchart: Alternate Process 24">
                <w:txbxContent>
                  <w:p w14:paraId="1D1E45E6" w14:textId="77777777" w:rsidR="00E67BEA" w:rsidRPr="008B67E8" w:rsidRDefault="00E67BEA" w:rsidP="00103C5F">
                    <w:pPr>
                      <w:jc w:val="center"/>
                      <w:rPr>
                        <w:rFonts w:cs="Times New Roman"/>
                        <w:b/>
                        <w:color w:val="000000"/>
                        <w:sz w:val="20"/>
                        <w:szCs w:val="20"/>
                      </w:rPr>
                    </w:pPr>
                    <w:r w:rsidRPr="008B67E8">
                      <w:rPr>
                        <w:rFonts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mso-next-textbox:#Flowchart: Alternate Process 22">
                <w:txbxContent>
                  <w:p w14:paraId="2FF3C64A" w14:textId="77777777" w:rsidR="00E67BEA" w:rsidRPr="009930A3" w:rsidRDefault="00E67BEA" w:rsidP="00103C5F">
                    <w:pPr>
                      <w:spacing w:after="0"/>
                      <w:jc w:val="center"/>
                      <w:rPr>
                        <w:rFonts w:cs="Times New Roman"/>
                        <w:b/>
                        <w:color w:val="000000"/>
                      </w:rPr>
                    </w:pPr>
                    <w:r w:rsidRPr="009930A3">
                      <w:rPr>
                        <w:rFonts w:cs="Times New Roman"/>
                        <w:b/>
                        <w:color w:val="000000"/>
                      </w:rPr>
                      <w:t>Identification</w:t>
                    </w:r>
                  </w:p>
                </w:txbxContent>
              </v:textbox>
            </v:shape>
            <v:shape id="Flowchart: Alternate Process 18" o:spid="_x0000_s1043" type="#_x0000_t176" style="position:absolute;left:-3248;top:20322;width:9550;height:2915;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mso-next-textbox:#Flowchart: Alternate Process 18">
                <w:txbxContent>
                  <w:p w14:paraId="59431A0F" w14:textId="77777777" w:rsidR="00E67BEA" w:rsidRPr="009930A3" w:rsidRDefault="00E67BEA" w:rsidP="00103C5F">
                    <w:pPr>
                      <w:spacing w:after="0" w:line="240" w:lineRule="auto"/>
                      <w:jc w:val="center"/>
                      <w:rPr>
                        <w:rFonts w:cs="Times New Roman"/>
                        <w:b/>
                        <w:color w:val="000000"/>
                      </w:rPr>
                    </w:pPr>
                    <w:r w:rsidRPr="009930A3">
                      <w:rPr>
                        <w:rFonts w:cs="Times New Roman"/>
                        <w:b/>
                        <w:color w:val="000000"/>
                      </w:rPr>
                      <w:t>Screening</w:t>
                    </w:r>
                  </w:p>
                  <w:p w14:paraId="7E4BA2E3" w14:textId="77777777" w:rsidR="00E67BEA" w:rsidRPr="0017358C" w:rsidRDefault="00E67BEA"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style="mso-next-textbox:#Rectangle 1">
                <w:txbxContent>
                  <w:p w14:paraId="53D4D79C"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Total studies included in review</w:t>
                    </w:r>
                  </w:p>
                  <w:p w14:paraId="276053CA"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p w14:paraId="357B373D" w14:textId="77777777" w:rsidR="00E67BEA" w:rsidRPr="00E12104" w:rsidRDefault="00E67BEA" w:rsidP="00103C5F">
                    <w:pPr>
                      <w:spacing w:after="0"/>
                      <w:rPr>
                        <w:rFonts w:cs="Times New Roman"/>
                        <w:color w:val="000000"/>
                        <w:sz w:val="20"/>
                        <w:szCs w:val="20"/>
                      </w:rPr>
                    </w:pPr>
                    <w:r w:rsidRPr="00E12104">
                      <w:rPr>
                        <w:rFonts w:cs="Times New Roman"/>
                        <w:color w:val="000000"/>
                        <w:sz w:val="20"/>
                        <w:szCs w:val="20"/>
                      </w:rPr>
                      <w:t>Reports of total included studies</w:t>
                    </w:r>
                  </w:p>
                  <w:p w14:paraId="5302E43E" w14:textId="77777777" w:rsidR="00E67BEA" w:rsidRPr="00E12104" w:rsidRDefault="00E67BEA" w:rsidP="00103C5F">
                    <w:pPr>
                      <w:rPr>
                        <w:rFonts w:cs="Times New Roman"/>
                        <w:color w:val="000000"/>
                        <w:sz w:val="20"/>
                        <w:szCs w:val="20"/>
                      </w:rPr>
                    </w:pPr>
                    <w:r w:rsidRPr="00E12104">
                      <w:rPr>
                        <w:rFonts w:cs="Times New Roman"/>
                        <w:color w:val="000000"/>
                        <w:sz w:val="20"/>
                        <w:szCs w:val="20"/>
                      </w:rPr>
                      <w:t xml:space="preserve">(n = </w:t>
                    </w:r>
                    <w:r>
                      <w:rPr>
                        <w:rFonts w:cs="Times New Roman"/>
                        <w:color w:val="000000"/>
                        <w:sz w:val="20"/>
                        <w:szCs w:val="20"/>
                      </w:rPr>
                      <w:t>27</w:t>
                    </w:r>
                    <w:r w:rsidRPr="00E12104">
                      <w:rPr>
                        <w:rFonts w:cs="Times New Roman"/>
                        <w:color w:val="000000"/>
                        <w:sz w:val="20"/>
                        <w:szCs w:val="20"/>
                      </w:rPr>
                      <w:t>)</w:t>
                    </w:r>
                  </w:p>
                </w:txbxContent>
              </v:textbox>
            </v:rect>
            <v:shape id="Straight Arrow Connector 4" o:spid="_x0000_s1048" type="#_x0000_t32" style="position:absolute;left:14960;top:38503;width:89;height:154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mso-next-textbox:#Flowchart: Alternate Process 11">
                <w:txbxContent>
                  <w:p w14:paraId="29CE7A29" w14:textId="77777777" w:rsidR="00E67BEA" w:rsidRPr="009930A3" w:rsidRDefault="00E67BEA" w:rsidP="00103C5F">
                    <w:pPr>
                      <w:spacing w:after="0" w:line="240" w:lineRule="auto"/>
                      <w:jc w:val="center"/>
                      <w:rPr>
                        <w:rFonts w:cs="Times New Roman"/>
                        <w:b/>
                        <w:color w:val="000000"/>
                      </w:rPr>
                    </w:pPr>
                    <w:r>
                      <w:rPr>
                        <w:rFonts w:cs="Times New Roman"/>
                        <w:b/>
                        <w:color w:val="000000"/>
                      </w:rPr>
                      <w:t>Eligibility</w:t>
                    </w:r>
                  </w:p>
                  <w:p w14:paraId="7131506E" w14:textId="77777777" w:rsidR="00E67BEA" w:rsidRPr="0017358C" w:rsidRDefault="00E67BEA" w:rsidP="00103C5F">
                    <w:pPr>
                      <w:spacing w:after="0"/>
                      <w:rPr>
                        <w:rFonts w:ascii="Arial" w:hAnsi="Arial" w:cs="Arial"/>
                        <w:b/>
                        <w:color w:val="000000"/>
                        <w:sz w:val="18"/>
                        <w:szCs w:val="18"/>
                      </w:rPr>
                    </w:pPr>
                  </w:p>
                </w:txbxContent>
              </v:textbox>
            </v:shape>
          </v:group>
        </w:pict>
      </w:r>
      <w:r w:rsidRPr="0098011A">
        <w:rPr>
          <w:rFonts w:cs="Times New Roman"/>
        </w:rPr>
        <w:t>PRISMA 2020 flow diagram (Figure 1).</w:t>
      </w:r>
      <w:r>
        <w:t xml:space="preserve"> </w:t>
      </w:r>
      <w:r>
        <w:rPr>
          <w:rFonts w:eastAsia="Times New Roman"/>
        </w:rPr>
        <w:t>The characteristics of the clinical studies included in the primary analysis are summarized in Table 2.</w:t>
      </w:r>
      <w:r>
        <w:tab/>
      </w:r>
    </w:p>
    <w:p w14:paraId="01DEEEF2" w14:textId="1DC1E757" w:rsidR="00A612D0" w:rsidRPr="00103C5F" w:rsidRDefault="00103C5F" w:rsidP="009E169F">
      <w:pPr>
        <w:keepLines/>
        <w:spacing w:before="240" w:after="120" w:line="240" w:lineRule="auto"/>
        <w:jc w:val="center"/>
        <w:rPr>
          <w:rFonts w:cs="Times New Roman"/>
        </w:rPr>
        <w:sectPr w:rsidR="00A612D0" w:rsidRPr="00103C5F" w:rsidSect="00984952">
          <w:footerReference w:type="default" r:id="rId8"/>
          <w:pgSz w:w="12240" w:h="15840"/>
          <w:pgMar w:top="1417" w:right="1417" w:bottom="1417" w:left="1417" w:header="720" w:footer="720" w:gutter="0"/>
          <w:lnNumType w:countBy="1" w:restart="continuous"/>
          <w:cols w:space="720"/>
          <w:docGrid w:linePitch="360"/>
        </w:sectPr>
      </w:pPr>
      <w:r w:rsidRPr="00103C5F">
        <w:rPr>
          <w:rFonts w:eastAsia="Times New Roman" w:cs="Times New Roman"/>
          <w:b/>
          <w:bCs/>
          <w:sz w:val="20"/>
        </w:rPr>
        <w:t>Figure 1.</w:t>
      </w:r>
      <w:r w:rsidRPr="00103C5F">
        <w:rPr>
          <w:rFonts w:eastAsia="Times New Roman" w:cs="Times New Roman"/>
          <w:sz w:val="20"/>
        </w:rPr>
        <w:t xml:space="preserve"> PRISMA Flowchart for Study Selection</w:t>
      </w:r>
    </w:p>
    <w:p w14:paraId="60816ED0" w14:textId="77777777" w:rsidR="00A612D0" w:rsidRPr="00FB63A0" w:rsidRDefault="00A612D0" w:rsidP="006A0FB9">
      <w:pPr>
        <w:keepNext/>
        <w:keepLines/>
        <w:spacing w:before="120" w:after="80" w:line="240" w:lineRule="auto"/>
        <w:jc w:val="center"/>
        <w:rPr>
          <w:rFonts w:cs="Times New Roman"/>
        </w:rPr>
      </w:pPr>
      <w:r w:rsidRPr="00FB63A0">
        <w:rPr>
          <w:rFonts w:eastAsia="Times New Roman" w:cs="Times New Roman"/>
          <w:b/>
          <w:bCs/>
          <w:sz w:val="20"/>
        </w:rPr>
        <w:lastRenderedPageBreak/>
        <w:t>Table</w:t>
      </w:r>
      <w:r w:rsidR="00FB63A0" w:rsidRPr="00FB63A0">
        <w:rPr>
          <w:rFonts w:eastAsia="Times New Roman" w:cs="Times New Roman"/>
          <w:b/>
          <w:bCs/>
          <w:sz w:val="20"/>
        </w:rPr>
        <w:t xml:space="preserve"> 2</w:t>
      </w:r>
      <w:r w:rsidRPr="00FB63A0">
        <w:rPr>
          <w:rFonts w:eastAsia="Times New Roman" w:cs="Times New Roman"/>
          <w:b/>
          <w:bCs/>
          <w:sz w:val="20"/>
        </w:rPr>
        <w:t>.</w:t>
      </w:r>
      <w:r w:rsidR="00454862" w:rsidRPr="00FB63A0">
        <w:rPr>
          <w:rFonts w:eastAsia="Times New Roman" w:cs="Times New Roman"/>
          <w:sz w:val="20"/>
        </w:rPr>
        <w:t xml:space="preserve"> </w:t>
      </w:r>
      <w:r w:rsidR="00FB63A0">
        <w:rPr>
          <w:rFonts w:eastAsia="Times New Roman" w:cs="Times New Roman"/>
          <w:sz w:val="20"/>
        </w:rPr>
        <w:t xml:space="preserve">Characteristics </w:t>
      </w:r>
      <w:r w:rsidR="009F1B3B">
        <w:rPr>
          <w:rFonts w:eastAsia="Times New Roman" w:cs="Times New Roman"/>
          <w:sz w:val="20"/>
        </w:rPr>
        <w:t xml:space="preserve">of </w:t>
      </w:r>
      <w:r w:rsidR="000277D8">
        <w:rPr>
          <w:rFonts w:eastAsia="Times New Roman" w:cs="Times New Roman"/>
          <w:sz w:val="20"/>
        </w:rPr>
        <w:t xml:space="preserve">Eligible </w:t>
      </w:r>
      <w:r w:rsidR="00454862" w:rsidRPr="00FB63A0">
        <w:rPr>
          <w:rFonts w:eastAsia="Times New Roman" w:cs="Times New Roman"/>
          <w:sz w:val="20"/>
        </w:rPr>
        <w:t xml:space="preserve">Clinical </w:t>
      </w:r>
      <w:r w:rsidR="00FB63A0" w:rsidRPr="00FB63A0">
        <w:rPr>
          <w:rFonts w:eastAsia="Times New Roman" w:cs="Times New Roman"/>
          <w:sz w:val="20"/>
        </w:rPr>
        <w:t>Case Stud</w:t>
      </w:r>
      <w:r w:rsidR="00FB63A0">
        <w:rPr>
          <w:rFonts w:eastAsia="Times New Roman" w:cs="Times New Roman"/>
          <w:sz w:val="20"/>
        </w:rPr>
        <w:t>ies</w:t>
      </w:r>
    </w:p>
    <w:tbl>
      <w:tblPr>
        <w:tblStyle w:val="TableGrid"/>
        <w:tblW w:w="129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1037"/>
        <w:gridCol w:w="1224"/>
        <w:gridCol w:w="1656"/>
        <w:gridCol w:w="1656"/>
        <w:gridCol w:w="1512"/>
        <w:gridCol w:w="1440"/>
        <w:gridCol w:w="1325"/>
        <w:gridCol w:w="1454"/>
      </w:tblGrid>
      <w:tr w:rsidR="00FB63A0" w:rsidRPr="006A0FB9" w14:paraId="2B2D5E2E" w14:textId="77777777" w:rsidTr="006A0FB9">
        <w:trPr>
          <w:cantSplit/>
          <w:tblHeader/>
          <w:jc w:val="center"/>
        </w:trPr>
        <w:tc>
          <w:tcPr>
            <w:tcW w:w="1656" w:type="dxa"/>
            <w:tcBorders>
              <w:bottom w:val="single" w:sz="4" w:space="0" w:color="auto"/>
            </w:tcBorders>
            <w:tcMar>
              <w:top w:w="30" w:type="dxa"/>
              <w:left w:w="45" w:type="dxa"/>
              <w:bottom w:w="30" w:type="dxa"/>
              <w:right w:w="45" w:type="dxa"/>
            </w:tcMar>
            <w:vAlign w:val="center"/>
          </w:tcPr>
          <w:p w14:paraId="6085048B" w14:textId="77777777" w:rsidR="00FB63A0" w:rsidRPr="006A0FB9" w:rsidRDefault="00FB63A0" w:rsidP="006A0FB9">
            <w:pPr>
              <w:keepLines/>
              <w:jc w:val="center"/>
              <w:rPr>
                <w:sz w:val="20"/>
                <w:szCs w:val="20"/>
              </w:rPr>
            </w:pPr>
            <w:r w:rsidRPr="006A0FB9">
              <w:rPr>
                <w:rFonts w:eastAsia="Times New Roman" w:cs="Times New Roman"/>
                <w:b/>
                <w:bCs/>
                <w:sz w:val="20"/>
                <w:szCs w:val="20"/>
              </w:rPr>
              <w:t>Author (Year)</w:t>
            </w:r>
          </w:p>
        </w:tc>
        <w:tc>
          <w:tcPr>
            <w:tcW w:w="1037" w:type="dxa"/>
            <w:tcBorders>
              <w:bottom w:val="single" w:sz="4" w:space="0" w:color="auto"/>
            </w:tcBorders>
            <w:tcMar>
              <w:top w:w="30" w:type="dxa"/>
              <w:left w:w="45" w:type="dxa"/>
              <w:bottom w:w="30" w:type="dxa"/>
              <w:right w:w="45" w:type="dxa"/>
            </w:tcMar>
            <w:vAlign w:val="center"/>
          </w:tcPr>
          <w:p w14:paraId="6A0C3750" w14:textId="77777777" w:rsidR="00FB63A0" w:rsidRPr="006A0FB9" w:rsidRDefault="00FB63A0" w:rsidP="006A0FB9">
            <w:pPr>
              <w:keepLines/>
              <w:jc w:val="center"/>
              <w:rPr>
                <w:sz w:val="20"/>
                <w:szCs w:val="20"/>
              </w:rPr>
            </w:pPr>
            <w:r w:rsidRPr="006A0FB9">
              <w:rPr>
                <w:rFonts w:eastAsia="Times New Roman" w:cs="Times New Roman"/>
                <w:b/>
                <w:bCs/>
                <w:sz w:val="20"/>
                <w:szCs w:val="20"/>
              </w:rPr>
              <w:t>Country</w:t>
            </w:r>
          </w:p>
        </w:tc>
        <w:tc>
          <w:tcPr>
            <w:tcW w:w="1224" w:type="dxa"/>
            <w:tcBorders>
              <w:bottom w:val="single" w:sz="4" w:space="0" w:color="auto"/>
            </w:tcBorders>
            <w:tcMar>
              <w:top w:w="30" w:type="dxa"/>
              <w:left w:w="45" w:type="dxa"/>
              <w:bottom w:w="30" w:type="dxa"/>
              <w:right w:w="45" w:type="dxa"/>
            </w:tcMar>
            <w:vAlign w:val="center"/>
          </w:tcPr>
          <w:p w14:paraId="71B2EAB3" w14:textId="77777777" w:rsidR="00FB63A0" w:rsidRPr="006A0FB9" w:rsidRDefault="00FB63A0" w:rsidP="006A0FB9">
            <w:pPr>
              <w:keepLines/>
              <w:jc w:val="center"/>
              <w:rPr>
                <w:sz w:val="20"/>
                <w:szCs w:val="20"/>
              </w:rPr>
            </w:pPr>
            <w:r w:rsidRPr="006A0FB9">
              <w:rPr>
                <w:rFonts w:eastAsia="Times New Roman" w:cs="Times New Roman"/>
                <w:b/>
                <w:bCs/>
                <w:sz w:val="20"/>
                <w:szCs w:val="20"/>
              </w:rPr>
              <w:t>Study Design</w:t>
            </w:r>
          </w:p>
        </w:tc>
        <w:tc>
          <w:tcPr>
            <w:tcW w:w="1656" w:type="dxa"/>
            <w:tcBorders>
              <w:bottom w:val="single" w:sz="4" w:space="0" w:color="auto"/>
            </w:tcBorders>
            <w:tcMar>
              <w:top w:w="30" w:type="dxa"/>
              <w:left w:w="45" w:type="dxa"/>
              <w:bottom w:w="30" w:type="dxa"/>
              <w:right w:w="45" w:type="dxa"/>
            </w:tcMar>
            <w:vAlign w:val="center"/>
          </w:tcPr>
          <w:p w14:paraId="77E2D1C8" w14:textId="77777777" w:rsidR="00FB63A0" w:rsidRPr="006A0FB9" w:rsidRDefault="00FB63A0" w:rsidP="006A0FB9">
            <w:pPr>
              <w:keepLines/>
              <w:jc w:val="center"/>
              <w:rPr>
                <w:sz w:val="20"/>
                <w:szCs w:val="20"/>
              </w:rPr>
            </w:pPr>
            <w:r w:rsidRPr="006A0FB9">
              <w:rPr>
                <w:rFonts w:eastAsia="Times New Roman" w:cs="Times New Roman"/>
                <w:b/>
                <w:bCs/>
                <w:sz w:val="20"/>
                <w:szCs w:val="20"/>
              </w:rPr>
              <w:t>Population</w:t>
            </w:r>
          </w:p>
        </w:tc>
        <w:tc>
          <w:tcPr>
            <w:tcW w:w="1656" w:type="dxa"/>
            <w:tcBorders>
              <w:bottom w:val="single" w:sz="4" w:space="0" w:color="auto"/>
            </w:tcBorders>
            <w:tcMar>
              <w:top w:w="30" w:type="dxa"/>
              <w:left w:w="45" w:type="dxa"/>
              <w:bottom w:w="30" w:type="dxa"/>
              <w:right w:w="45" w:type="dxa"/>
            </w:tcMar>
            <w:vAlign w:val="center"/>
          </w:tcPr>
          <w:p w14:paraId="5396D021" w14:textId="77777777" w:rsidR="00FB63A0" w:rsidRPr="006A0FB9" w:rsidRDefault="00FB63A0" w:rsidP="006A0FB9">
            <w:pPr>
              <w:keepLines/>
              <w:jc w:val="center"/>
              <w:rPr>
                <w:sz w:val="20"/>
                <w:szCs w:val="20"/>
              </w:rPr>
            </w:pPr>
            <w:r w:rsidRPr="006A0FB9">
              <w:rPr>
                <w:rFonts w:eastAsia="Times New Roman" w:cs="Times New Roman"/>
                <w:b/>
                <w:bCs/>
                <w:sz w:val="20"/>
                <w:szCs w:val="20"/>
              </w:rPr>
              <w:t>Type of Injury</w:t>
            </w:r>
          </w:p>
        </w:tc>
        <w:tc>
          <w:tcPr>
            <w:tcW w:w="1512" w:type="dxa"/>
            <w:tcBorders>
              <w:bottom w:val="single" w:sz="4" w:space="0" w:color="auto"/>
            </w:tcBorders>
            <w:tcMar>
              <w:top w:w="30" w:type="dxa"/>
              <w:left w:w="45" w:type="dxa"/>
              <w:bottom w:w="30" w:type="dxa"/>
              <w:right w:w="45" w:type="dxa"/>
            </w:tcMar>
            <w:vAlign w:val="center"/>
          </w:tcPr>
          <w:p w14:paraId="5BBB602C" w14:textId="77777777" w:rsidR="00FB63A0" w:rsidRPr="006A0FB9" w:rsidRDefault="00FB63A0" w:rsidP="006A0FB9">
            <w:pPr>
              <w:keepLines/>
              <w:jc w:val="center"/>
              <w:rPr>
                <w:sz w:val="20"/>
                <w:szCs w:val="20"/>
              </w:rPr>
            </w:pPr>
            <w:r w:rsidRPr="006A0FB9">
              <w:rPr>
                <w:rFonts w:eastAsia="Times New Roman" w:cs="Times New Roman"/>
                <w:b/>
                <w:bCs/>
                <w:sz w:val="20"/>
                <w:szCs w:val="20"/>
              </w:rPr>
              <w:t>Mechanism / Cause</w:t>
            </w:r>
          </w:p>
        </w:tc>
        <w:tc>
          <w:tcPr>
            <w:tcW w:w="1440" w:type="dxa"/>
            <w:tcBorders>
              <w:bottom w:val="single" w:sz="4" w:space="0" w:color="auto"/>
            </w:tcBorders>
            <w:tcMar>
              <w:top w:w="30" w:type="dxa"/>
              <w:left w:w="45" w:type="dxa"/>
              <w:bottom w:w="30" w:type="dxa"/>
              <w:right w:w="45" w:type="dxa"/>
            </w:tcMar>
            <w:vAlign w:val="center"/>
          </w:tcPr>
          <w:p w14:paraId="3E655E30" w14:textId="77777777" w:rsidR="00FB63A0" w:rsidRPr="006A0FB9" w:rsidRDefault="00FB63A0" w:rsidP="006A0FB9">
            <w:pPr>
              <w:keepLines/>
              <w:jc w:val="center"/>
              <w:rPr>
                <w:sz w:val="20"/>
                <w:szCs w:val="20"/>
              </w:rPr>
            </w:pPr>
            <w:r w:rsidRPr="006A0FB9">
              <w:rPr>
                <w:rFonts w:eastAsia="Times New Roman" w:cs="Times New Roman"/>
                <w:b/>
                <w:bCs/>
                <w:sz w:val="20"/>
                <w:szCs w:val="20"/>
              </w:rPr>
              <w:t>Procedure / Setting</w:t>
            </w:r>
          </w:p>
        </w:tc>
        <w:tc>
          <w:tcPr>
            <w:tcW w:w="1325" w:type="dxa"/>
            <w:tcBorders>
              <w:bottom w:val="single" w:sz="4" w:space="0" w:color="auto"/>
            </w:tcBorders>
            <w:tcMar>
              <w:top w:w="30" w:type="dxa"/>
              <w:left w:w="45" w:type="dxa"/>
              <w:bottom w:w="30" w:type="dxa"/>
              <w:right w:w="45" w:type="dxa"/>
            </w:tcMar>
            <w:vAlign w:val="center"/>
          </w:tcPr>
          <w:p w14:paraId="51DB27FC" w14:textId="77777777" w:rsidR="00FB63A0" w:rsidRPr="006A0FB9" w:rsidRDefault="00FB63A0" w:rsidP="006A0FB9">
            <w:pPr>
              <w:keepLines/>
              <w:jc w:val="center"/>
              <w:rPr>
                <w:sz w:val="20"/>
                <w:szCs w:val="20"/>
              </w:rPr>
            </w:pPr>
            <w:r w:rsidRPr="006A0FB9">
              <w:rPr>
                <w:rFonts w:eastAsia="Times New Roman" w:cs="Times New Roman"/>
                <w:b/>
                <w:bCs/>
                <w:sz w:val="20"/>
                <w:szCs w:val="20"/>
              </w:rPr>
              <w:t>Management</w:t>
            </w:r>
          </w:p>
        </w:tc>
        <w:tc>
          <w:tcPr>
            <w:tcW w:w="1454" w:type="dxa"/>
            <w:tcBorders>
              <w:bottom w:val="single" w:sz="4" w:space="0" w:color="auto"/>
            </w:tcBorders>
            <w:tcMar>
              <w:top w:w="30" w:type="dxa"/>
              <w:left w:w="45" w:type="dxa"/>
              <w:bottom w:w="30" w:type="dxa"/>
              <w:right w:w="45" w:type="dxa"/>
            </w:tcMar>
            <w:vAlign w:val="center"/>
          </w:tcPr>
          <w:p w14:paraId="5F99D280" w14:textId="77777777" w:rsidR="00FB63A0" w:rsidRPr="006A0FB9" w:rsidRDefault="00FB63A0" w:rsidP="006A0FB9">
            <w:pPr>
              <w:keepLines/>
              <w:jc w:val="center"/>
              <w:rPr>
                <w:sz w:val="20"/>
                <w:szCs w:val="20"/>
              </w:rPr>
            </w:pPr>
            <w:r w:rsidRPr="006A0FB9">
              <w:rPr>
                <w:rFonts w:eastAsia="Times New Roman" w:cs="Times New Roman"/>
                <w:b/>
                <w:bCs/>
                <w:sz w:val="20"/>
                <w:szCs w:val="20"/>
              </w:rPr>
              <w:t>Outcome</w:t>
            </w:r>
          </w:p>
        </w:tc>
      </w:tr>
      <w:tr w:rsidR="00FB63A0" w:rsidRPr="006A0FB9" w14:paraId="5DBB947D" w14:textId="77777777" w:rsidTr="006A0FB9">
        <w:trPr>
          <w:cantSplit/>
          <w:jc w:val="center"/>
        </w:trPr>
        <w:tc>
          <w:tcPr>
            <w:tcW w:w="1656" w:type="dxa"/>
            <w:tcBorders>
              <w:top w:val="single" w:sz="4" w:space="0" w:color="auto"/>
            </w:tcBorders>
            <w:tcMar>
              <w:top w:w="30" w:type="dxa"/>
              <w:left w:w="45" w:type="dxa"/>
              <w:bottom w:w="30" w:type="dxa"/>
              <w:right w:w="45" w:type="dxa"/>
            </w:tcMar>
          </w:tcPr>
          <w:p w14:paraId="0682D0D9" w14:textId="77777777" w:rsidR="00CF70CD" w:rsidRDefault="00000000">
            <w:r>
              <w:rPr>
                <w:rFonts w:eastAsia="Times New Roman"/>
                <w:sz w:val="16"/>
              </w:rPr>
              <w:t>(Ceylan et al., 2007)</w:t>
            </w:r>
          </w:p>
        </w:tc>
        <w:tc>
          <w:tcPr>
            <w:tcW w:w="1037" w:type="dxa"/>
            <w:tcBorders>
              <w:top w:val="single" w:sz="4" w:space="0" w:color="auto"/>
            </w:tcBorders>
            <w:tcMar>
              <w:top w:w="30" w:type="dxa"/>
              <w:left w:w="45" w:type="dxa"/>
              <w:bottom w:w="30" w:type="dxa"/>
              <w:right w:w="45" w:type="dxa"/>
            </w:tcMar>
          </w:tcPr>
          <w:p w14:paraId="6392C8E8" w14:textId="77777777" w:rsidR="00FB63A0" w:rsidRPr="006A0FB9" w:rsidRDefault="00FB63A0" w:rsidP="00FB63A0">
            <w:pPr>
              <w:keepLines/>
              <w:rPr>
                <w:sz w:val="20"/>
                <w:szCs w:val="20"/>
              </w:rPr>
            </w:pPr>
            <w:r w:rsidRPr="006A0FB9">
              <w:rPr>
                <w:rFonts w:eastAsia="Times New Roman" w:cs="Times New Roman"/>
                <w:sz w:val="20"/>
                <w:szCs w:val="20"/>
              </w:rPr>
              <w:t xml:space="preserve">Turkey </w:t>
            </w:r>
          </w:p>
        </w:tc>
        <w:tc>
          <w:tcPr>
            <w:tcW w:w="1224" w:type="dxa"/>
            <w:tcBorders>
              <w:top w:val="single" w:sz="4" w:space="0" w:color="auto"/>
            </w:tcBorders>
            <w:tcMar>
              <w:top w:w="30" w:type="dxa"/>
              <w:left w:w="45" w:type="dxa"/>
              <w:bottom w:w="30" w:type="dxa"/>
              <w:right w:w="45" w:type="dxa"/>
            </w:tcMar>
          </w:tcPr>
          <w:p w14:paraId="11324F57"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Borders>
              <w:top w:val="single" w:sz="4" w:space="0" w:color="auto"/>
            </w:tcBorders>
            <w:tcMar>
              <w:top w:w="30" w:type="dxa"/>
              <w:left w:w="45" w:type="dxa"/>
              <w:bottom w:w="30" w:type="dxa"/>
              <w:right w:w="45" w:type="dxa"/>
            </w:tcMar>
          </w:tcPr>
          <w:p w14:paraId="521A7507" w14:textId="77777777" w:rsidR="00FB63A0" w:rsidRPr="006A0FB9" w:rsidRDefault="009B43DB" w:rsidP="00FB63A0">
            <w:pPr>
              <w:keepLines/>
              <w:rPr>
                <w:sz w:val="20"/>
                <w:szCs w:val="20"/>
              </w:rPr>
            </w:pPr>
            <w:r w:rsidRPr="006A0FB9">
              <w:rPr>
                <w:rFonts w:eastAsia="Times New Roman" w:cs="Times New Roman"/>
                <w:sz w:val="20"/>
                <w:szCs w:val="20"/>
              </w:rPr>
              <w:t xml:space="preserve">Child - adult (5 months – 24 </w:t>
            </w:r>
            <w:r w:rsidR="00321FDF" w:rsidRPr="006A0FB9">
              <w:rPr>
                <w:rFonts w:eastAsia="Times New Roman" w:cs="Times New Roman"/>
                <w:sz w:val="20"/>
                <w:szCs w:val="20"/>
              </w:rPr>
              <w:t>years old</w:t>
            </w:r>
            <w:r w:rsidRPr="006A0FB9">
              <w:rPr>
                <w:rFonts w:eastAsia="Times New Roman" w:cs="Times New Roman"/>
                <w:sz w:val="20"/>
                <w:szCs w:val="20"/>
              </w:rPr>
              <w:t>, 48 cases/</w:t>
            </w:r>
            <w:r w:rsidR="009C702A" w:rsidRPr="006A0FB9">
              <w:rPr>
                <w:rFonts w:eastAsia="Times New Roman" w:cs="Times New Roman"/>
                <w:sz w:val="20"/>
                <w:szCs w:val="20"/>
              </w:rPr>
              <w:t>patients)</w:t>
            </w:r>
          </w:p>
        </w:tc>
        <w:tc>
          <w:tcPr>
            <w:tcW w:w="1656" w:type="dxa"/>
            <w:tcBorders>
              <w:top w:val="single" w:sz="4" w:space="0" w:color="auto"/>
            </w:tcBorders>
            <w:tcMar>
              <w:top w:w="30" w:type="dxa"/>
              <w:left w:w="45" w:type="dxa"/>
              <w:bottom w:w="30" w:type="dxa"/>
              <w:right w:w="45" w:type="dxa"/>
            </w:tcMar>
          </w:tcPr>
          <w:p w14:paraId="5C085EC4"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Borders>
              <w:top w:val="single" w:sz="4" w:space="0" w:color="auto"/>
            </w:tcBorders>
            <w:tcMar>
              <w:top w:w="30" w:type="dxa"/>
              <w:left w:w="45" w:type="dxa"/>
              <w:bottom w:w="30" w:type="dxa"/>
              <w:right w:w="45" w:type="dxa"/>
            </w:tcMar>
          </w:tcPr>
          <w:p w14:paraId="48285B25" w14:textId="77777777" w:rsidR="00FB63A0" w:rsidRPr="006A0FB9" w:rsidRDefault="00FB63A0" w:rsidP="00FB63A0">
            <w:pPr>
              <w:keepLines/>
              <w:rPr>
                <w:sz w:val="20"/>
                <w:szCs w:val="20"/>
              </w:rPr>
            </w:pPr>
            <w:r w:rsidRPr="006A0FB9">
              <w:rPr>
                <w:rFonts w:eastAsia="Times New Roman" w:cs="Times New Roman"/>
                <w:sz w:val="20"/>
                <w:szCs w:val="20"/>
              </w:rPr>
              <w:t>Surgical error</w:t>
            </w:r>
          </w:p>
        </w:tc>
        <w:tc>
          <w:tcPr>
            <w:tcW w:w="1440" w:type="dxa"/>
            <w:tcBorders>
              <w:top w:val="single" w:sz="4" w:space="0" w:color="auto"/>
            </w:tcBorders>
            <w:tcMar>
              <w:top w:w="30" w:type="dxa"/>
              <w:left w:w="45" w:type="dxa"/>
              <w:bottom w:w="30" w:type="dxa"/>
              <w:right w:w="45" w:type="dxa"/>
            </w:tcMar>
          </w:tcPr>
          <w:p w14:paraId="4F3D8164" w14:textId="77777777" w:rsidR="00FB63A0" w:rsidRPr="006A0FB9" w:rsidRDefault="00FB63A0" w:rsidP="00FB63A0">
            <w:pPr>
              <w:keepLines/>
              <w:rPr>
                <w:sz w:val="20"/>
                <w:szCs w:val="20"/>
              </w:rPr>
            </w:pPr>
            <w:r w:rsidRPr="006A0FB9">
              <w:rPr>
                <w:rFonts w:eastAsia="Times New Roman" w:cs="Times New Roman"/>
                <w:sz w:val="20"/>
                <w:szCs w:val="20"/>
              </w:rPr>
              <w:t>Hospital circumcision</w:t>
            </w:r>
          </w:p>
        </w:tc>
        <w:tc>
          <w:tcPr>
            <w:tcW w:w="1325" w:type="dxa"/>
            <w:tcBorders>
              <w:top w:val="single" w:sz="4" w:space="0" w:color="auto"/>
            </w:tcBorders>
            <w:tcMar>
              <w:top w:w="30" w:type="dxa"/>
              <w:left w:w="45" w:type="dxa"/>
              <w:bottom w:w="30" w:type="dxa"/>
              <w:right w:w="45" w:type="dxa"/>
            </w:tcMar>
          </w:tcPr>
          <w:p w14:paraId="0599C933" w14:textId="77777777" w:rsidR="00FB63A0" w:rsidRPr="006A0FB9" w:rsidRDefault="00FB63A0" w:rsidP="00FB63A0">
            <w:pPr>
              <w:keepLines/>
              <w:rPr>
                <w:sz w:val="20"/>
                <w:szCs w:val="20"/>
              </w:rPr>
            </w:pPr>
            <w:r w:rsidRPr="006A0FB9">
              <w:rPr>
                <w:rFonts w:eastAsia="Times New Roman" w:cs="Times New Roman"/>
                <w:sz w:val="20"/>
                <w:szCs w:val="20"/>
              </w:rPr>
              <w:t>Surgical repair</w:t>
            </w:r>
          </w:p>
        </w:tc>
        <w:tc>
          <w:tcPr>
            <w:tcW w:w="1454" w:type="dxa"/>
            <w:tcBorders>
              <w:top w:val="single" w:sz="4" w:space="0" w:color="auto"/>
            </w:tcBorders>
            <w:tcMar>
              <w:top w:w="30" w:type="dxa"/>
              <w:left w:w="45" w:type="dxa"/>
              <w:bottom w:w="30" w:type="dxa"/>
              <w:right w:w="45" w:type="dxa"/>
            </w:tcMar>
          </w:tcPr>
          <w:p w14:paraId="77C86445" w14:textId="77777777" w:rsidR="00FB63A0" w:rsidRPr="006A0FB9" w:rsidRDefault="00FB63A0" w:rsidP="00FB63A0">
            <w:pPr>
              <w:keepLines/>
              <w:rPr>
                <w:sz w:val="20"/>
                <w:szCs w:val="20"/>
              </w:rPr>
            </w:pPr>
            <w:r w:rsidRPr="006A0FB9">
              <w:rPr>
                <w:rFonts w:eastAsia="Times New Roman" w:cs="Times New Roman"/>
                <w:sz w:val="20"/>
                <w:szCs w:val="20"/>
              </w:rPr>
              <w:t>Variable recovery</w:t>
            </w:r>
          </w:p>
        </w:tc>
      </w:tr>
      <w:tr w:rsidR="00FB63A0" w:rsidRPr="006A0FB9" w14:paraId="6337A19F" w14:textId="77777777" w:rsidTr="006A0FB9">
        <w:trPr>
          <w:cantSplit/>
          <w:jc w:val="center"/>
        </w:trPr>
        <w:tc>
          <w:tcPr>
            <w:tcW w:w="1656" w:type="dxa"/>
            <w:tcMar>
              <w:top w:w="30" w:type="dxa"/>
              <w:left w:w="45" w:type="dxa"/>
              <w:bottom w:w="30" w:type="dxa"/>
              <w:right w:w="45" w:type="dxa"/>
            </w:tcMar>
          </w:tcPr>
          <w:p w14:paraId="003C6F22" w14:textId="77777777" w:rsidR="00CF70CD" w:rsidRDefault="00000000">
            <w:r>
              <w:rPr>
                <w:rFonts w:eastAsia="Times New Roman"/>
                <w:sz w:val="16"/>
              </w:rPr>
              <w:t>(Ahmed et al., 2020)</w:t>
            </w:r>
          </w:p>
        </w:tc>
        <w:tc>
          <w:tcPr>
            <w:tcW w:w="1037" w:type="dxa"/>
            <w:tcMar>
              <w:top w:w="30" w:type="dxa"/>
              <w:left w:w="45" w:type="dxa"/>
              <w:bottom w:w="30" w:type="dxa"/>
              <w:right w:w="45" w:type="dxa"/>
            </w:tcMar>
          </w:tcPr>
          <w:p w14:paraId="29801829" w14:textId="77777777" w:rsidR="00FB63A0" w:rsidRPr="006A0FB9" w:rsidRDefault="00FB63A0" w:rsidP="00FB63A0">
            <w:pPr>
              <w:keepLines/>
              <w:rPr>
                <w:sz w:val="20"/>
                <w:szCs w:val="20"/>
              </w:rPr>
            </w:pPr>
            <w:r w:rsidRPr="006A0FB9">
              <w:rPr>
                <w:rFonts w:eastAsia="Times New Roman" w:cs="Times New Roman"/>
                <w:sz w:val="20"/>
                <w:szCs w:val="20"/>
              </w:rPr>
              <w:t>Nigeria</w:t>
            </w:r>
          </w:p>
        </w:tc>
        <w:tc>
          <w:tcPr>
            <w:tcW w:w="1224" w:type="dxa"/>
            <w:tcMar>
              <w:top w:w="30" w:type="dxa"/>
              <w:left w:w="45" w:type="dxa"/>
              <w:bottom w:w="30" w:type="dxa"/>
              <w:right w:w="45" w:type="dxa"/>
            </w:tcMar>
          </w:tcPr>
          <w:p w14:paraId="322BA833"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4FE08372" w14:textId="77777777" w:rsidR="00FB63A0" w:rsidRPr="006A0FB9" w:rsidRDefault="00FB63A0" w:rsidP="00FB63A0">
            <w:pPr>
              <w:keepLines/>
              <w:rPr>
                <w:sz w:val="20"/>
                <w:szCs w:val="20"/>
              </w:rPr>
            </w:pPr>
            <w:r w:rsidRPr="006A0FB9">
              <w:rPr>
                <w:rFonts w:eastAsia="Times New Roman" w:cs="Times New Roman"/>
                <w:sz w:val="20"/>
                <w:szCs w:val="20"/>
              </w:rPr>
              <w:t>Child</w:t>
            </w:r>
            <w:r w:rsidR="00255105" w:rsidRPr="006A0FB9">
              <w:rPr>
                <w:rFonts w:eastAsia="Times New Roman" w:cs="Times New Roman"/>
                <w:sz w:val="20"/>
                <w:szCs w:val="20"/>
              </w:rPr>
              <w:t xml:space="preserve"> (2-6 months old, 2 </w:t>
            </w:r>
            <w:proofErr w:type="spellStart"/>
            <w:r w:rsidR="00255105" w:rsidRPr="006A0FB9">
              <w:rPr>
                <w:rFonts w:eastAsia="Times New Roman" w:cs="Times New Roman"/>
                <w:sz w:val="20"/>
                <w:szCs w:val="20"/>
              </w:rPr>
              <w:t>patiens</w:t>
            </w:r>
            <w:proofErr w:type="spellEnd"/>
            <w:r w:rsidR="00255105" w:rsidRPr="006A0FB9">
              <w:rPr>
                <w:rFonts w:eastAsia="Times New Roman" w:cs="Times New Roman"/>
                <w:sz w:val="20"/>
                <w:szCs w:val="20"/>
              </w:rPr>
              <w:t>)</w:t>
            </w:r>
          </w:p>
        </w:tc>
        <w:tc>
          <w:tcPr>
            <w:tcW w:w="1656" w:type="dxa"/>
            <w:tcMar>
              <w:top w:w="30" w:type="dxa"/>
              <w:left w:w="45" w:type="dxa"/>
              <w:bottom w:w="30" w:type="dxa"/>
              <w:right w:w="45" w:type="dxa"/>
            </w:tcMar>
          </w:tcPr>
          <w:p w14:paraId="731F7ADC" w14:textId="77777777" w:rsidR="00FB63A0" w:rsidRPr="006A0FB9" w:rsidRDefault="00FB63A0" w:rsidP="00FB63A0">
            <w:pPr>
              <w:keepLines/>
              <w:rPr>
                <w:sz w:val="20"/>
                <w:szCs w:val="20"/>
              </w:rPr>
            </w:pPr>
            <w:r w:rsidRPr="006A0FB9">
              <w:rPr>
                <w:rFonts w:eastAsia="Times New Roman" w:cs="Times New Roman"/>
                <w:sz w:val="20"/>
                <w:szCs w:val="20"/>
              </w:rPr>
              <w:t>Penile injury (incl. glans)</w:t>
            </w:r>
          </w:p>
        </w:tc>
        <w:tc>
          <w:tcPr>
            <w:tcW w:w="1512" w:type="dxa"/>
            <w:tcMar>
              <w:top w:w="30" w:type="dxa"/>
              <w:left w:w="45" w:type="dxa"/>
              <w:bottom w:w="30" w:type="dxa"/>
              <w:right w:w="45" w:type="dxa"/>
            </w:tcMar>
          </w:tcPr>
          <w:p w14:paraId="19B950F2" w14:textId="77777777" w:rsidR="00FB63A0" w:rsidRPr="006A0FB9" w:rsidRDefault="00FB63A0" w:rsidP="00FB63A0">
            <w:pPr>
              <w:keepLines/>
              <w:rPr>
                <w:sz w:val="20"/>
                <w:szCs w:val="20"/>
              </w:rPr>
            </w:pPr>
            <w:r w:rsidRPr="006A0FB9">
              <w:rPr>
                <w:rFonts w:eastAsia="Times New Roman" w:cs="Times New Roman"/>
                <w:sz w:val="20"/>
                <w:szCs w:val="20"/>
              </w:rPr>
              <w:t>Untrained operator</w:t>
            </w:r>
          </w:p>
        </w:tc>
        <w:tc>
          <w:tcPr>
            <w:tcW w:w="1440" w:type="dxa"/>
            <w:tcMar>
              <w:top w:w="30" w:type="dxa"/>
              <w:left w:w="45" w:type="dxa"/>
              <w:bottom w:w="30" w:type="dxa"/>
              <w:right w:w="45" w:type="dxa"/>
            </w:tcMar>
          </w:tcPr>
          <w:p w14:paraId="756313AD" w14:textId="77777777" w:rsidR="00FB63A0" w:rsidRPr="006A0FB9" w:rsidRDefault="00FB63A0" w:rsidP="00FB63A0">
            <w:pPr>
              <w:keepLines/>
              <w:rPr>
                <w:sz w:val="20"/>
                <w:szCs w:val="20"/>
              </w:rPr>
            </w:pPr>
            <w:r w:rsidRPr="006A0FB9">
              <w:rPr>
                <w:rFonts w:eastAsia="Times New Roman" w:cs="Times New Roman"/>
                <w:sz w:val="20"/>
                <w:szCs w:val="20"/>
              </w:rPr>
              <w:t>Ritual/traditional</w:t>
            </w:r>
          </w:p>
        </w:tc>
        <w:tc>
          <w:tcPr>
            <w:tcW w:w="1325" w:type="dxa"/>
            <w:tcMar>
              <w:top w:w="30" w:type="dxa"/>
              <w:left w:w="45" w:type="dxa"/>
              <w:bottom w:w="30" w:type="dxa"/>
              <w:right w:w="45" w:type="dxa"/>
            </w:tcMar>
          </w:tcPr>
          <w:p w14:paraId="74F6C3CA"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39C2049C" w14:textId="77777777" w:rsidR="00FB63A0" w:rsidRPr="006A0FB9" w:rsidRDefault="00FB63A0" w:rsidP="00FB63A0">
            <w:pPr>
              <w:keepLines/>
              <w:rPr>
                <w:sz w:val="20"/>
                <w:szCs w:val="20"/>
              </w:rPr>
            </w:pPr>
            <w:r w:rsidRPr="006A0FB9">
              <w:rPr>
                <w:rFonts w:eastAsia="Times New Roman" w:cs="Times New Roman"/>
                <w:sz w:val="20"/>
                <w:szCs w:val="20"/>
              </w:rPr>
              <w:t>Complications present</w:t>
            </w:r>
          </w:p>
        </w:tc>
      </w:tr>
      <w:tr w:rsidR="00FB63A0" w:rsidRPr="006A0FB9" w14:paraId="3F39CCE7" w14:textId="77777777" w:rsidTr="006A0FB9">
        <w:trPr>
          <w:cantSplit/>
          <w:jc w:val="center"/>
        </w:trPr>
        <w:tc>
          <w:tcPr>
            <w:tcW w:w="1656" w:type="dxa"/>
            <w:tcMar>
              <w:top w:w="30" w:type="dxa"/>
              <w:left w:w="45" w:type="dxa"/>
              <w:bottom w:w="30" w:type="dxa"/>
              <w:right w:w="45" w:type="dxa"/>
            </w:tcMar>
          </w:tcPr>
          <w:p w14:paraId="68403F81" w14:textId="77777777" w:rsidR="00CF70CD" w:rsidRDefault="00000000">
            <w:r>
              <w:rPr>
                <w:rFonts w:eastAsia="Times New Roman"/>
                <w:sz w:val="16"/>
              </w:rPr>
              <w:t>(Akakpo-Numado et al., 2021)</w:t>
            </w:r>
          </w:p>
        </w:tc>
        <w:tc>
          <w:tcPr>
            <w:tcW w:w="1037" w:type="dxa"/>
            <w:tcMar>
              <w:top w:w="30" w:type="dxa"/>
              <w:left w:w="45" w:type="dxa"/>
              <w:bottom w:w="30" w:type="dxa"/>
              <w:right w:w="45" w:type="dxa"/>
            </w:tcMar>
          </w:tcPr>
          <w:p w14:paraId="03D1238A" w14:textId="77777777" w:rsidR="00FB63A0" w:rsidRPr="006A0FB9" w:rsidRDefault="00FB63A0" w:rsidP="00FB63A0">
            <w:pPr>
              <w:keepLines/>
              <w:rPr>
                <w:sz w:val="20"/>
                <w:szCs w:val="20"/>
              </w:rPr>
            </w:pPr>
            <w:r w:rsidRPr="006A0FB9">
              <w:rPr>
                <w:rFonts w:eastAsia="Times New Roman" w:cs="Times New Roman"/>
                <w:sz w:val="20"/>
                <w:szCs w:val="20"/>
              </w:rPr>
              <w:t>Togo</w:t>
            </w:r>
          </w:p>
        </w:tc>
        <w:tc>
          <w:tcPr>
            <w:tcW w:w="1224" w:type="dxa"/>
            <w:tcMar>
              <w:top w:w="30" w:type="dxa"/>
              <w:left w:w="45" w:type="dxa"/>
              <w:bottom w:w="30" w:type="dxa"/>
              <w:right w:w="45" w:type="dxa"/>
            </w:tcMar>
          </w:tcPr>
          <w:p w14:paraId="094D1949"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DCFC92D" w14:textId="77777777" w:rsidR="00C23E95" w:rsidRPr="006A0FB9" w:rsidRDefault="00FB63A0" w:rsidP="00FB63A0">
            <w:pPr>
              <w:keepLines/>
              <w:rPr>
                <w:rFonts w:cs="Times New Roman"/>
                <w:sz w:val="20"/>
                <w:szCs w:val="20"/>
              </w:rPr>
            </w:pPr>
            <w:r w:rsidRPr="006A0FB9">
              <w:rPr>
                <w:rFonts w:eastAsia="Times New Roman" w:cs="Times New Roman"/>
                <w:sz w:val="20"/>
                <w:szCs w:val="20"/>
              </w:rPr>
              <w:t>Child</w:t>
            </w:r>
            <w:r w:rsidR="009B43DB"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5765C460"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62B689E" w14:textId="77777777" w:rsidR="00FB63A0" w:rsidRPr="006A0FB9" w:rsidRDefault="00FB63A0" w:rsidP="00FB63A0">
            <w:pPr>
              <w:keepLines/>
              <w:rPr>
                <w:sz w:val="20"/>
                <w:szCs w:val="20"/>
              </w:rPr>
            </w:pPr>
            <w:r w:rsidRPr="006A0FB9">
              <w:rPr>
                <w:rFonts w:eastAsia="Times New Roman" w:cs="Times New Roman"/>
                <w:sz w:val="20"/>
                <w:szCs w:val="20"/>
              </w:rPr>
              <w:t>Traumatic circumcision</w:t>
            </w:r>
          </w:p>
        </w:tc>
        <w:tc>
          <w:tcPr>
            <w:tcW w:w="1440" w:type="dxa"/>
            <w:tcMar>
              <w:top w:w="30" w:type="dxa"/>
              <w:left w:w="45" w:type="dxa"/>
              <w:bottom w:w="30" w:type="dxa"/>
              <w:right w:w="45" w:type="dxa"/>
            </w:tcMar>
          </w:tcPr>
          <w:p w14:paraId="7A597C1E" w14:textId="77777777" w:rsidR="00FB63A0" w:rsidRPr="006A0FB9" w:rsidRDefault="00FB63A0" w:rsidP="00FB63A0">
            <w:pPr>
              <w:keepLines/>
              <w:rPr>
                <w:sz w:val="20"/>
                <w:szCs w:val="20"/>
              </w:rPr>
            </w:pPr>
            <w:r w:rsidRPr="006A0FB9">
              <w:rPr>
                <w:rFonts w:eastAsia="Times New Roman" w:cs="Times New Roman"/>
                <w:sz w:val="20"/>
                <w:szCs w:val="20"/>
              </w:rPr>
              <w:t>Non-hospital</w:t>
            </w:r>
          </w:p>
        </w:tc>
        <w:tc>
          <w:tcPr>
            <w:tcW w:w="1325" w:type="dxa"/>
            <w:tcMar>
              <w:top w:w="30" w:type="dxa"/>
              <w:left w:w="45" w:type="dxa"/>
              <w:bottom w:w="30" w:type="dxa"/>
              <w:right w:w="45" w:type="dxa"/>
            </w:tcMar>
          </w:tcPr>
          <w:p w14:paraId="55FB7B84"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2BBE5118"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0F8B26F6" w14:textId="77777777" w:rsidTr="006A0FB9">
        <w:trPr>
          <w:cantSplit/>
          <w:jc w:val="center"/>
        </w:trPr>
        <w:tc>
          <w:tcPr>
            <w:tcW w:w="1656" w:type="dxa"/>
            <w:tcMar>
              <w:top w:w="30" w:type="dxa"/>
              <w:left w:w="45" w:type="dxa"/>
              <w:bottom w:w="30" w:type="dxa"/>
              <w:right w:w="45" w:type="dxa"/>
            </w:tcMar>
          </w:tcPr>
          <w:p w14:paraId="277682D3" w14:textId="77777777" w:rsidR="00CF70CD" w:rsidRDefault="00000000">
            <w:r>
              <w:rPr>
                <w:rFonts w:eastAsia="Times New Roman"/>
                <w:sz w:val="16"/>
              </w:rPr>
              <w:t>(Andaloussi et al., 2025)</w:t>
            </w:r>
          </w:p>
        </w:tc>
        <w:tc>
          <w:tcPr>
            <w:tcW w:w="1037" w:type="dxa"/>
            <w:tcMar>
              <w:top w:w="30" w:type="dxa"/>
              <w:left w:w="45" w:type="dxa"/>
              <w:bottom w:w="30" w:type="dxa"/>
              <w:right w:w="45" w:type="dxa"/>
            </w:tcMar>
          </w:tcPr>
          <w:p w14:paraId="0885A861" w14:textId="77777777" w:rsidR="00FB63A0" w:rsidRPr="006A0FB9" w:rsidRDefault="00FB63A0" w:rsidP="00FB63A0">
            <w:pPr>
              <w:keepLines/>
              <w:rPr>
                <w:sz w:val="20"/>
                <w:szCs w:val="20"/>
              </w:rPr>
            </w:pPr>
            <w:r w:rsidRPr="006A0FB9">
              <w:rPr>
                <w:rFonts w:eastAsia="Times New Roman" w:cs="Times New Roman"/>
                <w:sz w:val="20"/>
                <w:szCs w:val="20"/>
              </w:rPr>
              <w:t>Morocco</w:t>
            </w:r>
          </w:p>
        </w:tc>
        <w:tc>
          <w:tcPr>
            <w:tcW w:w="1224" w:type="dxa"/>
            <w:tcMar>
              <w:top w:w="30" w:type="dxa"/>
              <w:left w:w="45" w:type="dxa"/>
              <w:bottom w:w="30" w:type="dxa"/>
              <w:right w:w="45" w:type="dxa"/>
            </w:tcMar>
          </w:tcPr>
          <w:p w14:paraId="0A994EE8"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674E091" w14:textId="77777777" w:rsidR="00FB63A0" w:rsidRPr="006A0FB9" w:rsidRDefault="00FB63A0" w:rsidP="00FB63A0">
            <w:pPr>
              <w:keepLines/>
              <w:rPr>
                <w:sz w:val="20"/>
                <w:szCs w:val="20"/>
              </w:rPr>
            </w:pPr>
            <w:r w:rsidRPr="006A0FB9">
              <w:rPr>
                <w:rFonts w:eastAsia="Times New Roman" w:cs="Times New Roman"/>
                <w:sz w:val="20"/>
                <w:szCs w:val="20"/>
              </w:rPr>
              <w:t>Child</w:t>
            </w:r>
            <w:r w:rsidR="00531AB7" w:rsidRPr="006A0FB9">
              <w:rPr>
                <w:rFonts w:eastAsia="Times New Roman" w:cs="Times New Roman"/>
                <w:sz w:val="20"/>
                <w:szCs w:val="20"/>
              </w:rPr>
              <w:t xml:space="preserve"> (2 years old boy, one patient)</w:t>
            </w:r>
          </w:p>
        </w:tc>
        <w:tc>
          <w:tcPr>
            <w:tcW w:w="1656" w:type="dxa"/>
            <w:tcMar>
              <w:top w:w="30" w:type="dxa"/>
              <w:left w:w="45" w:type="dxa"/>
              <w:bottom w:w="30" w:type="dxa"/>
              <w:right w:w="45" w:type="dxa"/>
            </w:tcMar>
          </w:tcPr>
          <w:p w14:paraId="3CD7DCB0" w14:textId="77777777" w:rsidR="00FB63A0" w:rsidRPr="006A0FB9" w:rsidRDefault="00FB63A0" w:rsidP="00FB63A0">
            <w:pPr>
              <w:keepLines/>
              <w:rPr>
                <w:sz w:val="20"/>
                <w:szCs w:val="20"/>
              </w:rPr>
            </w:pPr>
            <w:r w:rsidRPr="006A0FB9">
              <w:rPr>
                <w:rFonts w:eastAsia="Times New Roman" w:cs="Times New Roman"/>
                <w:sz w:val="20"/>
                <w:szCs w:val="20"/>
              </w:rPr>
              <w:t>Total penile amputation</w:t>
            </w:r>
          </w:p>
        </w:tc>
        <w:tc>
          <w:tcPr>
            <w:tcW w:w="1512" w:type="dxa"/>
            <w:tcMar>
              <w:top w:w="30" w:type="dxa"/>
              <w:left w:w="45" w:type="dxa"/>
              <w:bottom w:w="30" w:type="dxa"/>
              <w:right w:w="45" w:type="dxa"/>
            </w:tcMar>
          </w:tcPr>
          <w:p w14:paraId="403A26C0" w14:textId="77777777" w:rsidR="00FB63A0" w:rsidRPr="006A0FB9" w:rsidRDefault="00FB63A0" w:rsidP="00FB63A0">
            <w:pPr>
              <w:keepLines/>
              <w:rPr>
                <w:sz w:val="20"/>
                <w:szCs w:val="20"/>
              </w:rPr>
            </w:pPr>
            <w:r w:rsidRPr="006A0FB9">
              <w:rPr>
                <w:rFonts w:eastAsia="Times New Roman" w:cs="Times New Roman"/>
                <w:sz w:val="20"/>
                <w:szCs w:val="20"/>
              </w:rPr>
              <w:t>Procedural error</w:t>
            </w:r>
          </w:p>
        </w:tc>
        <w:tc>
          <w:tcPr>
            <w:tcW w:w="1440" w:type="dxa"/>
            <w:tcMar>
              <w:top w:w="30" w:type="dxa"/>
              <w:left w:w="45" w:type="dxa"/>
              <w:bottom w:w="30" w:type="dxa"/>
              <w:right w:w="45" w:type="dxa"/>
            </w:tcMar>
          </w:tcPr>
          <w:p w14:paraId="11ED7349" w14:textId="77777777" w:rsidR="00FB63A0" w:rsidRPr="006A0FB9" w:rsidRDefault="00FB63A0" w:rsidP="00FB63A0">
            <w:pPr>
              <w:keepLines/>
              <w:rPr>
                <w:sz w:val="20"/>
                <w:szCs w:val="20"/>
              </w:rPr>
            </w:pPr>
            <w:r w:rsidRPr="006A0FB9">
              <w:rPr>
                <w:rFonts w:eastAsia="Times New Roman" w:cs="Times New Roman"/>
                <w:sz w:val="20"/>
                <w:szCs w:val="20"/>
              </w:rPr>
              <w:t>Traditional setting</w:t>
            </w:r>
          </w:p>
        </w:tc>
        <w:tc>
          <w:tcPr>
            <w:tcW w:w="1325" w:type="dxa"/>
            <w:tcMar>
              <w:top w:w="30" w:type="dxa"/>
              <w:left w:w="45" w:type="dxa"/>
              <w:bottom w:w="30" w:type="dxa"/>
              <w:right w:w="45" w:type="dxa"/>
            </w:tcMar>
          </w:tcPr>
          <w:p w14:paraId="5D6C81B2" w14:textId="77777777" w:rsidR="00FB63A0" w:rsidRPr="006A0FB9" w:rsidRDefault="00FB63A0" w:rsidP="00FB63A0">
            <w:pPr>
              <w:keepLines/>
              <w:rPr>
                <w:sz w:val="20"/>
                <w:szCs w:val="20"/>
              </w:rPr>
            </w:pPr>
            <w:r w:rsidRPr="006A0FB9">
              <w:rPr>
                <w:rFonts w:eastAsia="Times New Roman" w:cs="Times New Roman"/>
                <w:sz w:val="20"/>
                <w:szCs w:val="20"/>
              </w:rPr>
              <w:t>Reimplantation</w:t>
            </w:r>
          </w:p>
        </w:tc>
        <w:tc>
          <w:tcPr>
            <w:tcW w:w="1454" w:type="dxa"/>
            <w:tcMar>
              <w:top w:w="30" w:type="dxa"/>
              <w:left w:w="45" w:type="dxa"/>
              <w:bottom w:w="30" w:type="dxa"/>
              <w:right w:w="45" w:type="dxa"/>
            </w:tcMar>
          </w:tcPr>
          <w:p w14:paraId="26B88320" w14:textId="77777777" w:rsidR="00FB63A0" w:rsidRPr="006A0FB9" w:rsidRDefault="00FB63A0" w:rsidP="00FB63A0">
            <w:pPr>
              <w:keepLines/>
              <w:rPr>
                <w:sz w:val="20"/>
                <w:szCs w:val="20"/>
              </w:rPr>
            </w:pPr>
            <w:r w:rsidRPr="006A0FB9">
              <w:rPr>
                <w:rFonts w:eastAsia="Times New Roman" w:cs="Times New Roman"/>
                <w:sz w:val="20"/>
                <w:szCs w:val="20"/>
              </w:rPr>
              <w:t>Partial recovery</w:t>
            </w:r>
          </w:p>
        </w:tc>
      </w:tr>
      <w:tr w:rsidR="00FB63A0" w:rsidRPr="006A0FB9" w14:paraId="6C3B43E1" w14:textId="77777777" w:rsidTr="006A0FB9">
        <w:trPr>
          <w:cantSplit/>
          <w:jc w:val="center"/>
        </w:trPr>
        <w:tc>
          <w:tcPr>
            <w:tcW w:w="1656" w:type="dxa"/>
            <w:tcMar>
              <w:top w:w="30" w:type="dxa"/>
              <w:left w:w="45" w:type="dxa"/>
              <w:bottom w:w="30" w:type="dxa"/>
              <w:right w:w="45" w:type="dxa"/>
            </w:tcMar>
          </w:tcPr>
          <w:p w14:paraId="68627804" w14:textId="77777777" w:rsidR="00CF70CD" w:rsidRDefault="00000000">
            <w:r>
              <w:rPr>
                <w:rFonts w:eastAsia="Times New Roman"/>
                <w:sz w:val="16"/>
              </w:rPr>
              <w:t>(Ayalew et al., 2025)</w:t>
            </w:r>
          </w:p>
        </w:tc>
        <w:tc>
          <w:tcPr>
            <w:tcW w:w="1037" w:type="dxa"/>
            <w:tcMar>
              <w:top w:w="30" w:type="dxa"/>
              <w:left w:w="45" w:type="dxa"/>
              <w:bottom w:w="30" w:type="dxa"/>
              <w:right w:w="45" w:type="dxa"/>
            </w:tcMar>
          </w:tcPr>
          <w:p w14:paraId="24A32AB0" w14:textId="77777777" w:rsidR="00FB63A0" w:rsidRPr="006A0FB9" w:rsidRDefault="00FB63A0" w:rsidP="00FB63A0">
            <w:pPr>
              <w:keepLines/>
              <w:rPr>
                <w:sz w:val="20"/>
                <w:szCs w:val="20"/>
              </w:rPr>
            </w:pPr>
            <w:r w:rsidRPr="006A0FB9">
              <w:rPr>
                <w:rFonts w:eastAsia="Times New Roman" w:cs="Times New Roman"/>
                <w:sz w:val="20"/>
                <w:szCs w:val="20"/>
              </w:rPr>
              <w:t>Ethiopia</w:t>
            </w:r>
          </w:p>
        </w:tc>
        <w:tc>
          <w:tcPr>
            <w:tcW w:w="1224" w:type="dxa"/>
            <w:tcMar>
              <w:top w:w="30" w:type="dxa"/>
              <w:left w:w="45" w:type="dxa"/>
              <w:bottom w:w="30" w:type="dxa"/>
              <w:right w:w="45" w:type="dxa"/>
            </w:tcMar>
          </w:tcPr>
          <w:p w14:paraId="22A977B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5A6319F2"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(46 days old</w:t>
            </w:r>
            <w:r w:rsidR="00FB7DB2" w:rsidRPr="006A0FB9">
              <w:rPr>
                <w:rFonts w:eastAsia="Times New Roman" w:cs="Times New Roman"/>
                <w:sz w:val="20"/>
                <w:szCs w:val="20"/>
              </w:rPr>
              <w:t>, one patient)</w:t>
            </w:r>
          </w:p>
        </w:tc>
        <w:tc>
          <w:tcPr>
            <w:tcW w:w="1656" w:type="dxa"/>
            <w:tcMar>
              <w:top w:w="30" w:type="dxa"/>
              <w:left w:w="45" w:type="dxa"/>
              <w:bottom w:w="30" w:type="dxa"/>
              <w:right w:w="45" w:type="dxa"/>
            </w:tcMar>
          </w:tcPr>
          <w:p w14:paraId="26E75107"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131C338A" w14:textId="77777777" w:rsidR="00FB63A0" w:rsidRPr="006A0FB9" w:rsidRDefault="00FB63A0" w:rsidP="00FB63A0">
            <w:pPr>
              <w:keepLines/>
              <w:rPr>
                <w:sz w:val="20"/>
                <w:szCs w:val="20"/>
              </w:rPr>
            </w:pPr>
            <w:r w:rsidRPr="006A0FB9">
              <w:rPr>
                <w:rFonts w:eastAsia="Times New Roman" w:cs="Times New Roman"/>
                <w:sz w:val="20"/>
                <w:szCs w:val="20"/>
              </w:rPr>
              <w:t>Unskilled provider</w:t>
            </w:r>
          </w:p>
        </w:tc>
        <w:tc>
          <w:tcPr>
            <w:tcW w:w="1440" w:type="dxa"/>
            <w:tcMar>
              <w:top w:w="30" w:type="dxa"/>
              <w:left w:w="45" w:type="dxa"/>
              <w:bottom w:w="30" w:type="dxa"/>
              <w:right w:w="45" w:type="dxa"/>
            </w:tcMar>
          </w:tcPr>
          <w:p w14:paraId="3BF1FF3D" w14:textId="77777777" w:rsidR="00FB63A0" w:rsidRPr="006A0FB9" w:rsidRDefault="00FB63A0" w:rsidP="00FB63A0">
            <w:pPr>
              <w:keepLines/>
              <w:rPr>
                <w:sz w:val="20"/>
                <w:szCs w:val="20"/>
              </w:rPr>
            </w:pPr>
            <w:r w:rsidRPr="006A0FB9">
              <w:rPr>
                <w:rFonts w:eastAsia="Times New Roman" w:cs="Times New Roman"/>
                <w:sz w:val="20"/>
                <w:szCs w:val="20"/>
              </w:rPr>
              <w:t>Rural setting</w:t>
            </w:r>
          </w:p>
        </w:tc>
        <w:tc>
          <w:tcPr>
            <w:tcW w:w="1325" w:type="dxa"/>
            <w:tcMar>
              <w:top w:w="30" w:type="dxa"/>
              <w:left w:w="45" w:type="dxa"/>
              <w:bottom w:w="30" w:type="dxa"/>
              <w:right w:w="45" w:type="dxa"/>
            </w:tcMar>
          </w:tcPr>
          <w:p w14:paraId="4DD99349"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2EF44657" w14:textId="77777777" w:rsidR="00FB63A0" w:rsidRPr="006A0FB9" w:rsidRDefault="00FB63A0" w:rsidP="00FB63A0">
            <w:pPr>
              <w:keepLines/>
              <w:rPr>
                <w:sz w:val="20"/>
                <w:szCs w:val="20"/>
              </w:rPr>
            </w:pPr>
            <w:r w:rsidRPr="006A0FB9">
              <w:rPr>
                <w:rFonts w:eastAsia="Times New Roman" w:cs="Times New Roman"/>
                <w:sz w:val="20"/>
                <w:szCs w:val="20"/>
              </w:rPr>
              <w:t>Variable outcome</w:t>
            </w:r>
          </w:p>
        </w:tc>
      </w:tr>
      <w:tr w:rsidR="00FB63A0" w:rsidRPr="006A0FB9" w14:paraId="126C2344" w14:textId="77777777" w:rsidTr="006A0FB9">
        <w:trPr>
          <w:cantSplit/>
          <w:jc w:val="center"/>
        </w:trPr>
        <w:tc>
          <w:tcPr>
            <w:tcW w:w="1656" w:type="dxa"/>
            <w:tcMar>
              <w:top w:w="30" w:type="dxa"/>
              <w:left w:w="45" w:type="dxa"/>
              <w:bottom w:w="30" w:type="dxa"/>
              <w:right w:w="45" w:type="dxa"/>
            </w:tcMar>
          </w:tcPr>
          <w:p w14:paraId="38A80B7F" w14:textId="77777777" w:rsidR="00CF70CD" w:rsidRDefault="00000000">
            <w:r>
              <w:rPr>
                <w:rFonts w:eastAsia="Times New Roman"/>
                <w:sz w:val="16"/>
              </w:rPr>
              <w:t>(Banihani et al., 2014)</w:t>
            </w:r>
          </w:p>
        </w:tc>
        <w:tc>
          <w:tcPr>
            <w:tcW w:w="1037" w:type="dxa"/>
            <w:tcMar>
              <w:top w:w="30" w:type="dxa"/>
              <w:left w:w="45" w:type="dxa"/>
              <w:bottom w:w="30" w:type="dxa"/>
              <w:right w:w="45" w:type="dxa"/>
            </w:tcMar>
          </w:tcPr>
          <w:p w14:paraId="21CDCB40" w14:textId="77777777" w:rsidR="00FB63A0" w:rsidRPr="006A0FB9" w:rsidRDefault="00FB63A0" w:rsidP="00FB63A0">
            <w:pPr>
              <w:keepLines/>
              <w:rPr>
                <w:sz w:val="20"/>
                <w:szCs w:val="20"/>
              </w:rPr>
            </w:pPr>
            <w:r w:rsidRPr="006A0FB9">
              <w:rPr>
                <w:rFonts w:eastAsia="Times New Roman" w:cs="Times New Roman"/>
                <w:sz w:val="20"/>
                <w:szCs w:val="20"/>
              </w:rPr>
              <w:t>Jordan</w:t>
            </w:r>
          </w:p>
        </w:tc>
        <w:tc>
          <w:tcPr>
            <w:tcW w:w="1224" w:type="dxa"/>
            <w:tcMar>
              <w:top w:w="30" w:type="dxa"/>
              <w:left w:w="45" w:type="dxa"/>
              <w:bottom w:w="30" w:type="dxa"/>
              <w:right w:w="45" w:type="dxa"/>
            </w:tcMar>
          </w:tcPr>
          <w:p w14:paraId="6EFB0DFE"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054CEDF" w14:textId="77777777" w:rsidR="00FB63A0" w:rsidRPr="006A0FB9" w:rsidRDefault="00FB63A0" w:rsidP="00FB63A0">
            <w:pPr>
              <w:keepLines/>
              <w:rPr>
                <w:sz w:val="20"/>
                <w:szCs w:val="20"/>
              </w:rPr>
            </w:pPr>
            <w:r w:rsidRPr="006A0FB9">
              <w:rPr>
                <w:rFonts w:eastAsia="Times New Roman" w:cs="Times New Roman"/>
                <w:sz w:val="20"/>
                <w:szCs w:val="20"/>
              </w:rPr>
              <w:t>Neonate</w:t>
            </w:r>
            <w:r w:rsidR="003A03C9" w:rsidRPr="006A0FB9">
              <w:rPr>
                <w:rFonts w:eastAsia="Times New Roman" w:cs="Times New Roman"/>
                <w:sz w:val="20"/>
                <w:szCs w:val="20"/>
              </w:rPr>
              <w:t xml:space="preserve"> (7 days old, one patient)</w:t>
            </w:r>
          </w:p>
        </w:tc>
        <w:tc>
          <w:tcPr>
            <w:tcW w:w="1656" w:type="dxa"/>
            <w:tcMar>
              <w:top w:w="30" w:type="dxa"/>
              <w:left w:w="45" w:type="dxa"/>
              <w:bottom w:w="30" w:type="dxa"/>
              <w:right w:w="45" w:type="dxa"/>
            </w:tcMar>
          </w:tcPr>
          <w:p w14:paraId="409115C2"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18FC77AA"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28877379"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6F65C411"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2E1FBB96"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6293C912" w14:textId="77777777" w:rsidTr="006A0FB9">
        <w:trPr>
          <w:cantSplit/>
          <w:jc w:val="center"/>
        </w:trPr>
        <w:tc>
          <w:tcPr>
            <w:tcW w:w="1656" w:type="dxa"/>
            <w:tcMar>
              <w:top w:w="30" w:type="dxa"/>
              <w:left w:w="45" w:type="dxa"/>
              <w:bottom w:w="30" w:type="dxa"/>
              <w:right w:w="45" w:type="dxa"/>
            </w:tcMar>
          </w:tcPr>
          <w:p w14:paraId="59919CE7" w14:textId="77777777" w:rsidR="00CF70CD" w:rsidRDefault="00000000">
            <w:r>
              <w:rPr>
                <w:rFonts w:eastAsia="Times New Roman"/>
                <w:sz w:val="16"/>
              </w:rPr>
              <w:t>(Elmi et al., 2026)</w:t>
            </w:r>
          </w:p>
        </w:tc>
        <w:tc>
          <w:tcPr>
            <w:tcW w:w="1037" w:type="dxa"/>
            <w:tcMar>
              <w:top w:w="30" w:type="dxa"/>
              <w:left w:w="45" w:type="dxa"/>
              <w:bottom w:w="30" w:type="dxa"/>
              <w:right w:w="45" w:type="dxa"/>
            </w:tcMar>
          </w:tcPr>
          <w:p w14:paraId="423D2269" w14:textId="77777777" w:rsidR="00FB63A0" w:rsidRPr="006A0FB9" w:rsidRDefault="00FB63A0" w:rsidP="00FB63A0">
            <w:pPr>
              <w:keepLines/>
              <w:rPr>
                <w:sz w:val="20"/>
                <w:szCs w:val="20"/>
              </w:rPr>
            </w:pPr>
            <w:r w:rsidRPr="006A0FB9">
              <w:rPr>
                <w:rFonts w:eastAsia="Times New Roman" w:cs="Times New Roman"/>
                <w:sz w:val="20"/>
                <w:szCs w:val="20"/>
              </w:rPr>
              <w:t>Somalia</w:t>
            </w:r>
          </w:p>
        </w:tc>
        <w:tc>
          <w:tcPr>
            <w:tcW w:w="1224" w:type="dxa"/>
            <w:tcMar>
              <w:top w:w="30" w:type="dxa"/>
              <w:left w:w="45" w:type="dxa"/>
              <w:bottom w:w="30" w:type="dxa"/>
              <w:right w:w="45" w:type="dxa"/>
            </w:tcMar>
          </w:tcPr>
          <w:p w14:paraId="3E5DDD7A"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3206682A" w14:textId="77777777" w:rsidR="00FB63A0" w:rsidRPr="006A0FB9" w:rsidRDefault="00FB63A0" w:rsidP="00FB63A0">
            <w:pPr>
              <w:keepLines/>
              <w:rPr>
                <w:sz w:val="20"/>
                <w:szCs w:val="20"/>
              </w:rPr>
            </w:pPr>
            <w:r w:rsidRPr="006A0FB9">
              <w:rPr>
                <w:rFonts w:eastAsia="Times New Roman" w:cs="Times New Roman"/>
                <w:sz w:val="20"/>
                <w:szCs w:val="20"/>
              </w:rPr>
              <w:t>Child</w:t>
            </w:r>
            <w:r w:rsidR="003A03C9" w:rsidRPr="006A0FB9">
              <w:rPr>
                <w:rFonts w:eastAsia="Times New Roman" w:cs="Times New Roman"/>
                <w:sz w:val="20"/>
                <w:szCs w:val="20"/>
              </w:rPr>
              <w:t xml:space="preserve"> (one year old, one patient)</w:t>
            </w:r>
          </w:p>
        </w:tc>
        <w:tc>
          <w:tcPr>
            <w:tcW w:w="1656" w:type="dxa"/>
            <w:tcMar>
              <w:top w:w="30" w:type="dxa"/>
              <w:left w:w="45" w:type="dxa"/>
              <w:bottom w:w="30" w:type="dxa"/>
              <w:right w:w="45" w:type="dxa"/>
            </w:tcMar>
          </w:tcPr>
          <w:p w14:paraId="3AD6DABD"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5F926970" w14:textId="77777777" w:rsidR="00FB63A0" w:rsidRPr="006A0FB9" w:rsidRDefault="00FB63A0" w:rsidP="00FB63A0">
            <w:pPr>
              <w:keepLines/>
              <w:rPr>
                <w:sz w:val="20"/>
                <w:szCs w:val="20"/>
              </w:rPr>
            </w:pPr>
            <w:r w:rsidRPr="006A0FB9">
              <w:rPr>
                <w:rFonts w:eastAsia="Times New Roman" w:cs="Times New Roman"/>
                <w:sz w:val="20"/>
                <w:szCs w:val="20"/>
              </w:rPr>
              <w:t>Traditional circumcision</w:t>
            </w:r>
          </w:p>
        </w:tc>
        <w:tc>
          <w:tcPr>
            <w:tcW w:w="1440" w:type="dxa"/>
            <w:tcMar>
              <w:top w:w="30" w:type="dxa"/>
              <w:left w:w="45" w:type="dxa"/>
              <w:bottom w:w="30" w:type="dxa"/>
              <w:right w:w="45" w:type="dxa"/>
            </w:tcMar>
          </w:tcPr>
          <w:p w14:paraId="0EE3D34B" w14:textId="77777777" w:rsidR="00FB63A0" w:rsidRPr="006A0FB9" w:rsidRDefault="00FB63A0" w:rsidP="00FB63A0">
            <w:pPr>
              <w:keepLines/>
              <w:rPr>
                <w:sz w:val="20"/>
                <w:szCs w:val="20"/>
              </w:rPr>
            </w:pPr>
            <w:r w:rsidRPr="006A0FB9">
              <w:rPr>
                <w:rFonts w:eastAsia="Times New Roman" w:cs="Times New Roman"/>
                <w:sz w:val="20"/>
                <w:szCs w:val="20"/>
              </w:rPr>
              <w:t>Non-clinical</w:t>
            </w:r>
          </w:p>
        </w:tc>
        <w:tc>
          <w:tcPr>
            <w:tcW w:w="1325" w:type="dxa"/>
            <w:tcMar>
              <w:top w:w="30" w:type="dxa"/>
              <w:left w:w="45" w:type="dxa"/>
              <w:bottom w:w="30" w:type="dxa"/>
              <w:right w:w="45" w:type="dxa"/>
            </w:tcMar>
          </w:tcPr>
          <w:p w14:paraId="552DA369"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52E2D1B4" w14:textId="77777777" w:rsidR="00FB63A0" w:rsidRPr="006A0FB9" w:rsidRDefault="00FB63A0" w:rsidP="00FB63A0">
            <w:pPr>
              <w:keepLines/>
              <w:rPr>
                <w:sz w:val="20"/>
                <w:szCs w:val="20"/>
              </w:rPr>
            </w:pPr>
            <w:r w:rsidRPr="006A0FB9">
              <w:rPr>
                <w:rFonts w:eastAsia="Times New Roman" w:cs="Times New Roman"/>
                <w:sz w:val="20"/>
                <w:szCs w:val="20"/>
              </w:rPr>
              <w:t>Acceptable outcome</w:t>
            </w:r>
          </w:p>
        </w:tc>
      </w:tr>
      <w:tr w:rsidR="00FB63A0" w:rsidRPr="006A0FB9" w14:paraId="2314D78F" w14:textId="77777777" w:rsidTr="006A0FB9">
        <w:trPr>
          <w:cantSplit/>
          <w:jc w:val="center"/>
        </w:trPr>
        <w:tc>
          <w:tcPr>
            <w:tcW w:w="1656" w:type="dxa"/>
            <w:tcMar>
              <w:top w:w="30" w:type="dxa"/>
              <w:left w:w="45" w:type="dxa"/>
              <w:bottom w:w="30" w:type="dxa"/>
              <w:right w:w="45" w:type="dxa"/>
            </w:tcMar>
          </w:tcPr>
          <w:p w14:paraId="5A9599D8" w14:textId="77777777" w:rsidR="00CF70CD" w:rsidRDefault="00000000">
            <w:r>
              <w:rPr>
                <w:rFonts w:eastAsia="Times New Roman"/>
                <w:sz w:val="16"/>
              </w:rPr>
              <w:t>(Garrido-Abad &amp; Suarez-Fonseca, 2015)</w:t>
            </w:r>
          </w:p>
        </w:tc>
        <w:tc>
          <w:tcPr>
            <w:tcW w:w="1037" w:type="dxa"/>
            <w:tcMar>
              <w:top w:w="30" w:type="dxa"/>
              <w:left w:w="45" w:type="dxa"/>
              <w:bottom w:w="30" w:type="dxa"/>
              <w:right w:w="45" w:type="dxa"/>
            </w:tcMar>
          </w:tcPr>
          <w:p w14:paraId="383BD94C" w14:textId="77777777" w:rsidR="00FB63A0" w:rsidRPr="006A0FB9" w:rsidRDefault="00FB63A0" w:rsidP="00FB63A0">
            <w:pPr>
              <w:keepLines/>
              <w:rPr>
                <w:sz w:val="20"/>
                <w:szCs w:val="20"/>
              </w:rPr>
            </w:pPr>
            <w:r w:rsidRPr="006A0FB9">
              <w:rPr>
                <w:rFonts w:eastAsia="Times New Roman" w:cs="Times New Roman"/>
                <w:sz w:val="20"/>
                <w:szCs w:val="20"/>
              </w:rPr>
              <w:t>Spain</w:t>
            </w:r>
          </w:p>
        </w:tc>
        <w:tc>
          <w:tcPr>
            <w:tcW w:w="1224" w:type="dxa"/>
            <w:tcMar>
              <w:top w:w="30" w:type="dxa"/>
              <w:left w:w="45" w:type="dxa"/>
              <w:bottom w:w="30" w:type="dxa"/>
              <w:right w:w="45" w:type="dxa"/>
            </w:tcMar>
          </w:tcPr>
          <w:p w14:paraId="6B0C0CAD"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84F4168"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(3 years old, one patient)</w:t>
            </w:r>
          </w:p>
        </w:tc>
        <w:tc>
          <w:tcPr>
            <w:tcW w:w="1656" w:type="dxa"/>
            <w:tcMar>
              <w:top w:w="30" w:type="dxa"/>
              <w:left w:w="45" w:type="dxa"/>
              <w:bottom w:w="30" w:type="dxa"/>
              <w:right w:w="45" w:type="dxa"/>
            </w:tcMar>
          </w:tcPr>
          <w:p w14:paraId="238D16AA" w14:textId="77777777" w:rsidR="00FB63A0" w:rsidRPr="006A0FB9" w:rsidRDefault="00FB63A0" w:rsidP="00FB63A0">
            <w:pPr>
              <w:keepLines/>
              <w:rPr>
                <w:sz w:val="20"/>
                <w:szCs w:val="20"/>
              </w:rPr>
            </w:pPr>
            <w:r w:rsidRPr="006A0FB9">
              <w:rPr>
                <w:rFonts w:eastAsia="Times New Roman" w:cs="Times New Roman"/>
                <w:sz w:val="20"/>
                <w:szCs w:val="20"/>
              </w:rPr>
              <w:t>Glans ischemia/necrosis</w:t>
            </w:r>
          </w:p>
        </w:tc>
        <w:tc>
          <w:tcPr>
            <w:tcW w:w="1512" w:type="dxa"/>
            <w:tcMar>
              <w:top w:w="30" w:type="dxa"/>
              <w:left w:w="45" w:type="dxa"/>
              <w:bottom w:w="30" w:type="dxa"/>
              <w:right w:w="45" w:type="dxa"/>
            </w:tcMar>
          </w:tcPr>
          <w:p w14:paraId="76AB301A" w14:textId="77777777" w:rsidR="00FB63A0" w:rsidRPr="006A0FB9" w:rsidRDefault="00FB63A0" w:rsidP="00FB63A0">
            <w:pPr>
              <w:keepLines/>
              <w:rPr>
                <w:sz w:val="20"/>
                <w:szCs w:val="20"/>
              </w:rPr>
            </w:pPr>
            <w:r w:rsidRPr="006A0FB9">
              <w:rPr>
                <w:rFonts w:eastAsia="Times New Roman" w:cs="Times New Roman"/>
                <w:sz w:val="20"/>
                <w:szCs w:val="20"/>
              </w:rPr>
              <w:t>Dorsal nerve block</w:t>
            </w:r>
          </w:p>
        </w:tc>
        <w:tc>
          <w:tcPr>
            <w:tcW w:w="1440" w:type="dxa"/>
            <w:tcMar>
              <w:top w:w="30" w:type="dxa"/>
              <w:left w:w="45" w:type="dxa"/>
              <w:bottom w:w="30" w:type="dxa"/>
              <w:right w:w="45" w:type="dxa"/>
            </w:tcMar>
          </w:tcPr>
          <w:p w14:paraId="20614611"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4EC9ADF3" w14:textId="77777777" w:rsidR="00FB63A0" w:rsidRPr="006A0FB9" w:rsidRDefault="00FB63A0" w:rsidP="00FB63A0">
            <w:pPr>
              <w:keepLines/>
              <w:rPr>
                <w:sz w:val="20"/>
                <w:szCs w:val="20"/>
              </w:rPr>
            </w:pPr>
            <w:r w:rsidRPr="006A0FB9">
              <w:rPr>
                <w:rFonts w:eastAsia="Times New Roman" w:cs="Times New Roman"/>
                <w:sz w:val="20"/>
                <w:szCs w:val="20"/>
              </w:rPr>
              <w:t>Conservative + HBOT</w:t>
            </w:r>
          </w:p>
        </w:tc>
        <w:tc>
          <w:tcPr>
            <w:tcW w:w="1454" w:type="dxa"/>
            <w:tcMar>
              <w:top w:w="30" w:type="dxa"/>
              <w:left w:w="45" w:type="dxa"/>
              <w:bottom w:w="30" w:type="dxa"/>
              <w:right w:w="45" w:type="dxa"/>
            </w:tcMar>
          </w:tcPr>
          <w:p w14:paraId="2A2330D3"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7CDEB73B" w14:textId="77777777" w:rsidTr="006A0FB9">
        <w:trPr>
          <w:cantSplit/>
          <w:jc w:val="center"/>
        </w:trPr>
        <w:tc>
          <w:tcPr>
            <w:tcW w:w="1656" w:type="dxa"/>
            <w:tcMar>
              <w:top w:w="30" w:type="dxa"/>
              <w:left w:w="45" w:type="dxa"/>
              <w:bottom w:w="30" w:type="dxa"/>
              <w:right w:w="45" w:type="dxa"/>
            </w:tcMar>
          </w:tcPr>
          <w:p w14:paraId="719E58AC" w14:textId="77777777" w:rsidR="00CF70CD" w:rsidRDefault="00000000">
            <w:r>
              <w:rPr>
                <w:rFonts w:eastAsia="Times New Roman"/>
                <w:sz w:val="16"/>
              </w:rPr>
              <w:t>(M. B. I. Hakim et al., 2023)</w:t>
            </w:r>
          </w:p>
        </w:tc>
        <w:tc>
          <w:tcPr>
            <w:tcW w:w="1037" w:type="dxa"/>
            <w:tcMar>
              <w:top w:w="30" w:type="dxa"/>
              <w:left w:w="45" w:type="dxa"/>
              <w:bottom w:w="30" w:type="dxa"/>
              <w:right w:w="45" w:type="dxa"/>
            </w:tcMar>
          </w:tcPr>
          <w:p w14:paraId="62BCA283"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79B3684F"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72B58E0A" w14:textId="77777777" w:rsidR="00FB63A0" w:rsidRPr="006A0FB9" w:rsidRDefault="00FB63A0" w:rsidP="00FB63A0">
            <w:pPr>
              <w:keepLines/>
              <w:rPr>
                <w:sz w:val="20"/>
                <w:szCs w:val="20"/>
              </w:rPr>
            </w:pPr>
            <w:r w:rsidRPr="006A0FB9">
              <w:rPr>
                <w:rFonts w:eastAsia="Times New Roman" w:cs="Times New Roman"/>
                <w:sz w:val="20"/>
                <w:szCs w:val="20"/>
              </w:rPr>
              <w:t>Child</w:t>
            </w:r>
            <w:r w:rsidR="00E22606" w:rsidRPr="006A0FB9">
              <w:rPr>
                <w:rFonts w:eastAsia="Times New Roman" w:cs="Times New Roman"/>
                <w:sz w:val="20"/>
                <w:szCs w:val="20"/>
              </w:rPr>
              <w:t xml:space="preserve"> (8 years old, one patient)</w:t>
            </w:r>
          </w:p>
        </w:tc>
        <w:tc>
          <w:tcPr>
            <w:tcW w:w="1656" w:type="dxa"/>
            <w:tcMar>
              <w:top w:w="30" w:type="dxa"/>
              <w:left w:w="45" w:type="dxa"/>
              <w:bottom w:w="30" w:type="dxa"/>
              <w:right w:w="45" w:type="dxa"/>
            </w:tcMar>
          </w:tcPr>
          <w:p w14:paraId="3A1712D7"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223A89AA" w14:textId="77777777" w:rsidR="00FB63A0" w:rsidRPr="006A0FB9" w:rsidRDefault="00FB63A0" w:rsidP="00FB63A0">
            <w:pPr>
              <w:keepLines/>
              <w:rPr>
                <w:sz w:val="20"/>
                <w:szCs w:val="20"/>
              </w:rPr>
            </w:pPr>
            <w:r w:rsidRPr="006A0FB9">
              <w:rPr>
                <w:rFonts w:eastAsia="Times New Roman" w:cs="Times New Roman"/>
                <w:sz w:val="20"/>
                <w:szCs w:val="20"/>
              </w:rPr>
              <w:t>Clamp injury</w:t>
            </w:r>
          </w:p>
        </w:tc>
        <w:tc>
          <w:tcPr>
            <w:tcW w:w="1440" w:type="dxa"/>
            <w:tcMar>
              <w:top w:w="30" w:type="dxa"/>
              <w:left w:w="45" w:type="dxa"/>
              <w:bottom w:w="30" w:type="dxa"/>
              <w:right w:w="45" w:type="dxa"/>
            </w:tcMar>
          </w:tcPr>
          <w:p w14:paraId="3AC00424"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736BBA8F"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06E0E5DB" w14:textId="77777777" w:rsidR="00FB63A0" w:rsidRPr="006A0FB9" w:rsidRDefault="00FB63A0" w:rsidP="00FB63A0">
            <w:pPr>
              <w:keepLines/>
              <w:rPr>
                <w:sz w:val="20"/>
                <w:szCs w:val="20"/>
              </w:rPr>
            </w:pPr>
            <w:r w:rsidRPr="006A0FB9">
              <w:rPr>
                <w:rFonts w:eastAsia="Times New Roman" w:cs="Times New Roman"/>
                <w:sz w:val="20"/>
                <w:szCs w:val="20"/>
              </w:rPr>
              <w:t>Functional recovery</w:t>
            </w:r>
          </w:p>
        </w:tc>
      </w:tr>
      <w:tr w:rsidR="00FB63A0" w:rsidRPr="006A0FB9" w14:paraId="6B79DDDE" w14:textId="77777777" w:rsidTr="006A0FB9">
        <w:trPr>
          <w:cantSplit/>
          <w:jc w:val="center"/>
        </w:trPr>
        <w:tc>
          <w:tcPr>
            <w:tcW w:w="1656" w:type="dxa"/>
            <w:tcMar>
              <w:top w:w="30" w:type="dxa"/>
              <w:left w:w="45" w:type="dxa"/>
              <w:bottom w:w="30" w:type="dxa"/>
              <w:right w:w="45" w:type="dxa"/>
            </w:tcMar>
          </w:tcPr>
          <w:p w14:paraId="072846E0" w14:textId="77777777" w:rsidR="00CF70CD" w:rsidRDefault="00000000">
            <w:r>
              <w:rPr>
                <w:rFonts w:eastAsia="Times New Roman"/>
                <w:sz w:val="16"/>
              </w:rPr>
              <w:t>(Lucas et al., 2020)</w:t>
            </w:r>
          </w:p>
        </w:tc>
        <w:tc>
          <w:tcPr>
            <w:tcW w:w="1037" w:type="dxa"/>
            <w:tcMar>
              <w:top w:w="30" w:type="dxa"/>
              <w:left w:w="45" w:type="dxa"/>
              <w:bottom w:w="30" w:type="dxa"/>
              <w:right w:w="45" w:type="dxa"/>
            </w:tcMar>
          </w:tcPr>
          <w:p w14:paraId="2F33BD58" w14:textId="77777777" w:rsidR="00FB63A0" w:rsidRPr="006A0FB9" w:rsidRDefault="00FB63A0" w:rsidP="00FB63A0">
            <w:pPr>
              <w:keepLines/>
              <w:rPr>
                <w:sz w:val="20"/>
                <w:szCs w:val="20"/>
              </w:rPr>
            </w:pPr>
            <w:r w:rsidRPr="006A0FB9">
              <w:rPr>
                <w:rFonts w:eastAsia="Times New Roman" w:cs="Times New Roman"/>
                <w:sz w:val="20"/>
                <w:szCs w:val="20"/>
              </w:rPr>
              <w:t>Multi-country (Africa)</w:t>
            </w:r>
          </w:p>
        </w:tc>
        <w:tc>
          <w:tcPr>
            <w:tcW w:w="1224" w:type="dxa"/>
            <w:tcMar>
              <w:top w:w="30" w:type="dxa"/>
              <w:left w:w="45" w:type="dxa"/>
              <w:bottom w:w="30" w:type="dxa"/>
              <w:right w:w="45" w:type="dxa"/>
            </w:tcMar>
          </w:tcPr>
          <w:p w14:paraId="6EF394C2"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119ED4BC" w14:textId="77777777" w:rsidR="00FB63A0" w:rsidRPr="006A0FB9" w:rsidRDefault="00FB63A0" w:rsidP="00FB63A0">
            <w:pPr>
              <w:keepLines/>
              <w:rPr>
                <w:sz w:val="20"/>
                <w:szCs w:val="20"/>
              </w:rPr>
            </w:pPr>
            <w:r w:rsidRPr="006A0FB9">
              <w:rPr>
                <w:rFonts w:eastAsia="Times New Roman" w:cs="Times New Roman"/>
                <w:sz w:val="20"/>
                <w:szCs w:val="20"/>
              </w:rPr>
              <w:t>Children</w:t>
            </w:r>
            <w:r w:rsidR="00E22606" w:rsidRPr="006A0FB9">
              <w:rPr>
                <w:rFonts w:eastAsia="Times New Roman" w:cs="Times New Roman"/>
                <w:sz w:val="20"/>
                <w:szCs w:val="20"/>
              </w:rPr>
              <w:t xml:space="preserve"> </w:t>
            </w:r>
            <w:r w:rsidR="009F1834" w:rsidRPr="006A0FB9">
              <w:rPr>
                <w:rFonts w:eastAsia="Times New Roman" w:cs="Times New Roman"/>
                <w:sz w:val="20"/>
                <w:szCs w:val="20"/>
              </w:rPr>
              <w:t>(0-14 years old, 36 patient</w:t>
            </w:r>
            <w:r w:rsidR="00D9246D" w:rsidRPr="006A0FB9">
              <w:rPr>
                <w:rFonts w:eastAsia="Times New Roman" w:cs="Times New Roman"/>
                <w:sz w:val="20"/>
                <w:szCs w:val="20"/>
              </w:rPr>
              <w:t>s</w:t>
            </w:r>
            <w:r w:rsidR="009F1834" w:rsidRPr="006A0FB9">
              <w:rPr>
                <w:rFonts w:eastAsia="Times New Roman" w:cs="Times New Roman"/>
                <w:sz w:val="20"/>
                <w:szCs w:val="20"/>
              </w:rPr>
              <w:t>/case</w:t>
            </w:r>
            <w:r w:rsidR="00D9246D" w:rsidRPr="006A0FB9">
              <w:rPr>
                <w:rFonts w:eastAsia="Times New Roman" w:cs="Times New Roman"/>
                <w:sz w:val="20"/>
                <w:szCs w:val="20"/>
              </w:rPr>
              <w:t>s</w:t>
            </w:r>
            <w:r w:rsidR="009F1834" w:rsidRPr="006A0FB9">
              <w:rPr>
                <w:rFonts w:eastAsia="Times New Roman" w:cs="Times New Roman"/>
                <w:sz w:val="20"/>
                <w:szCs w:val="20"/>
              </w:rPr>
              <w:t>)</w:t>
            </w:r>
          </w:p>
        </w:tc>
        <w:tc>
          <w:tcPr>
            <w:tcW w:w="1656" w:type="dxa"/>
            <w:tcMar>
              <w:top w:w="30" w:type="dxa"/>
              <w:left w:w="45" w:type="dxa"/>
              <w:bottom w:w="30" w:type="dxa"/>
              <w:right w:w="45" w:type="dxa"/>
            </w:tcMar>
          </w:tcPr>
          <w:p w14:paraId="1553E653" w14:textId="77777777" w:rsidR="00FB63A0" w:rsidRPr="006A0FB9" w:rsidRDefault="00FB63A0" w:rsidP="00FB63A0">
            <w:pPr>
              <w:keepLines/>
              <w:rPr>
                <w:sz w:val="20"/>
                <w:szCs w:val="20"/>
              </w:rPr>
            </w:pPr>
            <w:r w:rsidRPr="006A0FB9">
              <w:rPr>
                <w:rFonts w:eastAsia="Times New Roman" w:cs="Times New Roman"/>
                <w:sz w:val="20"/>
                <w:szCs w:val="20"/>
              </w:rPr>
              <w:t>Glans laceration/amputation</w:t>
            </w:r>
          </w:p>
        </w:tc>
        <w:tc>
          <w:tcPr>
            <w:tcW w:w="1512" w:type="dxa"/>
            <w:tcMar>
              <w:top w:w="30" w:type="dxa"/>
              <w:left w:w="45" w:type="dxa"/>
              <w:bottom w:w="30" w:type="dxa"/>
              <w:right w:w="45" w:type="dxa"/>
            </w:tcMar>
          </w:tcPr>
          <w:p w14:paraId="4EB7B034" w14:textId="77777777" w:rsidR="00FB63A0" w:rsidRPr="006A0FB9" w:rsidRDefault="00FB63A0" w:rsidP="00FB63A0">
            <w:pPr>
              <w:keepLines/>
              <w:rPr>
                <w:sz w:val="20"/>
                <w:szCs w:val="20"/>
              </w:rPr>
            </w:pPr>
            <w:r w:rsidRPr="006A0FB9">
              <w:rPr>
                <w:rFonts w:eastAsia="Times New Roman" w:cs="Times New Roman"/>
                <w:sz w:val="20"/>
                <w:szCs w:val="20"/>
              </w:rPr>
              <w:t>Forceps-guided technique</w:t>
            </w:r>
          </w:p>
        </w:tc>
        <w:tc>
          <w:tcPr>
            <w:tcW w:w="1440" w:type="dxa"/>
            <w:tcMar>
              <w:top w:w="30" w:type="dxa"/>
              <w:left w:w="45" w:type="dxa"/>
              <w:bottom w:w="30" w:type="dxa"/>
              <w:right w:w="45" w:type="dxa"/>
            </w:tcMar>
          </w:tcPr>
          <w:p w14:paraId="77EFA19D" w14:textId="77777777" w:rsidR="00FB63A0" w:rsidRPr="006A0FB9" w:rsidRDefault="00FB63A0" w:rsidP="00FB63A0">
            <w:pPr>
              <w:keepLines/>
              <w:rPr>
                <w:sz w:val="20"/>
                <w:szCs w:val="20"/>
              </w:rPr>
            </w:pPr>
            <w:r w:rsidRPr="006A0FB9">
              <w:rPr>
                <w:rFonts w:eastAsia="Times New Roman" w:cs="Times New Roman"/>
                <w:sz w:val="20"/>
                <w:szCs w:val="20"/>
              </w:rPr>
              <w:t>Programmatic VMMC</w:t>
            </w:r>
          </w:p>
        </w:tc>
        <w:tc>
          <w:tcPr>
            <w:tcW w:w="1325" w:type="dxa"/>
            <w:tcMar>
              <w:top w:w="30" w:type="dxa"/>
              <w:left w:w="45" w:type="dxa"/>
              <w:bottom w:w="30" w:type="dxa"/>
              <w:right w:w="45" w:type="dxa"/>
            </w:tcMar>
          </w:tcPr>
          <w:p w14:paraId="3F18055D"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1792880B"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04732B98" w14:textId="77777777" w:rsidTr="006A0FB9">
        <w:trPr>
          <w:cantSplit/>
          <w:jc w:val="center"/>
        </w:trPr>
        <w:tc>
          <w:tcPr>
            <w:tcW w:w="1656" w:type="dxa"/>
            <w:tcMar>
              <w:top w:w="30" w:type="dxa"/>
              <w:left w:w="45" w:type="dxa"/>
              <w:bottom w:w="30" w:type="dxa"/>
              <w:right w:w="45" w:type="dxa"/>
            </w:tcMar>
          </w:tcPr>
          <w:p w14:paraId="3D417F9D" w14:textId="77777777" w:rsidR="00CF70CD" w:rsidRDefault="00000000">
            <w:r>
              <w:rPr>
                <w:rFonts w:eastAsia="Times New Roman"/>
                <w:sz w:val="16"/>
              </w:rPr>
              <w:t>(Nafatalewa et al., 2022)</w:t>
            </w:r>
          </w:p>
        </w:tc>
        <w:tc>
          <w:tcPr>
            <w:tcW w:w="1037" w:type="dxa"/>
            <w:tcMar>
              <w:top w:w="30" w:type="dxa"/>
              <w:left w:w="45" w:type="dxa"/>
              <w:bottom w:w="30" w:type="dxa"/>
              <w:right w:w="45" w:type="dxa"/>
            </w:tcMar>
          </w:tcPr>
          <w:p w14:paraId="14C98E84"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36D27B0"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5D983439" w14:textId="77777777" w:rsidR="00FB63A0" w:rsidRPr="006A0FB9" w:rsidRDefault="00FB63A0" w:rsidP="00FB63A0">
            <w:pPr>
              <w:keepLines/>
              <w:rPr>
                <w:sz w:val="20"/>
                <w:szCs w:val="20"/>
              </w:rPr>
            </w:pPr>
            <w:r w:rsidRPr="006A0FB9">
              <w:rPr>
                <w:rFonts w:eastAsia="Times New Roman" w:cs="Times New Roman"/>
                <w:sz w:val="20"/>
                <w:szCs w:val="20"/>
              </w:rPr>
              <w:t>Child</w:t>
            </w:r>
            <w:r w:rsidR="00D9246D" w:rsidRPr="006A0FB9">
              <w:rPr>
                <w:rFonts w:eastAsia="Times New Roman" w:cs="Times New Roman"/>
                <w:sz w:val="20"/>
                <w:szCs w:val="20"/>
              </w:rPr>
              <w:t xml:space="preserve"> (5 and 11 years old, 2 patients)</w:t>
            </w:r>
          </w:p>
        </w:tc>
        <w:tc>
          <w:tcPr>
            <w:tcW w:w="1656" w:type="dxa"/>
            <w:tcMar>
              <w:top w:w="30" w:type="dxa"/>
              <w:left w:w="45" w:type="dxa"/>
              <w:bottom w:w="30" w:type="dxa"/>
              <w:right w:w="45" w:type="dxa"/>
            </w:tcMar>
          </w:tcPr>
          <w:p w14:paraId="33184BC5"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461F8EF8" w14:textId="77777777" w:rsidR="00FB63A0" w:rsidRPr="006A0FB9" w:rsidRDefault="00FB63A0" w:rsidP="00FB63A0">
            <w:pPr>
              <w:keepLines/>
              <w:rPr>
                <w:sz w:val="20"/>
                <w:szCs w:val="20"/>
              </w:rPr>
            </w:pPr>
            <w:r w:rsidRPr="006A0FB9">
              <w:rPr>
                <w:rFonts w:eastAsia="Times New Roman" w:cs="Times New Roman"/>
                <w:sz w:val="20"/>
                <w:szCs w:val="20"/>
              </w:rPr>
              <w:t>Non-medical circumcision</w:t>
            </w:r>
          </w:p>
        </w:tc>
        <w:tc>
          <w:tcPr>
            <w:tcW w:w="1440" w:type="dxa"/>
            <w:tcMar>
              <w:top w:w="30" w:type="dxa"/>
              <w:left w:w="45" w:type="dxa"/>
              <w:bottom w:w="30" w:type="dxa"/>
              <w:right w:w="45" w:type="dxa"/>
            </w:tcMar>
          </w:tcPr>
          <w:p w14:paraId="43BCA818" w14:textId="77777777" w:rsidR="00FB63A0" w:rsidRPr="006A0FB9" w:rsidRDefault="00FB63A0" w:rsidP="00FB63A0">
            <w:pPr>
              <w:keepLines/>
              <w:rPr>
                <w:sz w:val="20"/>
                <w:szCs w:val="20"/>
              </w:rPr>
            </w:pPr>
            <w:r w:rsidRPr="006A0FB9">
              <w:rPr>
                <w:rFonts w:eastAsia="Times New Roman" w:cs="Times New Roman"/>
                <w:sz w:val="20"/>
                <w:szCs w:val="20"/>
              </w:rPr>
              <w:t>Community setting</w:t>
            </w:r>
          </w:p>
        </w:tc>
        <w:tc>
          <w:tcPr>
            <w:tcW w:w="1325" w:type="dxa"/>
            <w:tcMar>
              <w:top w:w="30" w:type="dxa"/>
              <w:left w:w="45" w:type="dxa"/>
              <w:bottom w:w="30" w:type="dxa"/>
              <w:right w:w="45" w:type="dxa"/>
            </w:tcMar>
          </w:tcPr>
          <w:p w14:paraId="37897F0E"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30DC09DD" w14:textId="77777777" w:rsidR="00FB63A0" w:rsidRPr="006A0FB9" w:rsidRDefault="00FB63A0" w:rsidP="00FB63A0">
            <w:pPr>
              <w:keepLines/>
              <w:rPr>
                <w:sz w:val="20"/>
                <w:szCs w:val="20"/>
              </w:rPr>
            </w:pPr>
            <w:r w:rsidRPr="006A0FB9">
              <w:rPr>
                <w:rFonts w:eastAsia="Times New Roman" w:cs="Times New Roman"/>
                <w:sz w:val="20"/>
                <w:szCs w:val="20"/>
              </w:rPr>
              <w:t>Variable</w:t>
            </w:r>
          </w:p>
        </w:tc>
      </w:tr>
      <w:tr w:rsidR="00FB63A0" w:rsidRPr="006A0FB9" w14:paraId="458A354E" w14:textId="77777777" w:rsidTr="006A0FB9">
        <w:trPr>
          <w:cantSplit/>
          <w:jc w:val="center"/>
        </w:trPr>
        <w:tc>
          <w:tcPr>
            <w:tcW w:w="1656" w:type="dxa"/>
            <w:tcMar>
              <w:top w:w="30" w:type="dxa"/>
              <w:left w:w="45" w:type="dxa"/>
              <w:bottom w:w="30" w:type="dxa"/>
              <w:right w:w="45" w:type="dxa"/>
            </w:tcMar>
          </w:tcPr>
          <w:p w14:paraId="515C248F" w14:textId="77777777" w:rsidR="00CF70CD" w:rsidRDefault="00000000">
            <w:r>
              <w:rPr>
                <w:rFonts w:eastAsia="Times New Roman"/>
                <w:sz w:val="16"/>
              </w:rPr>
              <w:t>(Soltani et al., 2020)</w:t>
            </w:r>
          </w:p>
        </w:tc>
        <w:tc>
          <w:tcPr>
            <w:tcW w:w="1037" w:type="dxa"/>
            <w:tcMar>
              <w:top w:w="30" w:type="dxa"/>
              <w:left w:w="45" w:type="dxa"/>
              <w:bottom w:w="30" w:type="dxa"/>
              <w:right w:w="45" w:type="dxa"/>
            </w:tcMar>
          </w:tcPr>
          <w:p w14:paraId="56F36095" w14:textId="77777777" w:rsidR="00FB63A0" w:rsidRPr="006A0FB9" w:rsidRDefault="00FB63A0" w:rsidP="00FB63A0">
            <w:pPr>
              <w:keepLines/>
              <w:rPr>
                <w:sz w:val="20"/>
                <w:szCs w:val="20"/>
              </w:rPr>
            </w:pPr>
            <w:r w:rsidRPr="006A0FB9">
              <w:rPr>
                <w:rFonts w:eastAsia="Times New Roman" w:cs="Times New Roman"/>
                <w:sz w:val="20"/>
                <w:szCs w:val="20"/>
              </w:rPr>
              <w:t>Iran</w:t>
            </w:r>
          </w:p>
        </w:tc>
        <w:tc>
          <w:tcPr>
            <w:tcW w:w="1224" w:type="dxa"/>
            <w:tcMar>
              <w:top w:w="30" w:type="dxa"/>
              <w:left w:w="45" w:type="dxa"/>
              <w:bottom w:w="30" w:type="dxa"/>
              <w:right w:w="45" w:type="dxa"/>
            </w:tcMar>
          </w:tcPr>
          <w:p w14:paraId="51CD1DC7"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4FC397A"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(4 years old, one patient)</w:t>
            </w:r>
          </w:p>
        </w:tc>
        <w:tc>
          <w:tcPr>
            <w:tcW w:w="1656" w:type="dxa"/>
            <w:tcMar>
              <w:top w:w="30" w:type="dxa"/>
              <w:left w:w="45" w:type="dxa"/>
              <w:bottom w:w="30" w:type="dxa"/>
              <w:right w:w="45" w:type="dxa"/>
            </w:tcMar>
          </w:tcPr>
          <w:p w14:paraId="1B35E386"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7D665C39" w14:textId="77777777" w:rsidR="00FB63A0" w:rsidRPr="006A0FB9" w:rsidRDefault="00FB63A0" w:rsidP="00FB63A0">
            <w:pPr>
              <w:keepLines/>
              <w:rPr>
                <w:sz w:val="20"/>
                <w:szCs w:val="20"/>
              </w:rPr>
            </w:pPr>
            <w:r w:rsidRPr="006A0FB9">
              <w:rPr>
                <w:rFonts w:eastAsia="Times New Roman" w:cs="Times New Roman"/>
                <w:sz w:val="20"/>
                <w:szCs w:val="20"/>
              </w:rPr>
              <w:t>Mogen clamp injury</w:t>
            </w:r>
          </w:p>
        </w:tc>
        <w:tc>
          <w:tcPr>
            <w:tcW w:w="1440" w:type="dxa"/>
            <w:tcMar>
              <w:top w:w="30" w:type="dxa"/>
              <w:left w:w="45" w:type="dxa"/>
              <w:bottom w:w="30" w:type="dxa"/>
              <w:right w:w="45" w:type="dxa"/>
            </w:tcMar>
          </w:tcPr>
          <w:p w14:paraId="5AED0106" w14:textId="77777777" w:rsidR="00FB63A0" w:rsidRPr="006A0FB9" w:rsidRDefault="00FB63A0" w:rsidP="00FB63A0">
            <w:pPr>
              <w:keepLines/>
              <w:rPr>
                <w:sz w:val="20"/>
                <w:szCs w:val="20"/>
              </w:rPr>
            </w:pPr>
            <w:r w:rsidRPr="006A0FB9">
              <w:rPr>
                <w:rFonts w:eastAsia="Times New Roman" w:cs="Times New Roman"/>
                <w:sz w:val="20"/>
                <w:szCs w:val="20"/>
              </w:rPr>
              <w:t>Outpatient setting</w:t>
            </w:r>
          </w:p>
        </w:tc>
        <w:tc>
          <w:tcPr>
            <w:tcW w:w="1325" w:type="dxa"/>
            <w:tcMar>
              <w:top w:w="30" w:type="dxa"/>
              <w:left w:w="45" w:type="dxa"/>
              <w:bottom w:w="30" w:type="dxa"/>
              <w:right w:w="45" w:type="dxa"/>
            </w:tcMar>
          </w:tcPr>
          <w:p w14:paraId="514D2902"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182B05CD" w14:textId="77777777" w:rsidR="00FB63A0" w:rsidRPr="006A0FB9" w:rsidRDefault="00FB63A0" w:rsidP="00FB63A0">
            <w:pPr>
              <w:keepLines/>
              <w:rPr>
                <w:sz w:val="20"/>
                <w:szCs w:val="20"/>
              </w:rPr>
            </w:pPr>
            <w:r w:rsidRPr="006A0FB9">
              <w:rPr>
                <w:rFonts w:eastAsia="Times New Roman" w:cs="Times New Roman"/>
                <w:sz w:val="20"/>
                <w:szCs w:val="20"/>
              </w:rPr>
              <w:t>Good cosmetic outcome</w:t>
            </w:r>
          </w:p>
        </w:tc>
      </w:tr>
      <w:tr w:rsidR="00FB63A0" w:rsidRPr="006A0FB9" w14:paraId="57243455" w14:textId="77777777" w:rsidTr="006A0FB9">
        <w:trPr>
          <w:cantSplit/>
          <w:jc w:val="center"/>
        </w:trPr>
        <w:tc>
          <w:tcPr>
            <w:tcW w:w="1656" w:type="dxa"/>
            <w:tcMar>
              <w:top w:w="30" w:type="dxa"/>
              <w:left w:w="45" w:type="dxa"/>
              <w:bottom w:w="30" w:type="dxa"/>
              <w:right w:w="45" w:type="dxa"/>
            </w:tcMar>
          </w:tcPr>
          <w:p w14:paraId="622BD523" w14:textId="77777777" w:rsidR="00CF70CD" w:rsidRDefault="00000000">
            <w:r>
              <w:rPr>
                <w:rFonts w:eastAsia="Times New Roman"/>
                <w:sz w:val="16"/>
              </w:rPr>
              <w:t>(Shah &amp; Shah, 2023)</w:t>
            </w:r>
          </w:p>
        </w:tc>
        <w:tc>
          <w:tcPr>
            <w:tcW w:w="1037" w:type="dxa"/>
            <w:tcMar>
              <w:top w:w="30" w:type="dxa"/>
              <w:left w:w="45" w:type="dxa"/>
              <w:bottom w:w="30" w:type="dxa"/>
              <w:right w:w="45" w:type="dxa"/>
            </w:tcMar>
          </w:tcPr>
          <w:p w14:paraId="469C9DD2"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015F4FAB"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0800673" w14:textId="77777777" w:rsidR="00FB63A0" w:rsidRPr="006A0FB9" w:rsidRDefault="00FB63A0" w:rsidP="00FB63A0">
            <w:pPr>
              <w:keepLines/>
              <w:rPr>
                <w:sz w:val="20"/>
                <w:szCs w:val="20"/>
              </w:rPr>
            </w:pPr>
            <w:r w:rsidRPr="006A0FB9">
              <w:rPr>
                <w:rFonts w:eastAsia="Times New Roman" w:cs="Times New Roman"/>
                <w:sz w:val="20"/>
                <w:szCs w:val="20"/>
              </w:rPr>
              <w:t>Child</w:t>
            </w:r>
            <w:r w:rsidR="00587A4C" w:rsidRPr="006A0FB9">
              <w:rPr>
                <w:rFonts w:eastAsia="Times New Roman" w:cs="Times New Roman"/>
                <w:sz w:val="20"/>
                <w:szCs w:val="20"/>
              </w:rPr>
              <w:t xml:space="preserve"> (1</w:t>
            </w:r>
            <w:r w:rsidR="00A722FC" w:rsidRPr="006A0FB9">
              <w:rPr>
                <w:rFonts w:eastAsia="Times New Roman" w:cs="Times New Roman"/>
                <w:sz w:val="20"/>
                <w:szCs w:val="20"/>
              </w:rPr>
              <w:t xml:space="preserve"> ½ year-old, one patient)</w:t>
            </w:r>
          </w:p>
        </w:tc>
        <w:tc>
          <w:tcPr>
            <w:tcW w:w="1656" w:type="dxa"/>
            <w:tcMar>
              <w:top w:w="30" w:type="dxa"/>
              <w:left w:w="45" w:type="dxa"/>
              <w:bottom w:w="30" w:type="dxa"/>
              <w:right w:w="45" w:type="dxa"/>
            </w:tcMar>
          </w:tcPr>
          <w:p w14:paraId="0A842D84" w14:textId="77777777" w:rsidR="00FB63A0" w:rsidRPr="006A0FB9" w:rsidRDefault="00FB63A0" w:rsidP="00FB63A0">
            <w:pPr>
              <w:keepLines/>
              <w:rPr>
                <w:sz w:val="20"/>
                <w:szCs w:val="20"/>
              </w:rPr>
            </w:pPr>
            <w:r w:rsidRPr="006A0FB9">
              <w:rPr>
                <w:rFonts w:eastAsia="Times New Roman" w:cs="Times New Roman"/>
                <w:sz w:val="20"/>
                <w:szCs w:val="20"/>
              </w:rPr>
              <w:t>Glans amputation</w:t>
            </w:r>
          </w:p>
        </w:tc>
        <w:tc>
          <w:tcPr>
            <w:tcW w:w="1512" w:type="dxa"/>
            <w:tcMar>
              <w:top w:w="30" w:type="dxa"/>
              <w:left w:w="45" w:type="dxa"/>
              <w:bottom w:w="30" w:type="dxa"/>
              <w:right w:w="45" w:type="dxa"/>
            </w:tcMar>
          </w:tcPr>
          <w:p w14:paraId="0BD2E7B0"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440" w:type="dxa"/>
            <w:tcMar>
              <w:top w:w="30" w:type="dxa"/>
              <w:left w:w="45" w:type="dxa"/>
              <w:bottom w:w="30" w:type="dxa"/>
              <w:right w:w="45" w:type="dxa"/>
            </w:tcMar>
          </w:tcPr>
          <w:p w14:paraId="350F1066" w14:textId="77777777" w:rsidR="00FB63A0" w:rsidRPr="006A0FB9" w:rsidRDefault="00FB63A0" w:rsidP="00FB63A0">
            <w:pPr>
              <w:keepLines/>
              <w:rPr>
                <w:sz w:val="20"/>
                <w:szCs w:val="20"/>
              </w:rPr>
            </w:pPr>
            <w:r w:rsidRPr="006A0FB9">
              <w:rPr>
                <w:rFonts w:eastAsia="Times New Roman" w:cs="Times New Roman"/>
                <w:sz w:val="20"/>
                <w:szCs w:val="20"/>
              </w:rPr>
              <w:t>Non-medical</w:t>
            </w:r>
          </w:p>
        </w:tc>
        <w:tc>
          <w:tcPr>
            <w:tcW w:w="1325" w:type="dxa"/>
            <w:tcMar>
              <w:top w:w="30" w:type="dxa"/>
              <w:left w:w="45" w:type="dxa"/>
              <w:bottom w:w="30" w:type="dxa"/>
              <w:right w:w="45" w:type="dxa"/>
            </w:tcMar>
          </w:tcPr>
          <w:p w14:paraId="1DF4DB25"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5587D5DC" w14:textId="77777777" w:rsidR="00FB63A0" w:rsidRPr="006A0FB9" w:rsidRDefault="00FB63A0" w:rsidP="00FB63A0">
            <w:pPr>
              <w:keepLines/>
              <w:rPr>
                <w:sz w:val="20"/>
                <w:szCs w:val="20"/>
              </w:rPr>
            </w:pPr>
            <w:r w:rsidRPr="006A0FB9">
              <w:rPr>
                <w:rFonts w:eastAsia="Times New Roman" w:cs="Times New Roman"/>
                <w:sz w:val="20"/>
                <w:szCs w:val="20"/>
              </w:rPr>
              <w:t>Recovery</w:t>
            </w:r>
          </w:p>
        </w:tc>
      </w:tr>
      <w:tr w:rsidR="00FB63A0" w:rsidRPr="006A0FB9" w14:paraId="24F2CCB6" w14:textId="77777777" w:rsidTr="006A0FB9">
        <w:trPr>
          <w:cantSplit/>
          <w:jc w:val="center"/>
        </w:trPr>
        <w:tc>
          <w:tcPr>
            <w:tcW w:w="1656" w:type="dxa"/>
            <w:tcMar>
              <w:top w:w="30" w:type="dxa"/>
              <w:left w:w="45" w:type="dxa"/>
              <w:bottom w:w="30" w:type="dxa"/>
              <w:right w:w="45" w:type="dxa"/>
            </w:tcMar>
          </w:tcPr>
          <w:p w14:paraId="22F891CC" w14:textId="77777777" w:rsidR="00CF70CD" w:rsidRDefault="00000000">
            <w:r>
              <w:rPr>
                <w:rFonts w:eastAsia="Times New Roman"/>
                <w:sz w:val="16"/>
              </w:rPr>
              <w:t>(Sharma et al., 2022)</w:t>
            </w:r>
          </w:p>
        </w:tc>
        <w:tc>
          <w:tcPr>
            <w:tcW w:w="1037" w:type="dxa"/>
            <w:tcMar>
              <w:top w:w="30" w:type="dxa"/>
              <w:left w:w="45" w:type="dxa"/>
              <w:bottom w:w="30" w:type="dxa"/>
              <w:right w:w="45" w:type="dxa"/>
            </w:tcMar>
          </w:tcPr>
          <w:p w14:paraId="34FE0EAF" w14:textId="77777777" w:rsidR="00FB63A0" w:rsidRPr="006A0FB9" w:rsidRDefault="00FB63A0" w:rsidP="00FB63A0">
            <w:pPr>
              <w:keepLines/>
              <w:rPr>
                <w:sz w:val="20"/>
                <w:szCs w:val="20"/>
              </w:rPr>
            </w:pPr>
            <w:r w:rsidRPr="006A0FB9">
              <w:rPr>
                <w:rFonts w:eastAsia="Times New Roman" w:cs="Times New Roman"/>
                <w:sz w:val="20"/>
                <w:szCs w:val="20"/>
              </w:rPr>
              <w:t>India</w:t>
            </w:r>
          </w:p>
        </w:tc>
        <w:tc>
          <w:tcPr>
            <w:tcW w:w="1224" w:type="dxa"/>
            <w:tcMar>
              <w:top w:w="30" w:type="dxa"/>
              <w:left w:w="45" w:type="dxa"/>
              <w:bottom w:w="30" w:type="dxa"/>
              <w:right w:w="45" w:type="dxa"/>
            </w:tcMar>
          </w:tcPr>
          <w:p w14:paraId="118625AC"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625FDFA5" w14:textId="77777777" w:rsidR="00FB63A0" w:rsidRPr="006A0FB9" w:rsidRDefault="00FB63A0" w:rsidP="00FB63A0">
            <w:pPr>
              <w:keepLines/>
              <w:rPr>
                <w:sz w:val="20"/>
                <w:szCs w:val="20"/>
              </w:rPr>
            </w:pPr>
            <w:r w:rsidRPr="006A0FB9">
              <w:rPr>
                <w:rFonts w:eastAsia="Times New Roman" w:cs="Times New Roman"/>
                <w:sz w:val="20"/>
                <w:szCs w:val="20"/>
              </w:rPr>
              <w:t>Adolescent</w:t>
            </w:r>
            <w:r w:rsidR="00C7778F" w:rsidRPr="006A0FB9">
              <w:rPr>
                <w:rFonts w:eastAsia="Times New Roman" w:cs="Times New Roman"/>
                <w:sz w:val="20"/>
                <w:szCs w:val="20"/>
              </w:rPr>
              <w:t xml:space="preserve"> (14 years old, one patient)</w:t>
            </w:r>
          </w:p>
        </w:tc>
        <w:tc>
          <w:tcPr>
            <w:tcW w:w="1656" w:type="dxa"/>
            <w:tcMar>
              <w:top w:w="30" w:type="dxa"/>
              <w:left w:w="45" w:type="dxa"/>
              <w:bottom w:w="30" w:type="dxa"/>
              <w:right w:w="45" w:type="dxa"/>
            </w:tcMar>
          </w:tcPr>
          <w:p w14:paraId="1313A492" w14:textId="77777777" w:rsidR="00FB63A0" w:rsidRPr="006A0FB9" w:rsidRDefault="00FB63A0" w:rsidP="00FB63A0">
            <w:pPr>
              <w:keepLines/>
              <w:rPr>
                <w:sz w:val="20"/>
                <w:szCs w:val="20"/>
              </w:rPr>
            </w:pPr>
            <w:r w:rsidRPr="006A0FB9">
              <w:rPr>
                <w:rFonts w:eastAsia="Times New Roman" w:cs="Times New Roman"/>
                <w:sz w:val="20"/>
                <w:szCs w:val="20"/>
              </w:rPr>
              <w:t>Partial glans amputation</w:t>
            </w:r>
          </w:p>
        </w:tc>
        <w:tc>
          <w:tcPr>
            <w:tcW w:w="1512" w:type="dxa"/>
            <w:tcMar>
              <w:top w:w="30" w:type="dxa"/>
              <w:left w:w="45" w:type="dxa"/>
              <w:bottom w:w="30" w:type="dxa"/>
              <w:right w:w="45" w:type="dxa"/>
            </w:tcMar>
          </w:tcPr>
          <w:p w14:paraId="739D3088" w14:textId="77777777" w:rsidR="00FB63A0" w:rsidRPr="006A0FB9" w:rsidRDefault="00FB63A0" w:rsidP="00FB63A0">
            <w:pPr>
              <w:keepLines/>
              <w:rPr>
                <w:sz w:val="20"/>
                <w:szCs w:val="20"/>
              </w:rPr>
            </w:pPr>
            <w:r w:rsidRPr="006A0FB9">
              <w:rPr>
                <w:rFonts w:eastAsia="Times New Roman" w:cs="Times New Roman"/>
                <w:sz w:val="20"/>
                <w:szCs w:val="20"/>
              </w:rPr>
              <w:t>Delayed ischemia</w:t>
            </w:r>
          </w:p>
        </w:tc>
        <w:tc>
          <w:tcPr>
            <w:tcW w:w="1440" w:type="dxa"/>
            <w:tcMar>
              <w:top w:w="30" w:type="dxa"/>
              <w:left w:w="45" w:type="dxa"/>
              <w:bottom w:w="30" w:type="dxa"/>
              <w:right w:w="45" w:type="dxa"/>
            </w:tcMar>
          </w:tcPr>
          <w:p w14:paraId="705BB3C9" w14:textId="77777777" w:rsidR="00FB63A0" w:rsidRPr="006A0FB9" w:rsidRDefault="00FB63A0" w:rsidP="00FB63A0">
            <w:pPr>
              <w:keepLines/>
              <w:rPr>
                <w:sz w:val="20"/>
                <w:szCs w:val="20"/>
              </w:rPr>
            </w:pPr>
            <w:r w:rsidRPr="006A0FB9">
              <w:rPr>
                <w:rFonts w:eastAsia="Times New Roman" w:cs="Times New Roman"/>
                <w:sz w:val="20"/>
                <w:szCs w:val="20"/>
              </w:rPr>
              <w:t>Ritual circumcision</w:t>
            </w:r>
          </w:p>
        </w:tc>
        <w:tc>
          <w:tcPr>
            <w:tcW w:w="1325" w:type="dxa"/>
            <w:tcMar>
              <w:top w:w="30" w:type="dxa"/>
              <w:left w:w="45" w:type="dxa"/>
              <w:bottom w:w="30" w:type="dxa"/>
              <w:right w:w="45" w:type="dxa"/>
            </w:tcMar>
          </w:tcPr>
          <w:p w14:paraId="090D12E5" w14:textId="77777777" w:rsidR="00FB63A0" w:rsidRPr="006A0FB9" w:rsidRDefault="00FB63A0" w:rsidP="00FB63A0">
            <w:pPr>
              <w:keepLines/>
              <w:rPr>
                <w:sz w:val="20"/>
                <w:szCs w:val="20"/>
              </w:rPr>
            </w:pPr>
            <w:r w:rsidRPr="006A0FB9">
              <w:rPr>
                <w:rFonts w:eastAsia="Times New Roman" w:cs="Times New Roman"/>
                <w:sz w:val="20"/>
                <w:szCs w:val="20"/>
              </w:rPr>
              <w:t xml:space="preserve">Urethroplasty + </w:t>
            </w:r>
            <w:proofErr w:type="spellStart"/>
            <w:r w:rsidRPr="006A0FB9">
              <w:rPr>
                <w:rFonts w:eastAsia="Times New Roman" w:cs="Times New Roman"/>
                <w:sz w:val="20"/>
                <w:szCs w:val="20"/>
              </w:rPr>
              <w:t>glansplasty</w:t>
            </w:r>
            <w:proofErr w:type="spellEnd"/>
          </w:p>
        </w:tc>
        <w:tc>
          <w:tcPr>
            <w:tcW w:w="1454" w:type="dxa"/>
            <w:tcMar>
              <w:top w:w="30" w:type="dxa"/>
              <w:left w:w="45" w:type="dxa"/>
              <w:bottom w:w="30" w:type="dxa"/>
              <w:right w:w="45" w:type="dxa"/>
            </w:tcMar>
          </w:tcPr>
          <w:p w14:paraId="559A8BD2" w14:textId="77777777" w:rsidR="00FB63A0" w:rsidRPr="006A0FB9" w:rsidRDefault="00FB63A0" w:rsidP="00FB63A0">
            <w:pPr>
              <w:keepLines/>
              <w:rPr>
                <w:sz w:val="20"/>
                <w:szCs w:val="20"/>
              </w:rPr>
            </w:pPr>
            <w:r w:rsidRPr="006A0FB9">
              <w:rPr>
                <w:rFonts w:eastAsia="Times New Roman" w:cs="Times New Roman"/>
                <w:sz w:val="20"/>
                <w:szCs w:val="20"/>
              </w:rPr>
              <w:t>Good recovery</w:t>
            </w:r>
          </w:p>
        </w:tc>
      </w:tr>
      <w:tr w:rsidR="00FB63A0" w:rsidRPr="006A0FB9" w14:paraId="3A7FE103" w14:textId="77777777" w:rsidTr="006A0FB9">
        <w:trPr>
          <w:cantSplit/>
          <w:jc w:val="center"/>
        </w:trPr>
        <w:tc>
          <w:tcPr>
            <w:tcW w:w="1656" w:type="dxa"/>
            <w:tcMar>
              <w:top w:w="30" w:type="dxa"/>
              <w:left w:w="45" w:type="dxa"/>
              <w:bottom w:w="30" w:type="dxa"/>
              <w:right w:w="45" w:type="dxa"/>
            </w:tcMar>
          </w:tcPr>
          <w:p w14:paraId="11A4184B" w14:textId="77777777" w:rsidR="00CF70CD" w:rsidRDefault="00000000">
            <w:r>
              <w:rPr>
                <w:rFonts w:eastAsia="Times New Roman"/>
                <w:sz w:val="16"/>
              </w:rPr>
              <w:lastRenderedPageBreak/>
              <w:t>(Sow et al., 2022)</w:t>
            </w:r>
          </w:p>
        </w:tc>
        <w:tc>
          <w:tcPr>
            <w:tcW w:w="1037" w:type="dxa"/>
            <w:tcMar>
              <w:top w:w="30" w:type="dxa"/>
              <w:left w:w="45" w:type="dxa"/>
              <w:bottom w:w="30" w:type="dxa"/>
              <w:right w:w="45" w:type="dxa"/>
            </w:tcMar>
          </w:tcPr>
          <w:p w14:paraId="5F44B53C" w14:textId="77777777" w:rsidR="00FB63A0" w:rsidRPr="006A0FB9" w:rsidRDefault="00FB63A0" w:rsidP="00FB63A0">
            <w:pPr>
              <w:keepLines/>
              <w:rPr>
                <w:sz w:val="20"/>
                <w:szCs w:val="20"/>
              </w:rPr>
            </w:pPr>
            <w:r w:rsidRPr="006A0FB9">
              <w:rPr>
                <w:rFonts w:eastAsia="Times New Roman" w:cs="Times New Roman"/>
                <w:sz w:val="20"/>
                <w:szCs w:val="20"/>
              </w:rPr>
              <w:t>Senegal</w:t>
            </w:r>
          </w:p>
        </w:tc>
        <w:tc>
          <w:tcPr>
            <w:tcW w:w="1224" w:type="dxa"/>
            <w:tcMar>
              <w:top w:w="30" w:type="dxa"/>
              <w:left w:w="45" w:type="dxa"/>
              <w:bottom w:w="30" w:type="dxa"/>
              <w:right w:w="45" w:type="dxa"/>
            </w:tcMar>
          </w:tcPr>
          <w:p w14:paraId="69E99D47"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4243AEDE" w14:textId="77777777" w:rsidR="00FB63A0" w:rsidRPr="006A0FB9" w:rsidRDefault="00FB63A0" w:rsidP="00FB63A0">
            <w:pPr>
              <w:keepLines/>
              <w:rPr>
                <w:sz w:val="20"/>
                <w:szCs w:val="20"/>
              </w:rPr>
            </w:pPr>
            <w:r w:rsidRPr="006A0FB9">
              <w:rPr>
                <w:rFonts w:eastAsia="Times New Roman" w:cs="Times New Roman"/>
                <w:sz w:val="20"/>
                <w:szCs w:val="20"/>
              </w:rPr>
              <w:t>Child</w:t>
            </w:r>
            <w:r w:rsidR="001D14D1" w:rsidRPr="006A0FB9">
              <w:rPr>
                <w:rFonts w:eastAsia="Times New Roman" w:cs="Times New Roman"/>
                <w:sz w:val="20"/>
                <w:szCs w:val="20"/>
              </w:rPr>
              <w:t xml:space="preserve"> (9 years old, one patient)</w:t>
            </w:r>
          </w:p>
        </w:tc>
        <w:tc>
          <w:tcPr>
            <w:tcW w:w="1656" w:type="dxa"/>
            <w:tcMar>
              <w:top w:w="30" w:type="dxa"/>
              <w:left w:w="45" w:type="dxa"/>
              <w:bottom w:w="30" w:type="dxa"/>
              <w:right w:w="45" w:type="dxa"/>
            </w:tcMar>
          </w:tcPr>
          <w:p w14:paraId="39986113" w14:textId="77777777" w:rsidR="00FB63A0" w:rsidRPr="006A0FB9" w:rsidRDefault="00FB63A0" w:rsidP="00FB63A0">
            <w:pPr>
              <w:keepLines/>
              <w:rPr>
                <w:sz w:val="20"/>
                <w:szCs w:val="20"/>
              </w:rPr>
            </w:pPr>
            <w:r w:rsidRPr="006A0FB9">
              <w:rPr>
                <w:rFonts w:eastAsia="Times New Roman" w:cs="Times New Roman"/>
                <w:sz w:val="20"/>
                <w:szCs w:val="20"/>
              </w:rPr>
              <w:t>Total glans amputation</w:t>
            </w:r>
          </w:p>
        </w:tc>
        <w:tc>
          <w:tcPr>
            <w:tcW w:w="1512" w:type="dxa"/>
            <w:tcMar>
              <w:top w:w="30" w:type="dxa"/>
              <w:left w:w="45" w:type="dxa"/>
              <w:bottom w:w="30" w:type="dxa"/>
              <w:right w:w="45" w:type="dxa"/>
            </w:tcMar>
          </w:tcPr>
          <w:p w14:paraId="25D0FB5B" w14:textId="77777777" w:rsidR="00FB63A0" w:rsidRPr="006A0FB9" w:rsidRDefault="00FB63A0" w:rsidP="00FB63A0">
            <w:pPr>
              <w:keepLines/>
              <w:rPr>
                <w:sz w:val="20"/>
                <w:szCs w:val="20"/>
              </w:rPr>
            </w:pPr>
            <w:r w:rsidRPr="006A0FB9">
              <w:rPr>
                <w:rFonts w:eastAsia="Times New Roman" w:cs="Times New Roman"/>
                <w:sz w:val="20"/>
                <w:szCs w:val="20"/>
              </w:rPr>
              <w:t>Unqualified operator</w:t>
            </w:r>
          </w:p>
        </w:tc>
        <w:tc>
          <w:tcPr>
            <w:tcW w:w="1440" w:type="dxa"/>
            <w:tcMar>
              <w:top w:w="30" w:type="dxa"/>
              <w:left w:w="45" w:type="dxa"/>
              <w:bottom w:w="30" w:type="dxa"/>
              <w:right w:w="45" w:type="dxa"/>
            </w:tcMar>
          </w:tcPr>
          <w:p w14:paraId="5D47A9A6" w14:textId="77777777" w:rsidR="00FB63A0" w:rsidRPr="006A0FB9" w:rsidRDefault="00FB63A0" w:rsidP="00FB63A0">
            <w:pPr>
              <w:keepLines/>
              <w:rPr>
                <w:sz w:val="20"/>
                <w:szCs w:val="20"/>
              </w:rPr>
            </w:pPr>
            <w:r w:rsidRPr="006A0FB9">
              <w:rPr>
                <w:rFonts w:eastAsia="Times New Roman" w:cs="Times New Roman"/>
                <w:sz w:val="20"/>
                <w:szCs w:val="20"/>
              </w:rPr>
              <w:t>Pharmacy setting</w:t>
            </w:r>
          </w:p>
        </w:tc>
        <w:tc>
          <w:tcPr>
            <w:tcW w:w="1325" w:type="dxa"/>
            <w:tcMar>
              <w:top w:w="30" w:type="dxa"/>
              <w:left w:w="45" w:type="dxa"/>
              <w:bottom w:w="30" w:type="dxa"/>
              <w:right w:w="45" w:type="dxa"/>
            </w:tcMar>
          </w:tcPr>
          <w:p w14:paraId="21442C1C" w14:textId="77777777" w:rsidR="00FB63A0" w:rsidRPr="006A0FB9" w:rsidRDefault="00FB63A0" w:rsidP="00FB63A0">
            <w:pPr>
              <w:keepLines/>
              <w:rPr>
                <w:sz w:val="20"/>
                <w:szCs w:val="20"/>
              </w:rPr>
            </w:pPr>
            <w:r w:rsidRPr="006A0FB9">
              <w:rPr>
                <w:rFonts w:eastAsia="Times New Roman" w:cs="Times New Roman"/>
                <w:sz w:val="20"/>
                <w:szCs w:val="20"/>
              </w:rPr>
              <w:t>Meatoplasty</w:t>
            </w:r>
          </w:p>
        </w:tc>
        <w:tc>
          <w:tcPr>
            <w:tcW w:w="1454" w:type="dxa"/>
            <w:tcMar>
              <w:top w:w="30" w:type="dxa"/>
              <w:left w:w="45" w:type="dxa"/>
              <w:bottom w:w="30" w:type="dxa"/>
              <w:right w:w="45" w:type="dxa"/>
            </w:tcMar>
          </w:tcPr>
          <w:p w14:paraId="4F5CE9BD" w14:textId="77777777" w:rsidR="00FB63A0" w:rsidRPr="006A0FB9" w:rsidRDefault="00FB63A0" w:rsidP="00FB63A0">
            <w:pPr>
              <w:keepLines/>
              <w:rPr>
                <w:sz w:val="20"/>
                <w:szCs w:val="20"/>
              </w:rPr>
            </w:pPr>
            <w:r w:rsidRPr="006A0FB9">
              <w:rPr>
                <w:rFonts w:eastAsia="Times New Roman" w:cs="Times New Roman"/>
                <w:sz w:val="20"/>
                <w:szCs w:val="20"/>
              </w:rPr>
              <w:t>Functional voiding</w:t>
            </w:r>
          </w:p>
        </w:tc>
      </w:tr>
      <w:tr w:rsidR="00FB63A0" w:rsidRPr="006A0FB9" w14:paraId="4571B09C" w14:textId="77777777" w:rsidTr="006A0FB9">
        <w:trPr>
          <w:cantSplit/>
          <w:jc w:val="center"/>
        </w:trPr>
        <w:tc>
          <w:tcPr>
            <w:tcW w:w="1656" w:type="dxa"/>
            <w:tcMar>
              <w:top w:w="30" w:type="dxa"/>
              <w:left w:w="45" w:type="dxa"/>
              <w:bottom w:w="30" w:type="dxa"/>
              <w:right w:w="45" w:type="dxa"/>
            </w:tcMar>
          </w:tcPr>
          <w:p w14:paraId="56E7F266" w14:textId="77777777" w:rsidR="00CF70CD" w:rsidRDefault="00000000">
            <w:r>
              <w:rPr>
                <w:rFonts w:eastAsia="Times New Roman"/>
                <w:sz w:val="16"/>
              </w:rPr>
              <w:t>(Tanyi et al., 2023)</w:t>
            </w:r>
          </w:p>
        </w:tc>
        <w:tc>
          <w:tcPr>
            <w:tcW w:w="1037" w:type="dxa"/>
            <w:tcMar>
              <w:top w:w="30" w:type="dxa"/>
              <w:left w:w="45" w:type="dxa"/>
              <w:bottom w:w="30" w:type="dxa"/>
              <w:right w:w="45" w:type="dxa"/>
            </w:tcMar>
          </w:tcPr>
          <w:p w14:paraId="1B4B29BE" w14:textId="77777777" w:rsidR="00FB63A0" w:rsidRPr="006A0FB9" w:rsidRDefault="00FB63A0" w:rsidP="00FB63A0">
            <w:pPr>
              <w:keepLines/>
              <w:rPr>
                <w:sz w:val="20"/>
                <w:szCs w:val="20"/>
              </w:rPr>
            </w:pPr>
            <w:r w:rsidRPr="006A0FB9">
              <w:rPr>
                <w:rFonts w:eastAsia="Times New Roman" w:cs="Times New Roman"/>
                <w:sz w:val="20"/>
                <w:szCs w:val="20"/>
              </w:rPr>
              <w:t>Cameroon</w:t>
            </w:r>
          </w:p>
        </w:tc>
        <w:tc>
          <w:tcPr>
            <w:tcW w:w="1224" w:type="dxa"/>
            <w:tcMar>
              <w:top w:w="30" w:type="dxa"/>
              <w:left w:w="45" w:type="dxa"/>
              <w:bottom w:w="30" w:type="dxa"/>
              <w:right w:w="45" w:type="dxa"/>
            </w:tcMar>
          </w:tcPr>
          <w:p w14:paraId="2D8D2D13"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1C06FD95" w14:textId="77777777" w:rsidR="00FB63A0" w:rsidRPr="006A0FB9" w:rsidRDefault="00FB63A0" w:rsidP="00FB63A0">
            <w:pPr>
              <w:keepLines/>
              <w:rPr>
                <w:sz w:val="20"/>
                <w:szCs w:val="20"/>
              </w:rPr>
            </w:pPr>
            <w:r w:rsidRPr="006A0FB9">
              <w:rPr>
                <w:rFonts w:eastAsia="Times New Roman" w:cs="Times New Roman"/>
                <w:sz w:val="20"/>
                <w:szCs w:val="20"/>
              </w:rPr>
              <w:t>Children</w:t>
            </w:r>
            <w:r w:rsidR="001D14D1" w:rsidRPr="006A0FB9">
              <w:rPr>
                <w:rFonts w:eastAsia="Times New Roman" w:cs="Times New Roman"/>
                <w:sz w:val="20"/>
                <w:szCs w:val="20"/>
              </w:rPr>
              <w:t xml:space="preserve"> (5-7 years old, 3 patients)</w:t>
            </w:r>
          </w:p>
        </w:tc>
        <w:tc>
          <w:tcPr>
            <w:tcW w:w="1656" w:type="dxa"/>
            <w:tcMar>
              <w:top w:w="30" w:type="dxa"/>
              <w:left w:w="45" w:type="dxa"/>
              <w:bottom w:w="30" w:type="dxa"/>
              <w:right w:w="45" w:type="dxa"/>
            </w:tcMar>
          </w:tcPr>
          <w:p w14:paraId="533B0223" w14:textId="77777777" w:rsidR="00FB63A0" w:rsidRPr="006A0FB9" w:rsidRDefault="00FB63A0" w:rsidP="00FB63A0">
            <w:pPr>
              <w:keepLines/>
              <w:rPr>
                <w:sz w:val="20"/>
                <w:szCs w:val="20"/>
              </w:rPr>
            </w:pPr>
            <w:r w:rsidRPr="006A0FB9">
              <w:rPr>
                <w:rFonts w:eastAsia="Times New Roman" w:cs="Times New Roman"/>
                <w:sz w:val="20"/>
                <w:szCs w:val="20"/>
              </w:rPr>
              <w:t>Penile/glans amputation</w:t>
            </w:r>
          </w:p>
        </w:tc>
        <w:tc>
          <w:tcPr>
            <w:tcW w:w="1512" w:type="dxa"/>
            <w:tcMar>
              <w:top w:w="30" w:type="dxa"/>
              <w:left w:w="45" w:type="dxa"/>
              <w:bottom w:w="30" w:type="dxa"/>
              <w:right w:w="45" w:type="dxa"/>
            </w:tcMar>
          </w:tcPr>
          <w:p w14:paraId="19CDDDB9" w14:textId="77777777" w:rsidR="00FB63A0" w:rsidRPr="006A0FB9" w:rsidRDefault="00FB63A0" w:rsidP="00FB63A0">
            <w:pPr>
              <w:keepLines/>
              <w:rPr>
                <w:sz w:val="20"/>
                <w:szCs w:val="20"/>
              </w:rPr>
            </w:pPr>
            <w:r w:rsidRPr="006A0FB9">
              <w:rPr>
                <w:rFonts w:eastAsia="Times New Roman" w:cs="Times New Roman"/>
                <w:sz w:val="20"/>
                <w:szCs w:val="20"/>
              </w:rPr>
              <w:t>Untrained providers</w:t>
            </w:r>
          </w:p>
        </w:tc>
        <w:tc>
          <w:tcPr>
            <w:tcW w:w="1440" w:type="dxa"/>
            <w:tcMar>
              <w:top w:w="30" w:type="dxa"/>
              <w:left w:w="45" w:type="dxa"/>
              <w:bottom w:w="30" w:type="dxa"/>
              <w:right w:w="45" w:type="dxa"/>
            </w:tcMar>
          </w:tcPr>
          <w:p w14:paraId="09BFAFFE" w14:textId="77777777" w:rsidR="00FB63A0" w:rsidRPr="006A0FB9" w:rsidRDefault="00FB63A0" w:rsidP="00FB63A0">
            <w:pPr>
              <w:keepLines/>
              <w:rPr>
                <w:sz w:val="20"/>
                <w:szCs w:val="20"/>
              </w:rPr>
            </w:pPr>
            <w:r w:rsidRPr="006A0FB9">
              <w:rPr>
                <w:rFonts w:eastAsia="Times New Roman" w:cs="Times New Roman"/>
                <w:sz w:val="20"/>
                <w:szCs w:val="20"/>
              </w:rPr>
              <w:t>Rural/traditional</w:t>
            </w:r>
          </w:p>
        </w:tc>
        <w:tc>
          <w:tcPr>
            <w:tcW w:w="1325" w:type="dxa"/>
            <w:tcMar>
              <w:top w:w="30" w:type="dxa"/>
              <w:left w:w="45" w:type="dxa"/>
              <w:bottom w:w="30" w:type="dxa"/>
              <w:right w:w="45" w:type="dxa"/>
            </w:tcMar>
          </w:tcPr>
          <w:p w14:paraId="19CF5614" w14:textId="77777777" w:rsidR="00FB63A0" w:rsidRPr="006A0FB9" w:rsidRDefault="00FB63A0" w:rsidP="00FB63A0">
            <w:pPr>
              <w:keepLines/>
              <w:rPr>
                <w:sz w:val="20"/>
                <w:szCs w:val="20"/>
              </w:rPr>
            </w:pPr>
            <w:r w:rsidRPr="006A0FB9">
              <w:rPr>
                <w:rFonts w:eastAsia="Times New Roman" w:cs="Times New Roman"/>
                <w:sz w:val="20"/>
                <w:szCs w:val="20"/>
              </w:rPr>
              <w:t>Replantation</w:t>
            </w:r>
          </w:p>
        </w:tc>
        <w:tc>
          <w:tcPr>
            <w:tcW w:w="1454" w:type="dxa"/>
            <w:tcMar>
              <w:top w:w="30" w:type="dxa"/>
              <w:left w:w="45" w:type="dxa"/>
              <w:bottom w:w="30" w:type="dxa"/>
              <w:right w:w="45" w:type="dxa"/>
            </w:tcMar>
          </w:tcPr>
          <w:p w14:paraId="4225F696" w14:textId="77777777" w:rsidR="00FB63A0" w:rsidRPr="006A0FB9" w:rsidRDefault="00FB63A0" w:rsidP="00FB63A0">
            <w:pPr>
              <w:keepLines/>
              <w:rPr>
                <w:sz w:val="20"/>
                <w:szCs w:val="20"/>
              </w:rPr>
            </w:pPr>
            <w:r w:rsidRPr="006A0FB9">
              <w:rPr>
                <w:rFonts w:eastAsia="Times New Roman" w:cs="Times New Roman"/>
                <w:sz w:val="20"/>
                <w:szCs w:val="20"/>
              </w:rPr>
              <w:t>Mixed outcomes</w:t>
            </w:r>
          </w:p>
        </w:tc>
      </w:tr>
      <w:tr w:rsidR="00FB63A0" w:rsidRPr="006A0FB9" w14:paraId="6AFFBFF6" w14:textId="77777777" w:rsidTr="006A0FB9">
        <w:trPr>
          <w:cantSplit/>
          <w:jc w:val="center"/>
        </w:trPr>
        <w:tc>
          <w:tcPr>
            <w:tcW w:w="1656" w:type="dxa"/>
            <w:tcMar>
              <w:top w:w="30" w:type="dxa"/>
              <w:left w:w="45" w:type="dxa"/>
              <w:bottom w:w="30" w:type="dxa"/>
              <w:right w:w="45" w:type="dxa"/>
            </w:tcMar>
          </w:tcPr>
          <w:p w14:paraId="35911B87" w14:textId="77777777" w:rsidR="00CF70CD" w:rsidRDefault="00000000">
            <w:r>
              <w:rPr>
                <w:rFonts w:eastAsia="Times New Roman"/>
                <w:sz w:val="16"/>
              </w:rPr>
              <w:t>(Tasci et al., 2020)</w:t>
            </w:r>
          </w:p>
        </w:tc>
        <w:tc>
          <w:tcPr>
            <w:tcW w:w="1037" w:type="dxa"/>
            <w:tcMar>
              <w:top w:w="30" w:type="dxa"/>
              <w:left w:w="45" w:type="dxa"/>
              <w:bottom w:w="30" w:type="dxa"/>
              <w:right w:w="45" w:type="dxa"/>
            </w:tcMar>
          </w:tcPr>
          <w:p w14:paraId="1AD9CF21"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14:paraId="30EBEA99"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6593BF9A" w14:textId="77777777" w:rsidR="00FB63A0" w:rsidRPr="006A0FB9" w:rsidRDefault="00FB63A0" w:rsidP="00FB63A0">
            <w:pPr>
              <w:keepLines/>
              <w:rPr>
                <w:sz w:val="20"/>
                <w:szCs w:val="20"/>
              </w:rPr>
            </w:pPr>
            <w:r w:rsidRPr="006A0FB9">
              <w:rPr>
                <w:rFonts w:eastAsia="Times New Roman" w:cs="Times New Roman"/>
                <w:sz w:val="20"/>
                <w:szCs w:val="20"/>
              </w:rPr>
              <w:t>24 patients</w:t>
            </w:r>
            <w:r w:rsidR="005E015F" w:rsidRPr="006A0FB9">
              <w:rPr>
                <w:rFonts w:eastAsia="Times New Roman" w:cs="Times New Roman"/>
                <w:sz w:val="20"/>
                <w:szCs w:val="20"/>
              </w:rPr>
              <w:t xml:space="preserve">, child (1.3 – </w:t>
            </w:r>
            <w:proofErr w:type="gramStart"/>
            <w:r w:rsidR="005E015F" w:rsidRPr="006A0FB9">
              <w:rPr>
                <w:rFonts w:eastAsia="Times New Roman" w:cs="Times New Roman"/>
                <w:sz w:val="20"/>
                <w:szCs w:val="20"/>
              </w:rPr>
              <w:t>8.7 year-old</w:t>
            </w:r>
            <w:proofErr w:type="gramEnd"/>
            <w:r w:rsidR="005E015F" w:rsidRPr="006A0FB9">
              <w:rPr>
                <w:rFonts w:eastAsia="Times New Roman" w:cs="Times New Roman"/>
                <w:sz w:val="20"/>
                <w:szCs w:val="20"/>
              </w:rPr>
              <w:t>)</w:t>
            </w:r>
          </w:p>
        </w:tc>
        <w:tc>
          <w:tcPr>
            <w:tcW w:w="1656" w:type="dxa"/>
            <w:tcMar>
              <w:top w:w="30" w:type="dxa"/>
              <w:left w:w="45" w:type="dxa"/>
              <w:bottom w:w="30" w:type="dxa"/>
              <w:right w:w="45" w:type="dxa"/>
            </w:tcMar>
          </w:tcPr>
          <w:p w14:paraId="702A76D8" w14:textId="77777777" w:rsidR="00FB63A0" w:rsidRPr="006A0FB9" w:rsidRDefault="00FB63A0" w:rsidP="00FB63A0">
            <w:pPr>
              <w:keepLines/>
              <w:rPr>
                <w:sz w:val="20"/>
                <w:szCs w:val="20"/>
              </w:rPr>
            </w:pPr>
            <w:r w:rsidRPr="006A0FB9">
              <w:rPr>
                <w:rFonts w:eastAsia="Times New Roman" w:cs="Times New Roman"/>
                <w:sz w:val="20"/>
                <w:szCs w:val="20"/>
              </w:rPr>
              <w:t>Penile necrosis</w:t>
            </w:r>
          </w:p>
        </w:tc>
        <w:tc>
          <w:tcPr>
            <w:tcW w:w="1512" w:type="dxa"/>
            <w:tcMar>
              <w:top w:w="30" w:type="dxa"/>
              <w:left w:w="45" w:type="dxa"/>
              <w:bottom w:w="30" w:type="dxa"/>
              <w:right w:w="45" w:type="dxa"/>
            </w:tcMar>
          </w:tcPr>
          <w:p w14:paraId="281E3EFF" w14:textId="77777777" w:rsidR="00FB63A0" w:rsidRPr="006A0FB9" w:rsidRDefault="00FB63A0" w:rsidP="00FB63A0">
            <w:pPr>
              <w:keepLines/>
              <w:rPr>
                <w:sz w:val="20"/>
                <w:szCs w:val="20"/>
              </w:rPr>
            </w:pPr>
            <w:r w:rsidRPr="006A0FB9">
              <w:rPr>
                <w:rFonts w:eastAsia="Times New Roman" w:cs="Times New Roman"/>
                <w:sz w:val="20"/>
                <w:szCs w:val="20"/>
              </w:rPr>
              <w:t>Cautery, infection, anesthesia</w:t>
            </w:r>
          </w:p>
        </w:tc>
        <w:tc>
          <w:tcPr>
            <w:tcW w:w="1440" w:type="dxa"/>
            <w:tcMar>
              <w:top w:w="30" w:type="dxa"/>
              <w:left w:w="45" w:type="dxa"/>
              <w:bottom w:w="30" w:type="dxa"/>
              <w:right w:w="45" w:type="dxa"/>
            </w:tcMar>
          </w:tcPr>
          <w:p w14:paraId="2B63804C" w14:textId="77777777" w:rsidR="00FB63A0" w:rsidRPr="006A0FB9" w:rsidRDefault="00FB63A0" w:rsidP="00FB63A0">
            <w:pPr>
              <w:keepLines/>
              <w:rPr>
                <w:sz w:val="20"/>
                <w:szCs w:val="20"/>
              </w:rPr>
            </w:pPr>
            <w:r w:rsidRPr="006A0FB9">
              <w:rPr>
                <w:rFonts w:eastAsia="Times New Roman" w:cs="Times New Roman"/>
                <w:sz w:val="20"/>
                <w:szCs w:val="20"/>
              </w:rPr>
              <w:t>Mixed settings</w:t>
            </w:r>
          </w:p>
        </w:tc>
        <w:tc>
          <w:tcPr>
            <w:tcW w:w="1325" w:type="dxa"/>
            <w:tcMar>
              <w:top w:w="30" w:type="dxa"/>
              <w:left w:w="45" w:type="dxa"/>
              <w:bottom w:w="30" w:type="dxa"/>
              <w:right w:w="45" w:type="dxa"/>
            </w:tcMar>
          </w:tcPr>
          <w:p w14:paraId="233DBE46" w14:textId="77777777" w:rsidR="00FB63A0" w:rsidRPr="006A0FB9" w:rsidRDefault="00FB63A0" w:rsidP="00FB63A0">
            <w:pPr>
              <w:keepLines/>
              <w:rPr>
                <w:sz w:val="20"/>
                <w:szCs w:val="20"/>
              </w:rPr>
            </w:pPr>
            <w:r w:rsidRPr="006A0FB9">
              <w:rPr>
                <w:rFonts w:eastAsia="Times New Roman" w:cs="Times New Roman"/>
                <w:sz w:val="20"/>
                <w:szCs w:val="20"/>
              </w:rPr>
              <w:t>Surgery / HBOT</w:t>
            </w:r>
          </w:p>
        </w:tc>
        <w:tc>
          <w:tcPr>
            <w:tcW w:w="1454" w:type="dxa"/>
            <w:tcMar>
              <w:top w:w="30" w:type="dxa"/>
              <w:left w:w="45" w:type="dxa"/>
              <w:bottom w:w="30" w:type="dxa"/>
              <w:right w:w="45" w:type="dxa"/>
            </w:tcMar>
          </w:tcPr>
          <w:p w14:paraId="12B95508" w14:textId="77777777" w:rsidR="00FB63A0" w:rsidRPr="006A0FB9" w:rsidRDefault="00FB63A0" w:rsidP="00FB63A0">
            <w:pPr>
              <w:keepLines/>
              <w:rPr>
                <w:sz w:val="20"/>
                <w:szCs w:val="20"/>
              </w:rPr>
            </w:pPr>
            <w:r w:rsidRPr="006A0FB9">
              <w:rPr>
                <w:rFonts w:eastAsia="Times New Roman" w:cs="Times New Roman"/>
                <w:sz w:val="20"/>
                <w:szCs w:val="20"/>
              </w:rPr>
              <w:t>High complication rate</w:t>
            </w:r>
          </w:p>
        </w:tc>
      </w:tr>
      <w:tr w:rsidR="00FB63A0" w:rsidRPr="006A0FB9" w14:paraId="348F3F25" w14:textId="77777777" w:rsidTr="006A0FB9">
        <w:trPr>
          <w:cantSplit/>
          <w:jc w:val="center"/>
        </w:trPr>
        <w:tc>
          <w:tcPr>
            <w:tcW w:w="1656" w:type="dxa"/>
            <w:tcMar>
              <w:top w:w="30" w:type="dxa"/>
              <w:left w:w="45" w:type="dxa"/>
              <w:bottom w:w="30" w:type="dxa"/>
              <w:right w:w="45" w:type="dxa"/>
            </w:tcMar>
          </w:tcPr>
          <w:p w14:paraId="70743913" w14:textId="77777777" w:rsidR="00CF70CD" w:rsidRDefault="00000000">
            <w:r>
              <w:rPr>
                <w:rFonts w:eastAsia="Times New Roman"/>
                <w:sz w:val="16"/>
              </w:rPr>
              <w:t>(Uzun et al., 2012)</w:t>
            </w:r>
          </w:p>
        </w:tc>
        <w:tc>
          <w:tcPr>
            <w:tcW w:w="1037" w:type="dxa"/>
            <w:tcMar>
              <w:top w:w="30" w:type="dxa"/>
              <w:left w:w="45" w:type="dxa"/>
              <w:bottom w:w="30" w:type="dxa"/>
              <w:right w:w="45" w:type="dxa"/>
            </w:tcMar>
          </w:tcPr>
          <w:p w14:paraId="35BE7FB8" w14:textId="77777777" w:rsidR="00FB63A0" w:rsidRPr="006A0FB9" w:rsidRDefault="00FB63A0" w:rsidP="00FB63A0">
            <w:pPr>
              <w:keepLines/>
              <w:rPr>
                <w:sz w:val="20"/>
                <w:szCs w:val="20"/>
              </w:rPr>
            </w:pPr>
            <w:r w:rsidRPr="006A0FB9">
              <w:rPr>
                <w:rFonts w:eastAsia="Times New Roman" w:cs="Times New Roman"/>
                <w:sz w:val="20"/>
                <w:szCs w:val="20"/>
              </w:rPr>
              <w:t>Turkey</w:t>
            </w:r>
          </w:p>
        </w:tc>
        <w:tc>
          <w:tcPr>
            <w:tcW w:w="1224" w:type="dxa"/>
            <w:tcMar>
              <w:top w:w="30" w:type="dxa"/>
              <w:left w:w="45" w:type="dxa"/>
              <w:bottom w:w="30" w:type="dxa"/>
              <w:right w:w="45" w:type="dxa"/>
            </w:tcMar>
          </w:tcPr>
          <w:p w14:paraId="68368C62"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0FB483F1" w14:textId="77777777" w:rsidR="00FB63A0" w:rsidRPr="006A0FB9" w:rsidRDefault="00FB63A0" w:rsidP="00FB63A0">
            <w:pPr>
              <w:keepLines/>
              <w:rPr>
                <w:sz w:val="20"/>
                <w:szCs w:val="20"/>
              </w:rPr>
            </w:pPr>
            <w:r w:rsidRPr="006A0FB9">
              <w:rPr>
                <w:rFonts w:eastAsia="Times New Roman" w:cs="Times New Roman"/>
                <w:sz w:val="20"/>
                <w:szCs w:val="20"/>
              </w:rPr>
              <w:t>Child</w:t>
            </w:r>
            <w:r w:rsidR="00697A03" w:rsidRPr="006A0FB9">
              <w:rPr>
                <w:rFonts w:eastAsia="Times New Roman" w:cs="Times New Roman"/>
                <w:sz w:val="20"/>
                <w:szCs w:val="20"/>
              </w:rPr>
              <w:t xml:space="preserve"> (7 years old, one patient)</w:t>
            </w:r>
          </w:p>
        </w:tc>
        <w:tc>
          <w:tcPr>
            <w:tcW w:w="1656" w:type="dxa"/>
            <w:tcMar>
              <w:top w:w="30" w:type="dxa"/>
              <w:left w:w="45" w:type="dxa"/>
              <w:bottom w:w="30" w:type="dxa"/>
              <w:right w:w="45" w:type="dxa"/>
            </w:tcMar>
          </w:tcPr>
          <w:p w14:paraId="1B365D17" w14:textId="77777777" w:rsidR="00FB63A0" w:rsidRPr="006A0FB9" w:rsidRDefault="00FB63A0" w:rsidP="00FB63A0">
            <w:pPr>
              <w:keepLines/>
              <w:rPr>
                <w:sz w:val="20"/>
                <w:szCs w:val="20"/>
              </w:rPr>
            </w:pPr>
            <w:r w:rsidRPr="006A0FB9">
              <w:rPr>
                <w:rFonts w:eastAsia="Times New Roman" w:cs="Times New Roman"/>
                <w:sz w:val="20"/>
                <w:szCs w:val="20"/>
              </w:rPr>
              <w:t>Glans necrosis</w:t>
            </w:r>
          </w:p>
        </w:tc>
        <w:tc>
          <w:tcPr>
            <w:tcW w:w="1512" w:type="dxa"/>
            <w:tcMar>
              <w:top w:w="30" w:type="dxa"/>
              <w:left w:w="45" w:type="dxa"/>
              <w:bottom w:w="30" w:type="dxa"/>
              <w:right w:w="45" w:type="dxa"/>
            </w:tcMar>
          </w:tcPr>
          <w:p w14:paraId="0F9DF91A" w14:textId="77777777" w:rsidR="00FB63A0" w:rsidRPr="006A0FB9" w:rsidRDefault="00FB63A0" w:rsidP="00FB63A0">
            <w:pPr>
              <w:keepLines/>
              <w:rPr>
                <w:sz w:val="20"/>
                <w:szCs w:val="20"/>
              </w:rPr>
            </w:pPr>
            <w:r w:rsidRPr="006A0FB9">
              <w:rPr>
                <w:rFonts w:eastAsia="Times New Roman" w:cs="Times New Roman"/>
                <w:sz w:val="20"/>
                <w:szCs w:val="20"/>
              </w:rPr>
              <w:t>Monopolar electrocautery</w:t>
            </w:r>
          </w:p>
        </w:tc>
        <w:tc>
          <w:tcPr>
            <w:tcW w:w="1440" w:type="dxa"/>
            <w:tcMar>
              <w:top w:w="30" w:type="dxa"/>
              <w:left w:w="45" w:type="dxa"/>
              <w:bottom w:w="30" w:type="dxa"/>
              <w:right w:w="45" w:type="dxa"/>
            </w:tcMar>
          </w:tcPr>
          <w:p w14:paraId="3A6A0155" w14:textId="77777777" w:rsidR="00FB63A0" w:rsidRPr="006A0FB9" w:rsidRDefault="00FB63A0" w:rsidP="00FB63A0">
            <w:pPr>
              <w:keepLines/>
              <w:rPr>
                <w:sz w:val="20"/>
                <w:szCs w:val="20"/>
              </w:rPr>
            </w:pPr>
            <w:r w:rsidRPr="006A0FB9">
              <w:rPr>
                <w:rFonts w:eastAsia="Times New Roman" w:cs="Times New Roman"/>
                <w:sz w:val="20"/>
                <w:szCs w:val="20"/>
              </w:rPr>
              <w:t>Medical setting</w:t>
            </w:r>
          </w:p>
        </w:tc>
        <w:tc>
          <w:tcPr>
            <w:tcW w:w="1325" w:type="dxa"/>
            <w:tcMar>
              <w:top w:w="30" w:type="dxa"/>
              <w:left w:w="45" w:type="dxa"/>
              <w:bottom w:w="30" w:type="dxa"/>
              <w:right w:w="45" w:type="dxa"/>
            </w:tcMar>
          </w:tcPr>
          <w:p w14:paraId="0FC1FE23" w14:textId="77777777" w:rsidR="00FB63A0" w:rsidRPr="006A0FB9" w:rsidRDefault="00FB63A0" w:rsidP="00FB63A0">
            <w:pPr>
              <w:keepLines/>
              <w:rPr>
                <w:sz w:val="20"/>
                <w:szCs w:val="20"/>
              </w:rPr>
            </w:pPr>
            <w:r w:rsidRPr="006A0FB9">
              <w:rPr>
                <w:rFonts w:eastAsia="Times New Roman" w:cs="Times New Roman"/>
                <w:sz w:val="20"/>
                <w:szCs w:val="20"/>
              </w:rPr>
              <w:t>HBOT + surgery</w:t>
            </w:r>
          </w:p>
        </w:tc>
        <w:tc>
          <w:tcPr>
            <w:tcW w:w="1454" w:type="dxa"/>
            <w:tcMar>
              <w:top w:w="30" w:type="dxa"/>
              <w:left w:w="45" w:type="dxa"/>
              <w:bottom w:w="30" w:type="dxa"/>
              <w:right w:w="45" w:type="dxa"/>
            </w:tcMar>
          </w:tcPr>
          <w:p w14:paraId="203F398B" w14:textId="77777777" w:rsidR="00FB63A0" w:rsidRPr="006A0FB9" w:rsidRDefault="00FB63A0" w:rsidP="00FB63A0">
            <w:pPr>
              <w:keepLines/>
              <w:rPr>
                <w:sz w:val="20"/>
                <w:szCs w:val="20"/>
              </w:rPr>
            </w:pPr>
            <w:r w:rsidRPr="006A0FB9">
              <w:rPr>
                <w:rFonts w:eastAsia="Times New Roman" w:cs="Times New Roman"/>
                <w:sz w:val="20"/>
                <w:szCs w:val="20"/>
              </w:rPr>
              <w:t>Tissue loss</w:t>
            </w:r>
          </w:p>
        </w:tc>
      </w:tr>
      <w:tr w:rsidR="00FB63A0" w:rsidRPr="006A0FB9" w14:paraId="1C0C16FE" w14:textId="77777777" w:rsidTr="006A0FB9">
        <w:trPr>
          <w:cantSplit/>
          <w:jc w:val="center"/>
        </w:trPr>
        <w:tc>
          <w:tcPr>
            <w:tcW w:w="1656" w:type="dxa"/>
            <w:tcMar>
              <w:top w:w="30" w:type="dxa"/>
              <w:left w:w="45" w:type="dxa"/>
              <w:bottom w:w="30" w:type="dxa"/>
              <w:right w:w="45" w:type="dxa"/>
            </w:tcMar>
          </w:tcPr>
          <w:p w14:paraId="76764A60" w14:textId="77777777" w:rsidR="00CF70CD" w:rsidRDefault="00000000">
            <w:r>
              <w:rPr>
                <w:rFonts w:eastAsia="Times New Roman"/>
                <w:sz w:val="16"/>
              </w:rPr>
              <w:t>(Satyagraha et al., 2020)</w:t>
            </w:r>
          </w:p>
        </w:tc>
        <w:tc>
          <w:tcPr>
            <w:tcW w:w="1037" w:type="dxa"/>
            <w:tcMar>
              <w:top w:w="30" w:type="dxa"/>
              <w:left w:w="45" w:type="dxa"/>
              <w:bottom w:w="30" w:type="dxa"/>
              <w:right w:w="45" w:type="dxa"/>
            </w:tcMar>
          </w:tcPr>
          <w:p w14:paraId="33104035" w14:textId="77777777" w:rsidR="00FB63A0" w:rsidRPr="006A0FB9" w:rsidRDefault="00FB63A0" w:rsidP="00FB63A0">
            <w:pPr>
              <w:keepLines/>
              <w:rPr>
                <w:sz w:val="20"/>
                <w:szCs w:val="20"/>
              </w:rPr>
            </w:pPr>
            <w:r w:rsidRPr="006A0FB9">
              <w:rPr>
                <w:rFonts w:eastAsia="Times New Roman" w:cs="Times New Roman"/>
                <w:sz w:val="20"/>
                <w:szCs w:val="20"/>
              </w:rPr>
              <w:t>Indonesia</w:t>
            </w:r>
          </w:p>
        </w:tc>
        <w:tc>
          <w:tcPr>
            <w:tcW w:w="1224" w:type="dxa"/>
            <w:tcMar>
              <w:top w:w="30" w:type="dxa"/>
              <w:left w:w="45" w:type="dxa"/>
              <w:bottom w:w="30" w:type="dxa"/>
              <w:right w:w="45" w:type="dxa"/>
            </w:tcMar>
          </w:tcPr>
          <w:p w14:paraId="117C0A7F" w14:textId="77777777" w:rsidR="00FB63A0" w:rsidRPr="006A0FB9" w:rsidRDefault="00FB63A0" w:rsidP="00FB63A0">
            <w:pPr>
              <w:keepLines/>
              <w:rPr>
                <w:sz w:val="20"/>
                <w:szCs w:val="20"/>
              </w:rPr>
            </w:pPr>
            <w:r w:rsidRPr="006A0FB9">
              <w:rPr>
                <w:rFonts w:eastAsia="Times New Roman" w:cs="Times New Roman"/>
                <w:sz w:val="20"/>
                <w:szCs w:val="20"/>
              </w:rPr>
              <w:t>Case series</w:t>
            </w:r>
          </w:p>
        </w:tc>
        <w:tc>
          <w:tcPr>
            <w:tcW w:w="1656" w:type="dxa"/>
            <w:tcMar>
              <w:top w:w="30" w:type="dxa"/>
              <w:left w:w="45" w:type="dxa"/>
              <w:bottom w:w="30" w:type="dxa"/>
              <w:right w:w="45" w:type="dxa"/>
            </w:tcMar>
          </w:tcPr>
          <w:p w14:paraId="5EAB6A6C" w14:textId="77777777" w:rsidR="00FB63A0" w:rsidRPr="006A0FB9" w:rsidRDefault="00FB63A0" w:rsidP="00FB63A0">
            <w:pPr>
              <w:keepLines/>
              <w:rPr>
                <w:sz w:val="20"/>
                <w:szCs w:val="20"/>
              </w:rPr>
            </w:pPr>
            <w:r w:rsidRPr="006A0FB9">
              <w:rPr>
                <w:rFonts w:eastAsia="Times New Roman" w:cs="Times New Roman"/>
                <w:sz w:val="20"/>
                <w:szCs w:val="20"/>
              </w:rPr>
              <w:t>Children</w:t>
            </w:r>
            <w:r w:rsidR="00255105" w:rsidRPr="006A0FB9">
              <w:rPr>
                <w:rFonts w:eastAsia="Times New Roman" w:cs="Times New Roman"/>
                <w:sz w:val="20"/>
                <w:szCs w:val="20"/>
              </w:rPr>
              <w:t xml:space="preserve"> (8-12 years old, 4 patients)</w:t>
            </w:r>
          </w:p>
        </w:tc>
        <w:tc>
          <w:tcPr>
            <w:tcW w:w="1656" w:type="dxa"/>
            <w:tcMar>
              <w:top w:w="30" w:type="dxa"/>
              <w:left w:w="45" w:type="dxa"/>
              <w:bottom w:w="30" w:type="dxa"/>
              <w:right w:w="45" w:type="dxa"/>
            </w:tcMar>
          </w:tcPr>
          <w:p w14:paraId="711EAB97" w14:textId="77777777" w:rsidR="00FB63A0" w:rsidRPr="006A0FB9" w:rsidRDefault="00FB63A0" w:rsidP="00FB63A0">
            <w:pPr>
              <w:keepLines/>
              <w:rPr>
                <w:sz w:val="20"/>
                <w:szCs w:val="20"/>
              </w:rPr>
            </w:pPr>
            <w:r w:rsidRPr="006A0FB9">
              <w:rPr>
                <w:rFonts w:eastAsia="Times New Roman" w:cs="Times New Roman"/>
                <w:sz w:val="20"/>
                <w:szCs w:val="20"/>
              </w:rPr>
              <w:t>Penile amputation</w:t>
            </w:r>
          </w:p>
        </w:tc>
        <w:tc>
          <w:tcPr>
            <w:tcW w:w="1512" w:type="dxa"/>
            <w:tcMar>
              <w:top w:w="30" w:type="dxa"/>
              <w:left w:w="45" w:type="dxa"/>
              <w:bottom w:w="30" w:type="dxa"/>
              <w:right w:w="45" w:type="dxa"/>
            </w:tcMar>
          </w:tcPr>
          <w:p w14:paraId="40A9B172" w14:textId="77777777" w:rsidR="00FB63A0" w:rsidRPr="006A0FB9" w:rsidRDefault="00FB63A0" w:rsidP="00FB63A0">
            <w:pPr>
              <w:keepLines/>
              <w:rPr>
                <w:sz w:val="20"/>
                <w:szCs w:val="20"/>
              </w:rPr>
            </w:pPr>
            <w:r w:rsidRPr="006A0FB9">
              <w:rPr>
                <w:rFonts w:eastAsia="Times New Roman" w:cs="Times New Roman"/>
                <w:sz w:val="20"/>
                <w:szCs w:val="20"/>
              </w:rPr>
              <w:t>Guillotine technique</w:t>
            </w:r>
          </w:p>
        </w:tc>
        <w:tc>
          <w:tcPr>
            <w:tcW w:w="1440" w:type="dxa"/>
            <w:tcMar>
              <w:top w:w="30" w:type="dxa"/>
              <w:left w:w="45" w:type="dxa"/>
              <w:bottom w:w="30" w:type="dxa"/>
              <w:right w:w="45" w:type="dxa"/>
            </w:tcMar>
          </w:tcPr>
          <w:p w14:paraId="49094A57" w14:textId="77777777" w:rsidR="00FB63A0" w:rsidRPr="006A0FB9" w:rsidRDefault="00FB63A0" w:rsidP="00FB63A0">
            <w:pPr>
              <w:keepLines/>
              <w:rPr>
                <w:sz w:val="20"/>
                <w:szCs w:val="20"/>
              </w:rPr>
            </w:pPr>
            <w:r w:rsidRPr="006A0FB9">
              <w:rPr>
                <w:rFonts w:eastAsia="Times New Roman" w:cs="Times New Roman"/>
                <w:sz w:val="20"/>
                <w:szCs w:val="20"/>
              </w:rPr>
              <w:t>Non-specialist setting</w:t>
            </w:r>
          </w:p>
        </w:tc>
        <w:tc>
          <w:tcPr>
            <w:tcW w:w="1325" w:type="dxa"/>
            <w:tcMar>
              <w:top w:w="30" w:type="dxa"/>
              <w:left w:w="45" w:type="dxa"/>
              <w:bottom w:w="30" w:type="dxa"/>
              <w:right w:w="45" w:type="dxa"/>
            </w:tcMar>
          </w:tcPr>
          <w:p w14:paraId="0475C2FA" w14:textId="77777777" w:rsidR="00FB63A0" w:rsidRPr="006A0FB9" w:rsidRDefault="00FB63A0" w:rsidP="00FB63A0">
            <w:pPr>
              <w:keepLines/>
              <w:rPr>
                <w:sz w:val="20"/>
                <w:szCs w:val="20"/>
              </w:rPr>
            </w:pPr>
            <w:r w:rsidRPr="006A0FB9">
              <w:rPr>
                <w:rFonts w:eastAsia="Times New Roman" w:cs="Times New Roman"/>
                <w:sz w:val="20"/>
                <w:szCs w:val="20"/>
              </w:rPr>
              <w:t>Surgical</w:t>
            </w:r>
          </w:p>
        </w:tc>
        <w:tc>
          <w:tcPr>
            <w:tcW w:w="1454" w:type="dxa"/>
            <w:tcMar>
              <w:top w:w="30" w:type="dxa"/>
              <w:left w:w="45" w:type="dxa"/>
              <w:bottom w:w="30" w:type="dxa"/>
              <w:right w:w="45" w:type="dxa"/>
            </w:tcMar>
          </w:tcPr>
          <w:p w14:paraId="34C59C5B" w14:textId="77777777" w:rsidR="00FB63A0" w:rsidRPr="006A0FB9" w:rsidRDefault="00FB63A0" w:rsidP="00FB63A0">
            <w:pPr>
              <w:keepLines/>
              <w:rPr>
                <w:sz w:val="20"/>
                <w:szCs w:val="20"/>
              </w:rPr>
            </w:pPr>
            <w:r w:rsidRPr="006A0FB9">
              <w:rPr>
                <w:rFonts w:eastAsia="Times New Roman" w:cs="Times New Roman"/>
                <w:sz w:val="20"/>
                <w:szCs w:val="20"/>
              </w:rPr>
              <w:t>Severe outcomes</w:t>
            </w:r>
          </w:p>
        </w:tc>
      </w:tr>
      <w:tr w:rsidR="00FB63A0" w:rsidRPr="006A0FB9" w14:paraId="02124AB5" w14:textId="77777777" w:rsidTr="006A0FB9">
        <w:trPr>
          <w:cantSplit/>
          <w:jc w:val="center"/>
        </w:trPr>
        <w:tc>
          <w:tcPr>
            <w:tcW w:w="1656" w:type="dxa"/>
            <w:tcMar>
              <w:top w:w="30" w:type="dxa"/>
              <w:left w:w="45" w:type="dxa"/>
              <w:bottom w:w="30" w:type="dxa"/>
              <w:right w:w="45" w:type="dxa"/>
            </w:tcMar>
          </w:tcPr>
          <w:p w14:paraId="16DAD023" w14:textId="77777777" w:rsidR="00CF70CD" w:rsidRDefault="00000000">
            <w:r>
              <w:rPr>
                <w:rFonts w:eastAsia="Times New Roman"/>
                <w:sz w:val="16"/>
              </w:rPr>
              <w:t>(Pepe et al., 2015)</w:t>
            </w:r>
          </w:p>
        </w:tc>
        <w:tc>
          <w:tcPr>
            <w:tcW w:w="1037" w:type="dxa"/>
            <w:tcMar>
              <w:top w:w="30" w:type="dxa"/>
              <w:left w:w="45" w:type="dxa"/>
              <w:bottom w:w="30" w:type="dxa"/>
              <w:right w:w="45" w:type="dxa"/>
            </w:tcMar>
          </w:tcPr>
          <w:p w14:paraId="636F9B97" w14:textId="77777777" w:rsidR="00FB63A0" w:rsidRPr="006A0FB9" w:rsidRDefault="00FB63A0" w:rsidP="00FB63A0">
            <w:pPr>
              <w:keepLines/>
              <w:rPr>
                <w:sz w:val="20"/>
                <w:szCs w:val="20"/>
              </w:rPr>
            </w:pPr>
            <w:r w:rsidRPr="006A0FB9">
              <w:rPr>
                <w:rFonts w:eastAsia="Times New Roman" w:cs="Times New Roman"/>
                <w:sz w:val="20"/>
                <w:szCs w:val="20"/>
              </w:rPr>
              <w:t>Italy</w:t>
            </w:r>
          </w:p>
        </w:tc>
        <w:tc>
          <w:tcPr>
            <w:tcW w:w="1224" w:type="dxa"/>
            <w:tcMar>
              <w:top w:w="30" w:type="dxa"/>
              <w:left w:w="45" w:type="dxa"/>
              <w:bottom w:w="30" w:type="dxa"/>
              <w:right w:w="45" w:type="dxa"/>
            </w:tcMar>
          </w:tcPr>
          <w:p w14:paraId="4BB0D7A1" w14:textId="77777777" w:rsidR="00FB63A0" w:rsidRPr="006A0FB9" w:rsidRDefault="00FB63A0" w:rsidP="00FB63A0">
            <w:pPr>
              <w:keepLines/>
              <w:rPr>
                <w:sz w:val="20"/>
                <w:szCs w:val="20"/>
              </w:rPr>
            </w:pPr>
            <w:r w:rsidRPr="006A0FB9">
              <w:rPr>
                <w:rFonts w:eastAsia="Times New Roman" w:cs="Times New Roman"/>
                <w:sz w:val="20"/>
                <w:szCs w:val="20"/>
              </w:rPr>
              <w:t>Case report</w:t>
            </w:r>
          </w:p>
        </w:tc>
        <w:tc>
          <w:tcPr>
            <w:tcW w:w="1656" w:type="dxa"/>
            <w:tcMar>
              <w:top w:w="30" w:type="dxa"/>
              <w:left w:w="45" w:type="dxa"/>
              <w:bottom w:w="30" w:type="dxa"/>
              <w:right w:w="45" w:type="dxa"/>
            </w:tcMar>
          </w:tcPr>
          <w:p w14:paraId="5A4D2B48" w14:textId="77777777" w:rsidR="00FB63A0" w:rsidRPr="006A0FB9" w:rsidRDefault="00697A03" w:rsidP="00FB63A0">
            <w:pPr>
              <w:keepLines/>
              <w:rPr>
                <w:sz w:val="20"/>
                <w:szCs w:val="20"/>
              </w:rPr>
            </w:pPr>
            <w:r w:rsidRPr="006A0FB9">
              <w:rPr>
                <w:rFonts w:eastAsia="Times New Roman" w:cs="Times New Roman"/>
                <w:sz w:val="20"/>
                <w:szCs w:val="20"/>
              </w:rPr>
              <w:t>Adult (20 years old, one patient</w:t>
            </w:r>
          </w:p>
        </w:tc>
        <w:tc>
          <w:tcPr>
            <w:tcW w:w="1656" w:type="dxa"/>
            <w:tcMar>
              <w:top w:w="30" w:type="dxa"/>
              <w:left w:w="45" w:type="dxa"/>
              <w:bottom w:w="30" w:type="dxa"/>
              <w:right w:w="45" w:type="dxa"/>
            </w:tcMar>
          </w:tcPr>
          <w:p w14:paraId="5D82434B" w14:textId="77777777" w:rsidR="00FB63A0" w:rsidRPr="006A0FB9" w:rsidRDefault="00FB63A0" w:rsidP="00FB63A0">
            <w:pPr>
              <w:keepLines/>
              <w:rPr>
                <w:sz w:val="20"/>
                <w:szCs w:val="20"/>
              </w:rPr>
            </w:pPr>
            <w:r w:rsidRPr="006A0FB9">
              <w:rPr>
                <w:rFonts w:eastAsia="Times New Roman" w:cs="Times New Roman"/>
                <w:sz w:val="20"/>
                <w:szCs w:val="20"/>
              </w:rPr>
              <w:t>Glans ischemia</w:t>
            </w:r>
          </w:p>
        </w:tc>
        <w:tc>
          <w:tcPr>
            <w:tcW w:w="1512" w:type="dxa"/>
            <w:tcMar>
              <w:top w:w="30" w:type="dxa"/>
              <w:left w:w="45" w:type="dxa"/>
              <w:bottom w:w="30" w:type="dxa"/>
              <w:right w:w="45" w:type="dxa"/>
            </w:tcMar>
          </w:tcPr>
          <w:p w14:paraId="695C81CA" w14:textId="77777777" w:rsidR="00FB63A0" w:rsidRPr="006A0FB9" w:rsidRDefault="00FB63A0" w:rsidP="00FB63A0">
            <w:pPr>
              <w:keepLines/>
              <w:rPr>
                <w:sz w:val="20"/>
                <w:szCs w:val="20"/>
              </w:rPr>
            </w:pPr>
            <w:r w:rsidRPr="006A0FB9">
              <w:rPr>
                <w:rFonts w:eastAsia="Times New Roman" w:cs="Times New Roman"/>
                <w:sz w:val="20"/>
                <w:szCs w:val="20"/>
              </w:rPr>
              <w:t>Anesthesia-related</w:t>
            </w:r>
          </w:p>
        </w:tc>
        <w:tc>
          <w:tcPr>
            <w:tcW w:w="1440" w:type="dxa"/>
            <w:tcMar>
              <w:top w:w="30" w:type="dxa"/>
              <w:left w:w="45" w:type="dxa"/>
              <w:bottom w:w="30" w:type="dxa"/>
              <w:right w:w="45" w:type="dxa"/>
            </w:tcMar>
          </w:tcPr>
          <w:p w14:paraId="1CEC11A7" w14:textId="77777777" w:rsidR="00FB63A0" w:rsidRPr="006A0FB9" w:rsidRDefault="00FB63A0" w:rsidP="00FB63A0">
            <w:pPr>
              <w:keepLines/>
              <w:rPr>
                <w:sz w:val="20"/>
                <w:szCs w:val="20"/>
              </w:rPr>
            </w:pPr>
            <w:r w:rsidRPr="006A0FB9">
              <w:rPr>
                <w:rFonts w:eastAsia="Times New Roman" w:cs="Times New Roman"/>
                <w:sz w:val="20"/>
                <w:szCs w:val="20"/>
              </w:rPr>
              <w:t>Clinical setting</w:t>
            </w:r>
          </w:p>
        </w:tc>
        <w:tc>
          <w:tcPr>
            <w:tcW w:w="1325" w:type="dxa"/>
            <w:tcMar>
              <w:top w:w="30" w:type="dxa"/>
              <w:left w:w="45" w:type="dxa"/>
              <w:bottom w:w="30" w:type="dxa"/>
              <w:right w:w="45" w:type="dxa"/>
            </w:tcMar>
          </w:tcPr>
          <w:p w14:paraId="276E0365" w14:textId="77777777" w:rsidR="00FB63A0" w:rsidRPr="006A0FB9" w:rsidRDefault="00FB63A0" w:rsidP="00FB63A0">
            <w:pPr>
              <w:keepLines/>
              <w:rPr>
                <w:sz w:val="20"/>
                <w:szCs w:val="20"/>
              </w:rPr>
            </w:pPr>
            <w:r w:rsidRPr="006A0FB9">
              <w:rPr>
                <w:rFonts w:eastAsia="Times New Roman" w:cs="Times New Roman"/>
                <w:sz w:val="20"/>
                <w:szCs w:val="20"/>
              </w:rPr>
              <w:t>Conservative</w:t>
            </w:r>
          </w:p>
        </w:tc>
        <w:tc>
          <w:tcPr>
            <w:tcW w:w="1454" w:type="dxa"/>
            <w:tcMar>
              <w:top w:w="30" w:type="dxa"/>
              <w:left w:w="45" w:type="dxa"/>
              <w:bottom w:w="30" w:type="dxa"/>
              <w:right w:w="45" w:type="dxa"/>
            </w:tcMar>
          </w:tcPr>
          <w:p w14:paraId="4284F75C" w14:textId="77777777" w:rsidR="00FB63A0" w:rsidRPr="006A0FB9" w:rsidRDefault="00FB63A0" w:rsidP="00FB63A0">
            <w:pPr>
              <w:keepLines/>
              <w:rPr>
                <w:sz w:val="20"/>
                <w:szCs w:val="20"/>
              </w:rPr>
            </w:pPr>
            <w:r w:rsidRPr="006A0FB9">
              <w:rPr>
                <w:rFonts w:eastAsia="Times New Roman" w:cs="Times New Roman"/>
                <w:sz w:val="20"/>
                <w:szCs w:val="20"/>
              </w:rPr>
              <w:t>Recovery</w:t>
            </w:r>
          </w:p>
        </w:tc>
      </w:tr>
    </w:tbl>
    <w:p w14:paraId="12C8C3C5" w14:textId="77777777" w:rsidR="00C80928" w:rsidRDefault="00C80928">
      <w:pPr>
        <w:sectPr w:rsidR="00C80928" w:rsidSect="00984952">
          <w:pgSz w:w="15840" w:h="12240" w:orient="landscape"/>
          <w:pgMar w:top="1417" w:right="1417" w:bottom="1417" w:left="1417" w:header="720" w:footer="720" w:gutter="0"/>
          <w:lnNumType w:countBy="1" w:restart="continuous"/>
          <w:cols w:space="720"/>
          <w:docGrid w:linePitch="360"/>
        </w:sectPr>
      </w:pPr>
    </w:p>
    <w:p w14:paraId="3B0B1105" w14:textId="77777777" w:rsidR="00D1027B" w:rsidRPr="00A05C04" w:rsidRDefault="00D1027B" w:rsidP="00A612D0">
      <w:pPr>
        <w:keepNext/>
        <w:keepLines/>
        <w:spacing w:before="120" w:after="40" w:line="480" w:lineRule="auto"/>
        <w:rPr>
          <w:rFonts w:cs="Times New Roman"/>
          <w:b/>
          <w:bCs/>
          <w:i/>
          <w:iCs/>
        </w:rPr>
      </w:pPr>
      <w:r w:rsidRPr="00A05C04">
        <w:rPr>
          <w:rFonts w:eastAsia="Times New Roman" w:cs="Times New Roman"/>
          <w:b/>
          <w:bCs/>
          <w:i/>
          <w:iCs/>
        </w:rPr>
        <w:lastRenderedPageBreak/>
        <w:t>Quality Assessment Results</w:t>
      </w:r>
    </w:p>
    <w:p w14:paraId="3298BCFE" w14:textId="77777777" w:rsidR="00527961" w:rsidRPr="00A05C04" w:rsidRDefault="00527961" w:rsidP="00A612D0">
      <w:pPr>
        <w:keepNext/>
        <w:keepLines/>
        <w:spacing w:before="120" w:after="40" w:line="480" w:lineRule="auto"/>
        <w:rPr>
          <w:rFonts w:cs="Times New Roman"/>
          <w:i/>
          <w:iCs/>
        </w:rPr>
      </w:pPr>
      <w:r w:rsidRPr="00A05C04">
        <w:rPr>
          <w:rFonts w:eastAsia="Times New Roman" w:cs="Times New Roman"/>
          <w:b/>
          <w:i/>
          <w:iCs/>
        </w:rPr>
        <w:t>Methodological Quality of Included Case Reports</w:t>
      </w:r>
    </w:p>
    <w:p w14:paraId="28971D63" w14:textId="77777777" w:rsidR="00A656AD" w:rsidRPr="00A656AD" w:rsidRDefault="00A656AD" w:rsidP="00A656AD">
      <w:pPr>
        <w:spacing w:after="0" w:line="480" w:lineRule="auto"/>
        <w:ind w:firstLine="630"/>
        <w:jc w:val="both"/>
        <w:rPr>
          <w:rFonts w:cs="Times New Roman"/>
        </w:rPr>
      </w:pPr>
      <w:r w:rsidRPr="00A656AD">
        <w:rPr>
          <w:rFonts w:cs="Times New Roman"/>
        </w:rPr>
        <w:t>The case reports included were of high methodological quality. Most of the studies provided adequate information about the demographics and clinical history of patients, a detailed description of the clinical condition, the interventions performed and the outcome. Most of the research was in these fields.</w:t>
      </w:r>
    </w:p>
    <w:p w14:paraId="484F32E2" w14:textId="77777777" w:rsidR="00A656AD" w:rsidRPr="00A656AD" w:rsidRDefault="00A656AD" w:rsidP="00A656AD">
      <w:pPr>
        <w:spacing w:after="0" w:line="480" w:lineRule="auto"/>
        <w:ind w:firstLine="630"/>
        <w:jc w:val="both"/>
        <w:rPr>
          <w:rFonts w:cs="Times New Roman"/>
        </w:rPr>
      </w:pPr>
      <w:r w:rsidRPr="00A656AD">
        <w:rPr>
          <w:rFonts w:cs="Times New Roman"/>
        </w:rPr>
        <w:t xml:space="preserve">But in some </w:t>
      </w:r>
      <w:proofErr w:type="gramStart"/>
      <w:r w:rsidRPr="00A656AD">
        <w:rPr>
          <w:rFonts w:cs="Times New Roman"/>
        </w:rPr>
        <w:t>areas</w:t>
      </w:r>
      <w:proofErr w:type="gramEnd"/>
      <w:r w:rsidRPr="00A656AD">
        <w:rPr>
          <w:rFonts w:cs="Times New Roman"/>
        </w:rPr>
        <w:t xml:space="preserve"> there were strict restrictions. Many reports were based on clinical findings only without extensive investigation and the diagnostic work-up was often not sufficiently detailed. Limitations in outcome evaluation included non-uniform reporting of adverse events beyond the primary complication.</w:t>
      </w:r>
    </w:p>
    <w:p w14:paraId="215FF2BA" w14:textId="77777777" w:rsidR="00A656AD" w:rsidRPr="00A656AD" w:rsidRDefault="00A656AD" w:rsidP="00A656AD">
      <w:pPr>
        <w:spacing w:after="0" w:line="480" w:lineRule="auto"/>
        <w:ind w:firstLine="630"/>
        <w:jc w:val="both"/>
        <w:rPr>
          <w:rFonts w:cs="Times New Roman"/>
        </w:rPr>
      </w:pPr>
      <w:r w:rsidRPr="00A656AD">
        <w:rPr>
          <w:rFonts w:cs="Times New Roman"/>
        </w:rPr>
        <w:t xml:space="preserve">Three studies had moderate risk of bias mainly due to incomplete reporting of some domains, namely, diagnostic clarity and follow-up. The inherent limitations of the rarity of and clinical nature of the condition under investigation were considered but </w:t>
      </w:r>
      <w:proofErr w:type="gramStart"/>
      <w:r w:rsidRPr="00A656AD">
        <w:rPr>
          <w:rFonts w:cs="Times New Roman"/>
        </w:rPr>
        <w:t>overall</w:t>
      </w:r>
      <w:proofErr w:type="gramEnd"/>
      <w:r w:rsidRPr="00A656AD">
        <w:rPr>
          <w:rFonts w:cs="Times New Roman"/>
        </w:rPr>
        <w:t xml:space="preserve"> the evidence was considered acceptable for descriptive synthesis.</w:t>
      </w:r>
      <w:r>
        <w:t xml:space="preserve"> </w:t>
      </w:r>
      <w:r>
        <w:rPr>
          <w:rFonts w:eastAsia="Times New Roman"/>
        </w:rPr>
        <w:t>The domain-level quality assessment of the included case reports is presented in Figure 2.</w:t>
      </w:r>
    </w:p>
    <w:p w14:paraId="78EF8F40" w14:textId="77777777" w:rsidR="00D1027B" w:rsidRDefault="007F750B" w:rsidP="00A612D0">
      <w:pPr>
        <w:keepNext/>
        <w:keepLines/>
        <w:pageBreakBefore/>
        <w:spacing w:before="60" w:after="40" w:line="480" w:lineRule="auto"/>
        <w:jc w:val="center"/>
        <w:rPr>
          <w:b/>
          <w:bCs/>
        </w:rPr>
      </w:pPr>
      <w:r>
        <w:rPr>
          <w:rFonts w:cs="Times New Roman"/>
          <w:noProof/>
        </w:rPr>
        <w:lastRenderedPageBreak/>
        <w:drawing>
          <wp:inline distT="0" distB="0" distL="0" distR="0" wp14:anchorId="2F586183" wp14:editId="6CA1BBDB">
            <wp:extent cx="4837761" cy="4715123"/>
            <wp:effectExtent l="0" t="0" r="1270" b="0"/>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7761" cy="4715123"/>
                    </a:xfrm>
                    <a:prstGeom prst="rect">
                      <a:avLst/>
                    </a:prstGeom>
                    <a:noFill/>
                    <a:ln>
                      <a:noFill/>
                    </a:ln>
                  </pic:spPr>
                </pic:pic>
              </a:graphicData>
            </a:graphic>
          </wp:inline>
        </w:drawing>
      </w:r>
    </w:p>
    <w:p w14:paraId="1957879C" w14:textId="77777777" w:rsidR="00FE6E85" w:rsidRPr="00574172" w:rsidRDefault="00574172" w:rsidP="00574172">
      <w:pPr>
        <w:keepLines/>
        <w:spacing w:before="60" w:after="120" w:line="240" w:lineRule="auto"/>
        <w:jc w:val="center"/>
        <w:rPr>
          <w:rFonts w:cs="Times New Roman"/>
        </w:rPr>
      </w:pPr>
      <w:r w:rsidRPr="00574172">
        <w:rPr>
          <w:rFonts w:eastAsia="Times New Roman" w:cs="Times New Roman"/>
          <w:b/>
          <w:bCs/>
          <w:sz w:val="20"/>
        </w:rPr>
        <w:t>Figure 2.</w:t>
      </w:r>
      <w:r w:rsidRPr="00574172">
        <w:rPr>
          <w:rFonts w:eastAsia="Times New Roman" w:cs="Times New Roman"/>
          <w:sz w:val="20"/>
        </w:rPr>
        <w:t xml:space="preserve"> Traffic-Light Plot of included case report studies</w:t>
      </w:r>
    </w:p>
    <w:p w14:paraId="4DFA1ACD" w14:textId="77777777" w:rsidR="001C77E5" w:rsidRDefault="001C77E5" w:rsidP="00F65DAA">
      <w:pPr>
        <w:keepNext/>
        <w:keepLines/>
        <w:spacing w:before="120" w:after="40" w:line="480" w:lineRule="auto"/>
        <w:rPr>
          <w:rFonts w:cs="Times New Roman"/>
          <w:i/>
          <w:iCs/>
        </w:rPr>
      </w:pPr>
      <w:r w:rsidRPr="00A05C04">
        <w:rPr>
          <w:rFonts w:eastAsia="Times New Roman" w:cs="Times New Roman"/>
          <w:b/>
          <w:i/>
          <w:iCs/>
        </w:rPr>
        <w:t xml:space="preserve">Methodological Quality of Included Case </w:t>
      </w:r>
      <w:r>
        <w:rPr>
          <w:rFonts w:eastAsia="Times New Roman" w:cs="Times New Roman"/>
          <w:b/>
          <w:i/>
          <w:iCs/>
        </w:rPr>
        <w:t>Series</w:t>
      </w:r>
    </w:p>
    <w:p w14:paraId="0EE30DFB" w14:textId="77777777" w:rsidR="00EB2479" w:rsidRPr="00EB2479" w:rsidRDefault="00EB2479" w:rsidP="00EB2479">
      <w:pPr>
        <w:spacing w:after="0" w:line="480" w:lineRule="auto"/>
        <w:ind w:firstLine="630"/>
        <w:jc w:val="both"/>
        <w:rPr>
          <w:rFonts w:cs="Times New Roman"/>
        </w:rPr>
      </w:pPr>
      <w:r w:rsidRPr="00EB2479">
        <w:rPr>
          <w:rFonts w:cs="Times New Roman"/>
        </w:rPr>
        <w:t xml:space="preserve">The methodological quality of </w:t>
      </w:r>
      <w:r w:rsidR="009F1B3B">
        <w:rPr>
          <w:rFonts w:cs="Times New Roman"/>
        </w:rPr>
        <w:t>the included case series varied</w:t>
      </w:r>
      <w:r w:rsidRPr="00EB2479">
        <w:rPr>
          <w:rFonts w:cs="Times New Roman"/>
        </w:rPr>
        <w:t>. Two studies were assessed as having a low risk of bias, including clear inclusion criteria, complete reporting of clinical and outcome data, and use of structured or surveillance-based data collection methods. Most studies had a moderate risk of bias compared to others, due to limitations in case selection and reporting.</w:t>
      </w:r>
    </w:p>
    <w:p w14:paraId="379C120D" w14:textId="77777777" w:rsidR="00EB2479" w:rsidRPr="00EB2479" w:rsidRDefault="00EB2479" w:rsidP="00EB2479">
      <w:pPr>
        <w:spacing w:after="0" w:line="480" w:lineRule="auto"/>
        <w:ind w:firstLine="630"/>
        <w:jc w:val="both"/>
        <w:rPr>
          <w:rFonts w:cs="Times New Roman"/>
        </w:rPr>
      </w:pPr>
      <w:r w:rsidRPr="00EB2479">
        <w:rPr>
          <w:rFonts w:cs="Times New Roman"/>
        </w:rPr>
        <w:t>In several studies, there was a concern about selection bias, as the inclusion criteria and procedures for recruitment of cases were not clearly defined. Especially in smaller series based on single-</w:t>
      </w:r>
      <w:proofErr w:type="spellStart"/>
      <w:r w:rsidRPr="00EB2479">
        <w:rPr>
          <w:rFonts w:cs="Times New Roman"/>
        </w:rPr>
        <w:t>centre</w:t>
      </w:r>
      <w:proofErr w:type="spellEnd"/>
      <w:r w:rsidRPr="00EB2479">
        <w:rPr>
          <w:rFonts w:cs="Times New Roman"/>
        </w:rPr>
        <w:t xml:space="preserve"> experience, there was often doubt whether cases were included in a consecutive </w:t>
      </w:r>
      <w:r w:rsidRPr="00EB2479">
        <w:rPr>
          <w:rFonts w:cs="Times New Roman"/>
        </w:rPr>
        <w:lastRenderedPageBreak/>
        <w:t>and complete manner. Follow-up data were often sparse or inconsistently reported, making it difficult to assess long-term outcomes.</w:t>
      </w:r>
    </w:p>
    <w:p w14:paraId="796D5B94" w14:textId="77777777" w:rsidR="00EB2479" w:rsidRPr="00EB2479" w:rsidRDefault="00EB2479" w:rsidP="00EB2479">
      <w:pPr>
        <w:spacing w:after="0" w:line="480" w:lineRule="auto"/>
        <w:ind w:firstLine="630"/>
        <w:jc w:val="both"/>
        <w:rPr>
          <w:rFonts w:cs="Times New Roman"/>
        </w:rPr>
      </w:pPr>
      <w:r w:rsidRPr="00EB2479">
        <w:rPr>
          <w:rFonts w:cs="Times New Roman"/>
        </w:rPr>
        <w:t>Most studies did not have a statistical analysis, consistent with the descriptive nature of these case series. Descriptions of clinical details and immediate management were generally good, but the lack of analytical approaches and standardized outcome reporting hampered the overall methodological robustness.</w:t>
      </w:r>
    </w:p>
    <w:p w14:paraId="735F3B51" w14:textId="77777777" w:rsidR="00EB2479" w:rsidRPr="00EB2479" w:rsidRDefault="00EB2479" w:rsidP="00EB2479">
      <w:pPr>
        <w:spacing w:after="0" w:line="480" w:lineRule="auto"/>
        <w:ind w:firstLine="630"/>
        <w:jc w:val="both"/>
        <w:rPr>
          <w:rFonts w:cs="Times New Roman"/>
        </w:rPr>
      </w:pPr>
      <w:r w:rsidRPr="00EB2479">
        <w:rPr>
          <w:rFonts w:cs="Times New Roman"/>
        </w:rPr>
        <w:t>Case series gave useful insight into injury patterns, management strategies and outcomes but methodological limitations constrained strength of evidence. Therefore, the results of higher quality series, especially those with structured data collection and larger sample sizes, were deemed more reliable in informing the overall synthesis.</w:t>
      </w:r>
      <w:r>
        <w:t xml:space="preserve"> </w:t>
      </w:r>
      <w:r>
        <w:rPr>
          <w:rFonts w:eastAsia="Times New Roman"/>
        </w:rPr>
        <w:t>The domain-level quality assessment of the included case series is presented in Figure 3.</w:t>
      </w:r>
    </w:p>
    <w:p w14:paraId="27738AB0" w14:textId="4105D177" w:rsidR="00716965" w:rsidRDefault="004E5D67" w:rsidP="004E5D67">
      <w:pPr>
        <w:spacing w:after="0" w:line="480" w:lineRule="auto"/>
        <w:ind w:firstLine="630"/>
        <w:jc w:val="center"/>
        <w:rPr>
          <w:rFonts w:cs="Times New Roman"/>
          <w:noProof/>
        </w:rPr>
      </w:pPr>
      <w:r>
        <w:rPr>
          <w:rFonts w:cs="Times New Roman"/>
          <w:noProof/>
        </w:rPr>
        <w:drawing>
          <wp:inline distT="0" distB="0" distL="0" distR="0" wp14:anchorId="17418718" wp14:editId="540D01A7">
            <wp:extent cx="4945705" cy="3667125"/>
            <wp:effectExtent l="0" t="0" r="0" b="0"/>
            <wp:docPr id="951231806" name="Picture 2" descr="A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31806" name="Picture 2" descr="A chart with numbers and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8303" cy="3676466"/>
                    </a:xfrm>
                    <a:prstGeom prst="rect">
                      <a:avLst/>
                    </a:prstGeom>
                    <a:noFill/>
                    <a:ln>
                      <a:noFill/>
                    </a:ln>
                  </pic:spPr>
                </pic:pic>
              </a:graphicData>
            </a:graphic>
          </wp:inline>
        </w:drawing>
      </w:r>
    </w:p>
    <w:p w14:paraId="6FECBCEA" w14:textId="0730E940" w:rsidR="004E5D67" w:rsidRPr="000A497D" w:rsidRDefault="004E5D67" w:rsidP="000A497D">
      <w:pPr>
        <w:keepLines/>
        <w:spacing w:before="60" w:after="120" w:line="240" w:lineRule="auto"/>
        <w:jc w:val="center"/>
        <w:rPr>
          <w:rFonts w:cs="Times New Roman"/>
          <w:i/>
          <w:iCs/>
        </w:rPr>
      </w:pPr>
      <w:r>
        <w:rPr>
          <w:rFonts w:cs="Times New Roman"/>
        </w:rPr>
        <w:tab/>
      </w:r>
      <w:r w:rsidRPr="00574172">
        <w:rPr>
          <w:rFonts w:eastAsia="Times New Roman" w:cs="Times New Roman"/>
          <w:b/>
          <w:bCs/>
          <w:sz w:val="20"/>
        </w:rPr>
        <w:t xml:space="preserve">Figure </w:t>
      </w:r>
      <w:r>
        <w:rPr>
          <w:rFonts w:eastAsia="Times New Roman" w:cs="Times New Roman"/>
          <w:b/>
          <w:bCs/>
          <w:sz w:val="20"/>
        </w:rPr>
        <w:t>3</w:t>
      </w:r>
      <w:r w:rsidRPr="00574172">
        <w:rPr>
          <w:rFonts w:eastAsia="Times New Roman" w:cs="Times New Roman"/>
          <w:b/>
          <w:bCs/>
          <w:sz w:val="20"/>
        </w:rPr>
        <w:t>.</w:t>
      </w:r>
      <w:r w:rsidRPr="00574172">
        <w:rPr>
          <w:rFonts w:eastAsia="Times New Roman" w:cs="Times New Roman"/>
          <w:sz w:val="20"/>
        </w:rPr>
        <w:t xml:space="preserve"> Traffic-Light Plot of included case </w:t>
      </w:r>
      <w:r>
        <w:rPr>
          <w:rFonts w:eastAsia="Times New Roman" w:cs="Times New Roman"/>
          <w:sz w:val="20"/>
        </w:rPr>
        <w:t>series</w:t>
      </w:r>
      <w:r w:rsidRPr="00574172">
        <w:rPr>
          <w:rFonts w:eastAsia="Times New Roman" w:cs="Times New Roman"/>
          <w:sz w:val="20"/>
        </w:rPr>
        <w:t xml:space="preserve"> studies</w:t>
      </w:r>
    </w:p>
    <w:p w14:paraId="5D5D1524" w14:textId="77777777" w:rsidR="00A612D0" w:rsidRPr="00B84E53" w:rsidRDefault="00A612D0" w:rsidP="00B84E53">
      <w:pPr>
        <w:keepNext/>
        <w:keepLines/>
        <w:spacing w:before="120" w:after="40" w:line="480" w:lineRule="auto"/>
        <w:jc w:val="both"/>
        <w:rPr>
          <w:rFonts w:cs="Times New Roman"/>
          <w:b/>
          <w:bCs/>
        </w:rPr>
      </w:pPr>
      <w:r w:rsidRPr="00B84E53">
        <w:rPr>
          <w:rFonts w:eastAsia="Times New Roman" w:cs="Times New Roman"/>
          <w:b/>
          <w:bCs/>
        </w:rPr>
        <w:lastRenderedPageBreak/>
        <w:t>Study Characteristics</w:t>
      </w:r>
    </w:p>
    <w:p w14:paraId="5700EE3A" w14:textId="77777777" w:rsidR="00C8302B" w:rsidRPr="00C8302B" w:rsidRDefault="00C8302B" w:rsidP="00C8302B">
      <w:pPr>
        <w:spacing w:after="0" w:line="480" w:lineRule="auto"/>
        <w:ind w:firstLine="630"/>
        <w:jc w:val="both"/>
        <w:rPr>
          <w:rFonts w:cs="Times New Roman"/>
        </w:rPr>
      </w:pPr>
      <w:r w:rsidRPr="00C8302B">
        <w:rPr>
          <w:rFonts w:cs="Times New Roman"/>
        </w:rPr>
        <w:t>The final synthesis included 20 clinical studies, most of them case reports and case series, and one retrospective study. The evidence base was largely descriptive, reflecting the rarity and seriousness of iatrogenic glans and penile injuries in circumcision.</w:t>
      </w:r>
    </w:p>
    <w:p w14:paraId="59C01357" w14:textId="77777777" w:rsidR="00A612D0" w:rsidRPr="00B84E53" w:rsidRDefault="00284474" w:rsidP="00B84E53">
      <w:pPr>
        <w:spacing w:after="0" w:line="480" w:lineRule="auto"/>
        <w:ind w:firstLine="630"/>
        <w:jc w:val="both"/>
        <w:rPr>
          <w:rFonts w:cs="Times New Roman"/>
        </w:rPr>
      </w:pPr>
      <w:r w:rsidRPr="00284474">
        <w:rPr>
          <w:rFonts w:cs="Times New Roman"/>
        </w:rPr>
        <w:t xml:space="preserve">The included studies were from geographically diverse regions, including Africa, Asia, Middle East and Europe. Several reports emerged from low- and middle-income countries including Nigeria, Ethiopia, Somalia, Indonesia and </w:t>
      </w:r>
      <w:proofErr w:type="spellStart"/>
      <w:r w:rsidRPr="00284474">
        <w:rPr>
          <w:rFonts w:cs="Times New Roman"/>
        </w:rPr>
        <w:t>multicountry</w:t>
      </w:r>
      <w:proofErr w:type="spellEnd"/>
      <w:r w:rsidRPr="00284474">
        <w:rPr>
          <w:rFonts w:cs="Times New Roman"/>
        </w:rPr>
        <w:t xml:space="preserve"> African settings where circumcision is often performed in non-specialist or traditional settings</w:t>
      </w:r>
      <w:r w:rsidR="00A612D0" w:rsidRPr="00B84E53">
        <w:rPr>
          <w:rFonts w:cs="Times New Roman"/>
        </w:rPr>
        <w:t xml:space="preserve"> </w:t>
      </w:r>
      <w:r>
        <w:rPr>
          <w:rFonts w:cs="Times New Roman"/>
        </w:rPr>
        <w:t>(7,9,38,41,43)</w:t>
      </w:r>
      <w:r w:rsidR="00A612D0" w:rsidRPr="00B84E53">
        <w:rPr>
          <w:rFonts w:cs="Times New Roman"/>
        </w:rPr>
        <w:t xml:space="preserve">. </w:t>
      </w:r>
      <w:r w:rsidR="005B1533" w:rsidRPr="00267CBE">
        <w:rPr>
          <w:rFonts w:cs="Times New Roman"/>
        </w:rPr>
        <w:t>Additional cases from Cameroon and Senegal illustrated the occurrence of severe injuries in low-resource settings</w:t>
      </w:r>
      <w:r w:rsidR="00A612D0" w:rsidRPr="00B84E53">
        <w:rPr>
          <w:rFonts w:cs="Times New Roman"/>
        </w:rPr>
        <w:t xml:space="preserve"> </w:t>
      </w:r>
      <w:r>
        <w:rPr>
          <w:rFonts w:cs="Times New Roman"/>
        </w:rPr>
        <w:t>(10,49)</w:t>
      </w:r>
      <w:r w:rsidR="00A612D0" w:rsidRPr="00B84E53">
        <w:rPr>
          <w:rFonts w:cs="Times New Roman"/>
        </w:rPr>
        <w:t xml:space="preserve">. </w:t>
      </w:r>
      <w:r w:rsidR="00267CBE" w:rsidRPr="00267CBE">
        <w:rPr>
          <w:rFonts w:cs="Times New Roman"/>
        </w:rPr>
        <w:t>In contrast, other studies were conducted in formal medical settings in Europe and the Middle East such as Spain, Turkey, Italy, and Iran</w:t>
      </w:r>
      <w:r w:rsidR="00A612D0" w:rsidRPr="00B84E53">
        <w:rPr>
          <w:rFonts w:cs="Times New Roman"/>
        </w:rPr>
        <w:t xml:space="preserve"> </w:t>
      </w:r>
      <w:r>
        <w:rPr>
          <w:rFonts w:cs="Times New Roman"/>
        </w:rPr>
        <w:t>(44,46,50,53)</w:t>
      </w:r>
      <w:r w:rsidR="00A612D0" w:rsidRPr="00B84E53">
        <w:rPr>
          <w:rFonts w:cs="Times New Roman"/>
        </w:rPr>
        <w:t>.</w:t>
      </w:r>
    </w:p>
    <w:p w14:paraId="38B2DC81" w14:textId="77777777" w:rsidR="00A612D0" w:rsidRPr="00B84E53" w:rsidRDefault="008948B7" w:rsidP="00B84E53">
      <w:pPr>
        <w:spacing w:after="0" w:line="480" w:lineRule="auto"/>
        <w:ind w:firstLine="630"/>
        <w:jc w:val="both"/>
        <w:rPr>
          <w:rFonts w:cs="Times New Roman"/>
        </w:rPr>
      </w:pPr>
      <w:r w:rsidRPr="008948B7">
        <w:rPr>
          <w:rFonts w:cs="Times New Roman"/>
        </w:rPr>
        <w:t>The majority of the studies included pediatric populations, especially infants and young children, consistent with the epidemiology of circumcision. For example, the retrospective study of 24 patients with post-circumcision penile necrosis by Tasci et al. reported a mean age of about 5 years</w:t>
      </w:r>
      <w:r w:rsidR="00A612D0" w:rsidRPr="00B84E53">
        <w:rPr>
          <w:rFonts w:cs="Times New Roman"/>
        </w:rPr>
        <w:t xml:space="preserve"> </w:t>
      </w:r>
      <w:r>
        <w:rPr>
          <w:rFonts w:cs="Times New Roman"/>
        </w:rPr>
        <w:t>(50)</w:t>
      </w:r>
      <w:r w:rsidR="00A612D0" w:rsidRPr="00B84E53">
        <w:rPr>
          <w:rFonts w:cs="Times New Roman"/>
        </w:rPr>
        <w:t xml:space="preserve">. </w:t>
      </w:r>
      <w:r w:rsidR="00E3531D" w:rsidRPr="00E3531D">
        <w:rPr>
          <w:rFonts w:cs="Times New Roman"/>
        </w:rPr>
        <w:t>Individual case reports consistently reported injuries in children across a broad age range from neonates to school-aged boys</w:t>
      </w:r>
      <w:r w:rsidR="00A612D0" w:rsidRPr="00B84E53">
        <w:rPr>
          <w:rFonts w:cs="Times New Roman"/>
        </w:rPr>
        <w:t xml:space="preserve"> </w:t>
      </w:r>
      <w:r>
        <w:rPr>
          <w:rFonts w:cs="Times New Roman"/>
        </w:rPr>
        <w:t>(42,47,48)</w:t>
      </w:r>
      <w:r w:rsidR="00A612D0" w:rsidRPr="00B84E53">
        <w:rPr>
          <w:rFonts w:cs="Times New Roman"/>
        </w:rPr>
        <w:t>.</w:t>
      </w:r>
    </w:p>
    <w:p w14:paraId="40C209EB" w14:textId="77777777" w:rsidR="00A612D0" w:rsidRPr="00B84E53" w:rsidRDefault="00A612D0" w:rsidP="00B84E53">
      <w:pPr>
        <w:keepNext/>
        <w:keepLines/>
        <w:spacing w:before="120" w:after="40" w:line="480" w:lineRule="auto"/>
        <w:jc w:val="both"/>
        <w:rPr>
          <w:rFonts w:cs="Times New Roman"/>
          <w:b/>
          <w:bCs/>
        </w:rPr>
      </w:pPr>
      <w:r w:rsidRPr="00B84E53">
        <w:rPr>
          <w:rFonts w:eastAsia="Times New Roman" w:cs="Times New Roman"/>
          <w:b/>
          <w:bCs/>
        </w:rPr>
        <w:t>Clinical Spectrum of Injuries</w:t>
      </w:r>
    </w:p>
    <w:p w14:paraId="6F035A07" w14:textId="77777777" w:rsidR="002E29C8" w:rsidRPr="002E29C8" w:rsidRDefault="002E29C8" w:rsidP="002E29C8">
      <w:pPr>
        <w:spacing w:after="0" w:line="480" w:lineRule="auto"/>
        <w:ind w:firstLine="630"/>
        <w:jc w:val="both"/>
        <w:rPr>
          <w:rFonts w:cs="Times New Roman"/>
        </w:rPr>
      </w:pPr>
      <w:r w:rsidRPr="002E29C8">
        <w:rPr>
          <w:rFonts w:cs="Times New Roman"/>
        </w:rPr>
        <w:t>The clinical spectrum of iatrogenic injury to the glans penis during circumcision varied from localized ischemia to catastrophic loss of the penis.</w:t>
      </w:r>
    </w:p>
    <w:p w14:paraId="6EA1C0B1" w14:textId="77777777" w:rsidR="00A612D0" w:rsidRPr="00B84E53" w:rsidRDefault="002E29C8" w:rsidP="00B84E53">
      <w:pPr>
        <w:spacing w:after="0" w:line="480" w:lineRule="auto"/>
        <w:ind w:firstLine="630"/>
        <w:jc w:val="both"/>
        <w:rPr>
          <w:rFonts w:cs="Times New Roman"/>
        </w:rPr>
      </w:pPr>
      <w:r w:rsidRPr="002E29C8">
        <w:rPr>
          <w:rFonts w:cs="Times New Roman"/>
        </w:rPr>
        <w:t xml:space="preserve">The most severe and the most common category was </w:t>
      </w:r>
      <w:proofErr w:type="spellStart"/>
      <w:r w:rsidRPr="002E29C8">
        <w:rPr>
          <w:rFonts w:cs="Times New Roman"/>
        </w:rPr>
        <w:t>amputative</w:t>
      </w:r>
      <w:proofErr w:type="spellEnd"/>
      <w:r w:rsidRPr="002E29C8">
        <w:rPr>
          <w:rFonts w:cs="Times New Roman"/>
        </w:rPr>
        <w:t xml:space="preserve"> injuries. Several studies, including cases from Indonesia, India, Iran and Senegal, reported total or partial glans amputation following circumcision</w:t>
      </w:r>
      <w:r w:rsidR="00A612D0" w:rsidRPr="00B84E53">
        <w:rPr>
          <w:rFonts w:cs="Times New Roman"/>
        </w:rPr>
        <w:t xml:space="preserve"> </w:t>
      </w:r>
      <w:r>
        <w:rPr>
          <w:rFonts w:cs="Times New Roman"/>
        </w:rPr>
        <w:t>(45,46,48,49)</w:t>
      </w:r>
      <w:r w:rsidR="00A612D0" w:rsidRPr="00B84E53">
        <w:rPr>
          <w:rFonts w:cs="Times New Roman"/>
        </w:rPr>
        <w:t xml:space="preserve">. </w:t>
      </w:r>
      <w:r w:rsidR="003B16F0" w:rsidRPr="003B16F0">
        <w:rPr>
          <w:rFonts w:cs="Times New Roman"/>
        </w:rPr>
        <w:t>Additional reports of glans or penile amputation were described in several settings including hospital-based and non-medical settings</w:t>
      </w:r>
      <w:r w:rsidR="00A612D0" w:rsidRPr="00B84E53">
        <w:rPr>
          <w:rFonts w:cs="Times New Roman"/>
        </w:rPr>
        <w:t xml:space="preserve"> </w:t>
      </w:r>
      <w:r>
        <w:rPr>
          <w:rFonts w:cs="Times New Roman"/>
        </w:rPr>
        <w:t>(7,52)</w:t>
      </w:r>
      <w:r w:rsidR="00A612D0" w:rsidRPr="00B84E53">
        <w:rPr>
          <w:rFonts w:cs="Times New Roman"/>
        </w:rPr>
        <w:t xml:space="preserve">. </w:t>
      </w:r>
      <w:r w:rsidR="003B16F0" w:rsidRPr="003B16F0">
        <w:rPr>
          <w:rFonts w:cs="Times New Roman"/>
        </w:rPr>
        <w:t xml:space="preserve">In severe </w:t>
      </w:r>
      <w:r w:rsidR="003B16F0" w:rsidRPr="003B16F0">
        <w:rPr>
          <w:rFonts w:cs="Times New Roman"/>
        </w:rPr>
        <w:lastRenderedPageBreak/>
        <w:t>cases, complete penile amputation has been reported, mainly in procedures carried out by untrained or traditional practitioners</w:t>
      </w:r>
      <w:r w:rsidR="00A612D0" w:rsidRPr="00B84E53">
        <w:rPr>
          <w:rFonts w:cs="Times New Roman"/>
        </w:rPr>
        <w:t xml:space="preserve"> </w:t>
      </w:r>
      <w:r>
        <w:rPr>
          <w:rFonts w:cs="Times New Roman"/>
        </w:rPr>
        <w:t>(40-42)</w:t>
      </w:r>
      <w:r w:rsidR="00A612D0" w:rsidRPr="00B84E53">
        <w:rPr>
          <w:rFonts w:cs="Times New Roman"/>
        </w:rPr>
        <w:t>.</w:t>
      </w:r>
    </w:p>
    <w:p w14:paraId="4E6A33C5" w14:textId="77777777" w:rsidR="00A612D0" w:rsidRPr="00B84E53" w:rsidRDefault="00237658" w:rsidP="00B84E53">
      <w:pPr>
        <w:spacing w:after="0" w:line="480" w:lineRule="auto"/>
        <w:ind w:firstLine="630"/>
        <w:jc w:val="both"/>
        <w:rPr>
          <w:rFonts w:cs="Times New Roman"/>
        </w:rPr>
      </w:pPr>
      <w:r w:rsidRPr="00237658">
        <w:rPr>
          <w:rFonts w:cs="Times New Roman"/>
        </w:rPr>
        <w:t xml:space="preserve">Data from case series further confirmed these injuries are not isolated events. A </w:t>
      </w:r>
      <w:proofErr w:type="spellStart"/>
      <w:r w:rsidRPr="00237658">
        <w:rPr>
          <w:rFonts w:cs="Times New Roman"/>
        </w:rPr>
        <w:t>multicountry</w:t>
      </w:r>
      <w:proofErr w:type="spellEnd"/>
      <w:r w:rsidRPr="00237658">
        <w:rPr>
          <w:rFonts w:cs="Times New Roman"/>
        </w:rPr>
        <w:t xml:space="preserve"> study of voluntary medical male circumcision programs reported 36 cases of glans injury, including lacerations and amputations</w:t>
      </w:r>
      <w:r w:rsidR="00A612D0" w:rsidRPr="00B84E53">
        <w:rPr>
          <w:rFonts w:cs="Times New Roman"/>
        </w:rPr>
        <w:t xml:space="preserve"> </w:t>
      </w:r>
      <w:r>
        <w:rPr>
          <w:rFonts w:cs="Times New Roman"/>
        </w:rPr>
        <w:t>(9)</w:t>
      </w:r>
      <w:r w:rsidR="00A612D0" w:rsidRPr="00B84E53">
        <w:rPr>
          <w:rFonts w:cs="Times New Roman"/>
        </w:rPr>
        <w:t xml:space="preserve">. </w:t>
      </w:r>
      <w:r w:rsidR="00814F2B" w:rsidRPr="00814F2B">
        <w:rPr>
          <w:rFonts w:cs="Times New Roman"/>
        </w:rPr>
        <w:t>Another three-case series from Cameroon also reported complete penile and glans amputation following circumcision with variable outcomes depending on the severity of injury and management</w:t>
      </w:r>
      <w:r w:rsidR="00A612D0" w:rsidRPr="00B84E53">
        <w:rPr>
          <w:rFonts w:cs="Times New Roman"/>
        </w:rPr>
        <w:t xml:space="preserve"> </w:t>
      </w:r>
      <w:r>
        <w:rPr>
          <w:rFonts w:cs="Times New Roman"/>
        </w:rPr>
        <w:t>(10)</w:t>
      </w:r>
      <w:r w:rsidR="00A612D0" w:rsidRPr="00B84E53">
        <w:rPr>
          <w:rFonts w:cs="Times New Roman"/>
        </w:rPr>
        <w:t>.</w:t>
      </w:r>
    </w:p>
    <w:p w14:paraId="5B50F4F1" w14:textId="77777777" w:rsidR="00A612D0" w:rsidRPr="00B84E53" w:rsidRDefault="003F668B" w:rsidP="00B84E53">
      <w:pPr>
        <w:spacing w:after="0" w:line="480" w:lineRule="auto"/>
        <w:ind w:firstLine="630"/>
        <w:jc w:val="both"/>
        <w:rPr>
          <w:rFonts w:cs="Times New Roman"/>
        </w:rPr>
      </w:pPr>
      <w:r w:rsidRPr="003F668B">
        <w:rPr>
          <w:rFonts w:cs="Times New Roman"/>
        </w:rPr>
        <w:t xml:space="preserve">Also, a large part of the clinical spectrum was formed by </w:t>
      </w:r>
      <w:proofErr w:type="spellStart"/>
      <w:r w:rsidRPr="003F668B">
        <w:rPr>
          <w:rFonts w:cs="Times New Roman"/>
        </w:rPr>
        <w:t>amputative</w:t>
      </w:r>
      <w:proofErr w:type="spellEnd"/>
      <w:r w:rsidRPr="003F668B">
        <w:rPr>
          <w:rFonts w:cs="Times New Roman"/>
        </w:rPr>
        <w:t xml:space="preserve"> injuries and ischemic and necrotic complications. There are several case reports of ischemia and progressive necrosis of the glans after circumcision, commonly with discoloration, devitalization, and subsequent tissue loss</w:t>
      </w:r>
      <w:r>
        <w:rPr>
          <w:rFonts w:cs="Times New Roman"/>
        </w:rPr>
        <w:t xml:space="preserve"> (44,51,53)</w:t>
      </w:r>
      <w:r w:rsidR="00A612D0" w:rsidRPr="00B84E53">
        <w:rPr>
          <w:rFonts w:cs="Times New Roman"/>
        </w:rPr>
        <w:t xml:space="preserve">. </w:t>
      </w:r>
      <w:r w:rsidRPr="003F668B">
        <w:rPr>
          <w:rFonts w:cs="Times New Roman"/>
        </w:rPr>
        <w:t xml:space="preserve">In the retrospective analysis by Tasci et al., penile necrosis has been demonstrated again to be a clinically significant complication with varied etiologies and long-term </w:t>
      </w:r>
      <w:proofErr w:type="spellStart"/>
      <w:r w:rsidRPr="003F668B">
        <w:rPr>
          <w:rFonts w:cs="Times New Roman"/>
        </w:rPr>
        <w:t>sequellae</w:t>
      </w:r>
      <w:proofErr w:type="spellEnd"/>
      <w:r>
        <w:rPr>
          <w:rFonts w:cs="Times New Roman"/>
        </w:rPr>
        <w:t xml:space="preserve"> (50)</w:t>
      </w:r>
      <w:r w:rsidR="00A612D0" w:rsidRPr="00B84E53">
        <w:rPr>
          <w:rFonts w:cs="Times New Roman"/>
        </w:rPr>
        <w:t>.</w:t>
      </w:r>
    </w:p>
    <w:p w14:paraId="4BD19C5D" w14:textId="77777777" w:rsidR="00A612D0" w:rsidRPr="00B84E53" w:rsidRDefault="00F00DFD" w:rsidP="00B84E53">
      <w:pPr>
        <w:spacing w:after="0" w:line="480" w:lineRule="auto"/>
        <w:ind w:firstLine="630"/>
        <w:jc w:val="both"/>
        <w:rPr>
          <w:rFonts w:cs="Times New Roman"/>
        </w:rPr>
      </w:pPr>
      <w:r w:rsidRPr="00F00DFD">
        <w:rPr>
          <w:rFonts w:cs="Times New Roman"/>
        </w:rPr>
        <w:t xml:space="preserve">More rarely, complex traumatic injuries such as laceration, tissue loss, or combined urethral and </w:t>
      </w:r>
      <w:proofErr w:type="spellStart"/>
      <w:r w:rsidRPr="00F00DFD">
        <w:rPr>
          <w:rFonts w:cs="Times New Roman"/>
        </w:rPr>
        <w:t>glanular</w:t>
      </w:r>
      <w:proofErr w:type="spellEnd"/>
      <w:r w:rsidRPr="00F00DFD">
        <w:rPr>
          <w:rFonts w:cs="Times New Roman"/>
        </w:rPr>
        <w:t xml:space="preserve"> injuries have been reported further extending the spectrum of circumcision-related complications</w:t>
      </w:r>
      <w:r w:rsidR="00A612D0" w:rsidRPr="00B84E53">
        <w:rPr>
          <w:rFonts w:cs="Times New Roman"/>
        </w:rPr>
        <w:t xml:space="preserve"> </w:t>
      </w:r>
      <w:r>
        <w:rPr>
          <w:rFonts w:cs="Times New Roman"/>
        </w:rPr>
        <w:t>(38)</w:t>
      </w:r>
      <w:r w:rsidR="00A612D0" w:rsidRPr="00B84E53">
        <w:rPr>
          <w:rFonts w:cs="Times New Roman"/>
        </w:rPr>
        <w:t>.</w:t>
      </w:r>
    </w:p>
    <w:p w14:paraId="43687B52" w14:textId="77777777" w:rsidR="00A612D0" w:rsidRPr="001134D8" w:rsidRDefault="00A612D0" w:rsidP="00B84E53">
      <w:pPr>
        <w:keepNext/>
        <w:keepLines/>
        <w:spacing w:before="120" w:after="40" w:line="480" w:lineRule="auto"/>
        <w:jc w:val="both"/>
        <w:rPr>
          <w:rFonts w:cs="Times New Roman"/>
          <w:b/>
          <w:bCs/>
          <w:i/>
          <w:iCs/>
        </w:rPr>
      </w:pPr>
      <w:r w:rsidRPr="001134D8">
        <w:rPr>
          <w:rFonts w:eastAsia="Times New Roman" w:cs="Times New Roman"/>
          <w:b/>
          <w:bCs/>
          <w:i/>
          <w:iCs/>
        </w:rPr>
        <w:t>Mechanisms and Procedural Causes</w:t>
      </w:r>
    </w:p>
    <w:p w14:paraId="1A4FC2F8" w14:textId="77777777" w:rsidR="000D0524" w:rsidRPr="000D0524" w:rsidRDefault="000D0524" w:rsidP="000D0524">
      <w:pPr>
        <w:spacing w:after="0" w:line="480" w:lineRule="auto"/>
        <w:ind w:firstLine="630"/>
        <w:jc w:val="both"/>
        <w:rPr>
          <w:rFonts w:cs="Times New Roman"/>
        </w:rPr>
      </w:pPr>
      <w:r w:rsidRPr="000D0524">
        <w:rPr>
          <w:rFonts w:cs="Times New Roman"/>
        </w:rPr>
        <w:t>Across included studies several consistent mechanisms of glans injury were identified.</w:t>
      </w:r>
    </w:p>
    <w:p w14:paraId="00F77732" w14:textId="77777777" w:rsidR="00204429" w:rsidRPr="00204429" w:rsidRDefault="000D0524" w:rsidP="00204429">
      <w:pPr>
        <w:spacing w:after="0" w:line="480" w:lineRule="auto"/>
        <w:ind w:firstLine="630"/>
        <w:jc w:val="both"/>
        <w:rPr>
          <w:rFonts w:cs="Times New Roman"/>
        </w:rPr>
      </w:pPr>
      <w:r w:rsidRPr="000D0524">
        <w:rPr>
          <w:rFonts w:cs="Times New Roman"/>
        </w:rPr>
        <w:t>One of the major mechanisms was poor visualization of the glans during circumcision. Unintentional glans injury was often associated with blind or clamp-based methods (e.g. the guillotine method and forceps-guided circumcision) where proper anatomical identification was not ensured</w:t>
      </w:r>
      <w:r w:rsidR="00A612D0" w:rsidRPr="00B84E53">
        <w:rPr>
          <w:rFonts w:cs="Times New Roman"/>
        </w:rPr>
        <w:t xml:space="preserve"> </w:t>
      </w:r>
      <w:r>
        <w:rPr>
          <w:rFonts w:cs="Times New Roman"/>
        </w:rPr>
        <w:t>(7,52)</w:t>
      </w:r>
      <w:r w:rsidR="00A612D0" w:rsidRPr="00B84E53">
        <w:rPr>
          <w:rFonts w:cs="Times New Roman"/>
        </w:rPr>
        <w:t xml:space="preserve">. </w:t>
      </w:r>
      <w:r w:rsidR="00204429" w:rsidRPr="00204429">
        <w:rPr>
          <w:rFonts w:cs="Times New Roman"/>
        </w:rPr>
        <w:t xml:space="preserve">In these </w:t>
      </w:r>
      <w:proofErr w:type="gramStart"/>
      <w:r w:rsidR="00204429" w:rsidRPr="00204429">
        <w:rPr>
          <w:rFonts w:cs="Times New Roman"/>
        </w:rPr>
        <w:t>cases</w:t>
      </w:r>
      <w:proofErr w:type="gramEnd"/>
      <w:r w:rsidR="00204429" w:rsidRPr="00204429">
        <w:rPr>
          <w:rFonts w:cs="Times New Roman"/>
        </w:rPr>
        <w:t xml:space="preserve"> inadvertent loss of </w:t>
      </w:r>
      <w:proofErr w:type="spellStart"/>
      <w:r w:rsidR="00204429" w:rsidRPr="00204429">
        <w:rPr>
          <w:rFonts w:cs="Times New Roman"/>
        </w:rPr>
        <w:t>glanular</w:t>
      </w:r>
      <w:proofErr w:type="spellEnd"/>
      <w:r w:rsidR="00204429" w:rsidRPr="00204429">
        <w:rPr>
          <w:rFonts w:cs="Times New Roman"/>
        </w:rPr>
        <w:t xml:space="preserve"> tissue was due to incomplete separation of the prepuce from the glans or improper clamp placement.</w:t>
      </w:r>
    </w:p>
    <w:p w14:paraId="30A45723" w14:textId="77777777" w:rsidR="00A612D0" w:rsidRPr="00B84E53" w:rsidRDefault="008B4D7C" w:rsidP="00DF0E85">
      <w:pPr>
        <w:spacing w:after="0" w:line="480" w:lineRule="auto"/>
        <w:ind w:firstLine="630"/>
        <w:jc w:val="both"/>
        <w:rPr>
          <w:rFonts w:cs="Times New Roman"/>
        </w:rPr>
      </w:pPr>
      <w:r w:rsidRPr="008B4D7C">
        <w:rPr>
          <w:rFonts w:cs="Times New Roman"/>
        </w:rPr>
        <w:lastRenderedPageBreak/>
        <w:t>Operator factors were identified in all studies. Numerous injuries have been reported in cases of circumcision performed by untrained or undertrained individuals such as traditional circumcisers, nurse assistants and non-specialist practitioners</w:t>
      </w:r>
      <w:r w:rsidR="00A612D0" w:rsidRPr="00B84E53">
        <w:rPr>
          <w:rFonts w:cs="Times New Roman"/>
        </w:rPr>
        <w:t xml:space="preserve"> </w:t>
      </w:r>
      <w:r>
        <w:rPr>
          <w:rFonts w:cs="Times New Roman"/>
        </w:rPr>
        <w:t>(10,38,40,41)</w:t>
      </w:r>
      <w:r w:rsidR="00A612D0" w:rsidRPr="00B84E53">
        <w:rPr>
          <w:rFonts w:cs="Times New Roman"/>
        </w:rPr>
        <w:t xml:space="preserve">. </w:t>
      </w:r>
      <w:r w:rsidR="00436C77" w:rsidRPr="00940564">
        <w:rPr>
          <w:rFonts w:cs="Times New Roman"/>
        </w:rPr>
        <w:t>However, severe complications were not only limited to non-medical settings but also reported in clinical settings due to procedural errors, improper selection of technique or lack of surgical expertise</w:t>
      </w:r>
      <w:r w:rsidR="00A612D0" w:rsidRPr="00B84E53">
        <w:rPr>
          <w:rFonts w:cs="Times New Roman"/>
        </w:rPr>
        <w:t xml:space="preserve"> </w:t>
      </w:r>
      <w:r>
        <w:rPr>
          <w:rFonts w:cs="Times New Roman"/>
        </w:rPr>
        <w:t>(7,46)</w:t>
      </w:r>
      <w:r w:rsidR="00A612D0" w:rsidRPr="00B84E53">
        <w:rPr>
          <w:rFonts w:cs="Times New Roman"/>
        </w:rPr>
        <w:t>.</w:t>
      </w:r>
    </w:p>
    <w:p w14:paraId="2BAFA65F" w14:textId="77777777" w:rsidR="00A612D0" w:rsidRPr="00B84E53" w:rsidRDefault="00940564" w:rsidP="00DF0E85">
      <w:pPr>
        <w:spacing w:after="0" w:line="480" w:lineRule="auto"/>
        <w:ind w:firstLine="630"/>
        <w:jc w:val="both"/>
        <w:rPr>
          <w:rFonts w:cs="Times New Roman"/>
        </w:rPr>
      </w:pPr>
      <w:r w:rsidRPr="00940564">
        <w:rPr>
          <w:rFonts w:cs="Times New Roman"/>
        </w:rPr>
        <w:t>Thermal injury was the other major mechanism. Heat propagation in the penile tissues was strongly related to the glans necrosis and gangrene with the monopolar electrocautery</w:t>
      </w:r>
      <w:r>
        <w:rPr>
          <w:rFonts w:cs="Times New Roman"/>
        </w:rPr>
        <w:t xml:space="preserve"> (50,51)</w:t>
      </w:r>
      <w:r w:rsidR="00A612D0" w:rsidRPr="00B84E53">
        <w:rPr>
          <w:rFonts w:cs="Times New Roman"/>
        </w:rPr>
        <w:t xml:space="preserve">. </w:t>
      </w:r>
      <w:r w:rsidRPr="00940564">
        <w:rPr>
          <w:rFonts w:cs="Times New Roman"/>
        </w:rPr>
        <w:t>In the retrospective necrosis study, monopolar cautery was the most common etiological factor of a large number of cases</w:t>
      </w:r>
      <w:r w:rsidR="00A612D0" w:rsidRPr="00B84E53">
        <w:rPr>
          <w:rFonts w:cs="Times New Roman"/>
        </w:rPr>
        <w:t xml:space="preserve"> </w:t>
      </w:r>
      <w:r>
        <w:rPr>
          <w:rFonts w:cs="Times New Roman"/>
        </w:rPr>
        <w:t>(50)</w:t>
      </w:r>
      <w:r w:rsidR="00A612D0" w:rsidRPr="00B84E53">
        <w:rPr>
          <w:rFonts w:cs="Times New Roman"/>
        </w:rPr>
        <w:t>.</w:t>
      </w:r>
    </w:p>
    <w:p w14:paraId="0C8E4286" w14:textId="77777777" w:rsidR="00A612D0" w:rsidRPr="00B84E53" w:rsidRDefault="00700D86" w:rsidP="00DF0E85">
      <w:pPr>
        <w:spacing w:after="0" w:line="480" w:lineRule="auto"/>
        <w:ind w:firstLine="630"/>
        <w:jc w:val="both"/>
        <w:rPr>
          <w:rFonts w:cs="Times New Roman"/>
        </w:rPr>
      </w:pPr>
      <w:r w:rsidRPr="00700D86">
        <w:rPr>
          <w:rFonts w:cs="Times New Roman"/>
        </w:rPr>
        <w:t>Vascular compromise was also a significant factor, particularly in ischemic injuries. Reports of glans ischemia after dorsal penile nerve block or local anesthesia have been published, with proposed mechanisms including vasospasm, endothelial injury or reduced blood flow</w:t>
      </w:r>
      <w:r w:rsidR="00A612D0" w:rsidRPr="00B84E53">
        <w:rPr>
          <w:rFonts w:cs="Times New Roman"/>
        </w:rPr>
        <w:t xml:space="preserve"> </w:t>
      </w:r>
      <w:r>
        <w:rPr>
          <w:rFonts w:cs="Times New Roman"/>
        </w:rPr>
        <w:t>(44,53)</w:t>
      </w:r>
      <w:r w:rsidR="00A612D0" w:rsidRPr="00B84E53">
        <w:rPr>
          <w:rFonts w:cs="Times New Roman"/>
        </w:rPr>
        <w:t xml:space="preserve">. </w:t>
      </w:r>
      <w:r w:rsidR="000F2F0A" w:rsidRPr="000F2F0A">
        <w:rPr>
          <w:rFonts w:cs="Times New Roman"/>
        </w:rPr>
        <w:t>Other factors identified in the larger necrosis series were compressive dressings, infection and compartment-like effects</w:t>
      </w:r>
      <w:r w:rsidR="00A612D0" w:rsidRPr="00B84E53">
        <w:rPr>
          <w:rFonts w:cs="Times New Roman"/>
        </w:rPr>
        <w:t xml:space="preserve"> </w:t>
      </w:r>
      <w:r>
        <w:rPr>
          <w:rFonts w:cs="Times New Roman"/>
        </w:rPr>
        <w:t>(50)</w:t>
      </w:r>
      <w:r w:rsidR="00A612D0" w:rsidRPr="00B84E53">
        <w:rPr>
          <w:rFonts w:cs="Times New Roman"/>
        </w:rPr>
        <w:t>.</w:t>
      </w:r>
    </w:p>
    <w:p w14:paraId="489ACCC2" w14:textId="77777777" w:rsidR="00A612D0" w:rsidRPr="0040735F" w:rsidRDefault="00A612D0" w:rsidP="00B84E53">
      <w:pPr>
        <w:keepNext/>
        <w:keepLines/>
        <w:spacing w:before="120" w:after="40" w:line="480" w:lineRule="auto"/>
        <w:jc w:val="both"/>
        <w:rPr>
          <w:rFonts w:cs="Times New Roman"/>
          <w:b/>
          <w:bCs/>
          <w:i/>
          <w:iCs/>
        </w:rPr>
      </w:pPr>
      <w:r w:rsidRPr="0040735F">
        <w:rPr>
          <w:rFonts w:eastAsia="Times New Roman" w:cs="Times New Roman"/>
          <w:b/>
          <w:bCs/>
          <w:i/>
          <w:iCs/>
        </w:rPr>
        <w:t>Management Strategies and Clinical Outcomes</w:t>
      </w:r>
    </w:p>
    <w:p w14:paraId="75AE07E7" w14:textId="77777777" w:rsidR="005B1CB6" w:rsidRPr="005B1CB6" w:rsidRDefault="005B1CB6" w:rsidP="005B1CB6">
      <w:pPr>
        <w:spacing w:after="0" w:line="480" w:lineRule="auto"/>
        <w:ind w:firstLine="630"/>
        <w:jc w:val="both"/>
        <w:rPr>
          <w:rFonts w:cs="Times New Roman"/>
        </w:rPr>
      </w:pPr>
      <w:r w:rsidRPr="005B1CB6">
        <w:rPr>
          <w:rFonts w:cs="Times New Roman"/>
        </w:rPr>
        <w:t>The management strategies differed widely depending on the severity of the injury, time of presentation and resources available.</w:t>
      </w:r>
    </w:p>
    <w:p w14:paraId="30720DC6" w14:textId="77777777" w:rsidR="00A612D0" w:rsidRPr="00B84E53" w:rsidRDefault="005B1CB6" w:rsidP="00DF0E85">
      <w:pPr>
        <w:spacing w:after="0" w:line="480" w:lineRule="auto"/>
        <w:ind w:firstLine="630"/>
        <w:jc w:val="both"/>
        <w:rPr>
          <w:rFonts w:cs="Times New Roman"/>
        </w:rPr>
      </w:pPr>
      <w:r w:rsidRPr="005B1CB6">
        <w:rPr>
          <w:rFonts w:cs="Times New Roman"/>
        </w:rPr>
        <w:t xml:space="preserve">In acute </w:t>
      </w:r>
      <w:proofErr w:type="spellStart"/>
      <w:r w:rsidRPr="005B1CB6">
        <w:rPr>
          <w:rFonts w:cs="Times New Roman"/>
        </w:rPr>
        <w:t>amputative</w:t>
      </w:r>
      <w:proofErr w:type="spellEnd"/>
      <w:r w:rsidRPr="005B1CB6">
        <w:rPr>
          <w:rFonts w:cs="Times New Roman"/>
        </w:rPr>
        <w:t xml:space="preserve"> injury the main modality of treatment was replantation or reattachment. Surgical techniques included urethral catheterization, urethral anastomosis, approximation of the corpora and reattachment of the glans. Some cases reported favorable outcomes especially when the amputated tissue was preserved and early intervention was practiced</w:t>
      </w:r>
      <w:r w:rsidR="00A612D0" w:rsidRPr="00B84E53">
        <w:rPr>
          <w:rFonts w:cs="Times New Roman"/>
        </w:rPr>
        <w:t xml:space="preserve"> </w:t>
      </w:r>
      <w:r>
        <w:rPr>
          <w:rFonts w:cs="Times New Roman"/>
        </w:rPr>
        <w:t>(42,46)</w:t>
      </w:r>
      <w:r w:rsidR="00A612D0" w:rsidRPr="00B84E53">
        <w:rPr>
          <w:rFonts w:cs="Times New Roman"/>
        </w:rPr>
        <w:t xml:space="preserve">. </w:t>
      </w:r>
      <w:r w:rsidRPr="005B1CB6">
        <w:rPr>
          <w:rFonts w:cs="Times New Roman"/>
        </w:rPr>
        <w:t>However, in resource-limited settings, macroscopic replantation without microsurgical repair was often done with variable functional and cosmetic results</w:t>
      </w:r>
      <w:r w:rsidR="00A612D0" w:rsidRPr="00B84E53">
        <w:rPr>
          <w:rFonts w:cs="Times New Roman"/>
        </w:rPr>
        <w:t xml:space="preserve"> </w:t>
      </w:r>
      <w:r>
        <w:rPr>
          <w:rFonts w:cs="Times New Roman"/>
        </w:rPr>
        <w:t>(10)</w:t>
      </w:r>
      <w:r w:rsidR="00A612D0" w:rsidRPr="00B84E53">
        <w:rPr>
          <w:rFonts w:cs="Times New Roman"/>
        </w:rPr>
        <w:t>.</w:t>
      </w:r>
    </w:p>
    <w:p w14:paraId="22872B4A" w14:textId="77777777" w:rsidR="00A612D0" w:rsidRPr="00B84E53" w:rsidRDefault="00A66BBE" w:rsidP="000C44F6">
      <w:pPr>
        <w:spacing w:after="0" w:line="480" w:lineRule="auto"/>
        <w:ind w:firstLine="630"/>
        <w:jc w:val="both"/>
        <w:rPr>
          <w:rFonts w:cs="Times New Roman"/>
        </w:rPr>
      </w:pPr>
      <w:r w:rsidRPr="00A66BBE">
        <w:rPr>
          <w:rFonts w:cs="Times New Roman"/>
        </w:rPr>
        <w:lastRenderedPageBreak/>
        <w:t>In cases of unsuccessful replantation, other surgical procedures such as meatoplasty, urethroplasty, or staged reconstruction were performed, often resulting in functional urinary outcomes but less than ideal anatomical results</w:t>
      </w:r>
      <w:r w:rsidR="00A612D0" w:rsidRPr="00B84E53">
        <w:rPr>
          <w:rFonts w:cs="Times New Roman"/>
        </w:rPr>
        <w:t xml:space="preserve"> </w:t>
      </w:r>
      <w:r>
        <w:rPr>
          <w:rFonts w:cs="Times New Roman"/>
        </w:rPr>
        <w:t>(49)</w:t>
      </w:r>
      <w:r w:rsidR="00A612D0" w:rsidRPr="00B84E53">
        <w:rPr>
          <w:rFonts w:cs="Times New Roman"/>
        </w:rPr>
        <w:t>.</w:t>
      </w:r>
    </w:p>
    <w:p w14:paraId="36947EDD" w14:textId="77777777" w:rsidR="00A612D0" w:rsidRPr="00B84E53" w:rsidRDefault="00B6509E" w:rsidP="000C44F6">
      <w:pPr>
        <w:spacing w:after="0" w:line="480" w:lineRule="auto"/>
        <w:ind w:firstLine="630"/>
        <w:jc w:val="both"/>
        <w:rPr>
          <w:rFonts w:cs="Times New Roman"/>
        </w:rPr>
      </w:pPr>
      <w:r w:rsidRPr="00B6509E">
        <w:rPr>
          <w:rFonts w:cs="Times New Roman"/>
        </w:rPr>
        <w:t>The ischemic and necrotic injuries were treated ranging from conservative therapy to surgical intervention. Conservative management included wound care, pharmacologic therapy and hyperbaric oxygen therapy with some reports of viable tissue recovery</w:t>
      </w:r>
      <w:r w:rsidR="00A612D0" w:rsidRPr="00B84E53">
        <w:rPr>
          <w:rFonts w:cs="Times New Roman"/>
        </w:rPr>
        <w:t xml:space="preserve"> </w:t>
      </w:r>
      <w:r>
        <w:rPr>
          <w:rFonts w:cs="Times New Roman"/>
        </w:rPr>
        <w:t>(44)</w:t>
      </w:r>
      <w:r w:rsidR="00A612D0" w:rsidRPr="00B84E53">
        <w:rPr>
          <w:rFonts w:cs="Times New Roman"/>
        </w:rPr>
        <w:t xml:space="preserve">. </w:t>
      </w:r>
      <w:r w:rsidRPr="00B6509E">
        <w:rPr>
          <w:rFonts w:cs="Times New Roman"/>
        </w:rPr>
        <w:t>However, in severe cases, debridement, skin grafting or even partial or total penile amputation were needed</w:t>
      </w:r>
      <w:r w:rsidR="00A612D0" w:rsidRPr="00B84E53">
        <w:rPr>
          <w:rFonts w:cs="Times New Roman"/>
        </w:rPr>
        <w:t xml:space="preserve"> </w:t>
      </w:r>
      <w:r>
        <w:rPr>
          <w:rFonts w:cs="Times New Roman"/>
        </w:rPr>
        <w:t>(50)</w:t>
      </w:r>
      <w:r w:rsidR="00A612D0" w:rsidRPr="00B84E53">
        <w:rPr>
          <w:rFonts w:cs="Times New Roman"/>
        </w:rPr>
        <w:t>.</w:t>
      </w:r>
    </w:p>
    <w:p w14:paraId="79D3BAF9" w14:textId="77777777" w:rsidR="00A612D0" w:rsidRDefault="00995A76" w:rsidP="000C44F6">
      <w:pPr>
        <w:spacing w:after="0" w:line="480" w:lineRule="auto"/>
        <w:ind w:firstLine="630"/>
        <w:jc w:val="both"/>
        <w:rPr>
          <w:rFonts w:cs="Times New Roman"/>
        </w:rPr>
      </w:pPr>
      <w:r w:rsidRPr="00995A76">
        <w:rPr>
          <w:rFonts w:cs="Times New Roman"/>
        </w:rPr>
        <w:t>Clinical results were mixed. Early intervention showed some patients with acceptable urinary function, sensation and acceptable cosmetic results. But many cases had long term se</w:t>
      </w:r>
      <w:r w:rsidR="00265470">
        <w:rPr>
          <w:rFonts w:cs="Times New Roman"/>
        </w:rPr>
        <w:t xml:space="preserve">quelae such as penile deformity, meatal stenosis </w:t>
      </w:r>
      <w:r w:rsidRPr="00995A76">
        <w:rPr>
          <w:rFonts w:cs="Times New Roman"/>
        </w:rPr>
        <w:t xml:space="preserve">urethral stricture and </w:t>
      </w:r>
      <w:proofErr w:type="spellStart"/>
      <w:r w:rsidRPr="00995A76">
        <w:rPr>
          <w:rFonts w:cs="Times New Roman"/>
        </w:rPr>
        <w:t>urethrocutaneous</w:t>
      </w:r>
      <w:proofErr w:type="spellEnd"/>
      <w:r w:rsidRPr="00995A76">
        <w:rPr>
          <w:rFonts w:cs="Times New Roman"/>
        </w:rPr>
        <w:t xml:space="preserve"> fistula</w:t>
      </w:r>
      <w:r w:rsidR="00A612D0" w:rsidRPr="00B84E53">
        <w:rPr>
          <w:rFonts w:cs="Times New Roman"/>
        </w:rPr>
        <w:t xml:space="preserve"> </w:t>
      </w:r>
      <w:r>
        <w:rPr>
          <w:rFonts w:cs="Times New Roman"/>
        </w:rPr>
        <w:t>(50)</w:t>
      </w:r>
      <w:r w:rsidR="00A612D0" w:rsidRPr="00B84E53">
        <w:rPr>
          <w:rFonts w:cs="Times New Roman"/>
        </w:rPr>
        <w:t xml:space="preserve">. </w:t>
      </w:r>
      <w:r w:rsidRPr="00995A76">
        <w:rPr>
          <w:rFonts w:cs="Times New Roman"/>
        </w:rPr>
        <w:t>Furthermore, various studies evaluated the potential long-term psychological and functional effects of such injuries, particularly in the pediatric population</w:t>
      </w:r>
      <w:r w:rsidR="00A612D0" w:rsidRPr="00B84E53">
        <w:rPr>
          <w:rFonts w:cs="Times New Roman"/>
        </w:rPr>
        <w:t xml:space="preserve"> </w:t>
      </w:r>
      <w:r>
        <w:rPr>
          <w:rFonts w:cs="Times New Roman"/>
        </w:rPr>
        <w:t>(40,41)</w:t>
      </w:r>
      <w:r w:rsidR="00A612D0" w:rsidRPr="00B84E53">
        <w:rPr>
          <w:rFonts w:cs="Times New Roman"/>
        </w:rPr>
        <w:t>.</w:t>
      </w:r>
    </w:p>
    <w:p w14:paraId="4AB8E8BA" w14:textId="77777777" w:rsidR="007047E2" w:rsidRDefault="007047E2" w:rsidP="000C44F6">
      <w:pPr>
        <w:spacing w:after="0" w:line="480" w:lineRule="auto"/>
        <w:ind w:firstLine="630"/>
        <w:jc w:val="both"/>
        <w:rPr>
          <w:rFonts w:eastAsia="Times New Roman"/>
        </w:rPr>
      </w:pPr>
      <w:r w:rsidRPr="007047E2">
        <w:rPr>
          <w:rFonts w:cs="Times New Roman"/>
        </w:rPr>
        <w:t>In general, iatrogenic injury to the glans penis during circumcision can be prevented by taking the following measures: clearly inspect the structure of the glans penis to determine if it is unusually small; if the glans is small, employ an appropriate circumcision technique (the Guillotine technique is not recommended) and perform the procedure with caution; and ensure precise fixation of medical instruments to prevent friction against the skin or glans penis from causing abrasions or necrosis.</w:t>
      </w:r>
      <w:r>
        <w:t xml:space="preserve"> </w:t>
      </w:r>
      <w:r>
        <w:rPr>
          <w:rFonts w:eastAsia="Times New Roman"/>
        </w:rPr>
        <w:t>The medicolegal evidence identified in this review is summarized in Table 3.</w:t>
      </w:r>
    </w:p>
    <w:p w14:paraId="0CF66B1A" w14:textId="77777777" w:rsidR="004E5D67" w:rsidRDefault="004E5D67" w:rsidP="000C44F6">
      <w:pPr>
        <w:spacing w:after="0" w:line="480" w:lineRule="auto"/>
        <w:ind w:firstLine="630"/>
        <w:jc w:val="both"/>
        <w:rPr>
          <w:rFonts w:cs="Times New Roman"/>
        </w:rPr>
      </w:pPr>
    </w:p>
    <w:p w14:paraId="32C51498" w14:textId="77777777" w:rsidR="000310BA" w:rsidRPr="00A612D0" w:rsidRDefault="000310BA" w:rsidP="000C44F6">
      <w:pPr>
        <w:spacing w:after="0" w:line="192" w:lineRule="auto"/>
        <w:ind w:firstLine="630"/>
        <w:jc w:val="both"/>
      </w:pPr>
    </w:p>
    <w:p w14:paraId="4DB3C9B5" w14:textId="77777777" w:rsidR="00A612D0" w:rsidRPr="00586829" w:rsidRDefault="009E6DF1" w:rsidP="006A0FB9">
      <w:pPr>
        <w:keepNext/>
        <w:keepLines/>
        <w:spacing w:before="120" w:after="80" w:line="240" w:lineRule="auto"/>
        <w:jc w:val="center"/>
        <w:rPr>
          <w:rFonts w:cs="Times New Roman"/>
        </w:rPr>
      </w:pPr>
      <w:r w:rsidRPr="000310BA">
        <w:rPr>
          <w:rFonts w:eastAsia="Times New Roman" w:cs="Times New Roman"/>
          <w:b/>
          <w:bCs/>
          <w:sz w:val="20"/>
        </w:rPr>
        <w:lastRenderedPageBreak/>
        <w:t xml:space="preserve">Table </w:t>
      </w:r>
      <w:r w:rsidR="00586829" w:rsidRPr="000310BA">
        <w:rPr>
          <w:rFonts w:eastAsia="Times New Roman" w:cs="Times New Roman"/>
          <w:b/>
          <w:bCs/>
          <w:sz w:val="20"/>
        </w:rPr>
        <w:t>3</w:t>
      </w:r>
      <w:r w:rsidRPr="000310BA">
        <w:rPr>
          <w:rFonts w:eastAsia="Times New Roman" w:cs="Times New Roman"/>
          <w:b/>
          <w:bCs/>
          <w:sz w:val="20"/>
        </w:rPr>
        <w:t>.</w:t>
      </w:r>
      <w:r w:rsidRPr="00586829">
        <w:rPr>
          <w:rFonts w:eastAsia="Times New Roman" w:cs="Times New Roman"/>
          <w:sz w:val="20"/>
        </w:rPr>
        <w:t xml:space="preserve"> Medicolegal Evidence Related to Iatrogenic Glans Penis Injury During Circumcision</w:t>
      </w:r>
    </w:p>
    <w:tbl>
      <w:tblPr>
        <w:tblStyle w:val="TableGrid"/>
        <w:tblW w:w="868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989"/>
        <w:gridCol w:w="897"/>
        <w:gridCol w:w="1087"/>
        <w:gridCol w:w="1161"/>
        <w:gridCol w:w="1559"/>
        <w:gridCol w:w="1958"/>
      </w:tblGrid>
      <w:tr w:rsidR="003C1F22" w:rsidRPr="006A0FB9" w14:paraId="4C35D6A6" w14:textId="77777777" w:rsidTr="004E5D67">
        <w:trPr>
          <w:cantSplit/>
          <w:tblHeader/>
          <w:jc w:val="center"/>
        </w:trPr>
        <w:tc>
          <w:tcPr>
            <w:tcW w:w="1036" w:type="dxa"/>
            <w:tcBorders>
              <w:bottom w:val="single" w:sz="4" w:space="0" w:color="auto"/>
            </w:tcBorders>
            <w:tcMar>
              <w:top w:w="30" w:type="dxa"/>
              <w:left w:w="45" w:type="dxa"/>
              <w:bottom w:w="30" w:type="dxa"/>
              <w:right w:w="45" w:type="dxa"/>
            </w:tcMar>
            <w:vAlign w:val="center"/>
          </w:tcPr>
          <w:p w14:paraId="054E115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Author (Year)</w:t>
            </w:r>
          </w:p>
        </w:tc>
        <w:tc>
          <w:tcPr>
            <w:tcW w:w="989" w:type="dxa"/>
            <w:tcBorders>
              <w:bottom w:val="single" w:sz="4" w:space="0" w:color="auto"/>
            </w:tcBorders>
            <w:tcMar>
              <w:top w:w="30" w:type="dxa"/>
              <w:left w:w="45" w:type="dxa"/>
              <w:bottom w:w="30" w:type="dxa"/>
              <w:right w:w="45" w:type="dxa"/>
            </w:tcMar>
            <w:vAlign w:val="center"/>
          </w:tcPr>
          <w:p w14:paraId="1EFB7E90"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Country</w:t>
            </w:r>
          </w:p>
        </w:tc>
        <w:tc>
          <w:tcPr>
            <w:tcW w:w="897" w:type="dxa"/>
            <w:tcBorders>
              <w:bottom w:val="single" w:sz="4" w:space="0" w:color="auto"/>
            </w:tcBorders>
            <w:tcMar>
              <w:top w:w="30" w:type="dxa"/>
              <w:left w:w="45" w:type="dxa"/>
              <w:bottom w:w="30" w:type="dxa"/>
              <w:right w:w="45" w:type="dxa"/>
            </w:tcMar>
            <w:vAlign w:val="center"/>
          </w:tcPr>
          <w:p w14:paraId="313312E2"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Study Type</w:t>
            </w:r>
          </w:p>
        </w:tc>
        <w:tc>
          <w:tcPr>
            <w:tcW w:w="1087" w:type="dxa"/>
            <w:tcBorders>
              <w:bottom w:val="single" w:sz="4" w:space="0" w:color="auto"/>
            </w:tcBorders>
            <w:tcMar>
              <w:top w:w="30" w:type="dxa"/>
              <w:left w:w="45" w:type="dxa"/>
              <w:bottom w:w="30" w:type="dxa"/>
              <w:right w:w="45" w:type="dxa"/>
            </w:tcMar>
            <w:vAlign w:val="center"/>
          </w:tcPr>
          <w:p w14:paraId="0F684744"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Context</w:t>
            </w:r>
          </w:p>
        </w:tc>
        <w:tc>
          <w:tcPr>
            <w:tcW w:w="1161" w:type="dxa"/>
            <w:tcBorders>
              <w:bottom w:val="single" w:sz="4" w:space="0" w:color="auto"/>
            </w:tcBorders>
            <w:tcMar>
              <w:top w:w="30" w:type="dxa"/>
              <w:left w:w="45" w:type="dxa"/>
              <w:bottom w:w="30" w:type="dxa"/>
              <w:right w:w="45" w:type="dxa"/>
            </w:tcMar>
            <w:vAlign w:val="center"/>
          </w:tcPr>
          <w:p w14:paraId="2E82A30B"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Type of Medicolegal Issue</w:t>
            </w:r>
          </w:p>
        </w:tc>
        <w:tc>
          <w:tcPr>
            <w:tcW w:w="1559" w:type="dxa"/>
            <w:tcBorders>
              <w:bottom w:val="single" w:sz="4" w:space="0" w:color="auto"/>
            </w:tcBorders>
            <w:tcMar>
              <w:top w:w="30" w:type="dxa"/>
              <w:left w:w="45" w:type="dxa"/>
              <w:bottom w:w="30" w:type="dxa"/>
              <w:right w:w="45" w:type="dxa"/>
            </w:tcMar>
            <w:vAlign w:val="center"/>
          </w:tcPr>
          <w:p w14:paraId="64B59E55"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Key Findings</w:t>
            </w:r>
          </w:p>
        </w:tc>
        <w:tc>
          <w:tcPr>
            <w:tcW w:w="1958" w:type="dxa"/>
            <w:tcBorders>
              <w:bottom w:val="single" w:sz="4" w:space="0" w:color="auto"/>
            </w:tcBorders>
            <w:tcMar>
              <w:top w:w="30" w:type="dxa"/>
              <w:left w:w="45" w:type="dxa"/>
              <w:bottom w:w="30" w:type="dxa"/>
              <w:right w:w="45" w:type="dxa"/>
            </w:tcMar>
            <w:vAlign w:val="center"/>
          </w:tcPr>
          <w:p w14:paraId="26880BB5" w14:textId="77777777" w:rsidR="00327B31" w:rsidRPr="006A0FB9" w:rsidRDefault="00327B31" w:rsidP="006A0FB9">
            <w:pPr>
              <w:keepLines/>
              <w:jc w:val="center"/>
              <w:rPr>
                <w:rFonts w:cs="Times New Roman"/>
                <w:sz w:val="20"/>
                <w:szCs w:val="20"/>
              </w:rPr>
            </w:pPr>
            <w:r w:rsidRPr="006A0FB9">
              <w:rPr>
                <w:rFonts w:eastAsia="Times New Roman" w:cs="Times New Roman"/>
                <w:b/>
                <w:bCs/>
                <w:sz w:val="20"/>
                <w:szCs w:val="20"/>
              </w:rPr>
              <w:t>Implications</w:t>
            </w:r>
          </w:p>
        </w:tc>
      </w:tr>
      <w:tr w:rsidR="003C1F22" w:rsidRPr="006A0FB9" w14:paraId="0C7831E2" w14:textId="77777777" w:rsidTr="004E5D67">
        <w:trPr>
          <w:cantSplit/>
          <w:jc w:val="center"/>
        </w:trPr>
        <w:tc>
          <w:tcPr>
            <w:tcW w:w="1036" w:type="dxa"/>
            <w:tcBorders>
              <w:top w:val="single" w:sz="4" w:space="0" w:color="auto"/>
            </w:tcBorders>
            <w:tcMar>
              <w:top w:w="30" w:type="dxa"/>
              <w:left w:w="45" w:type="dxa"/>
              <w:bottom w:w="30" w:type="dxa"/>
              <w:right w:w="45" w:type="dxa"/>
            </w:tcMar>
          </w:tcPr>
          <w:p w14:paraId="48788B7A" w14:textId="77777777" w:rsidR="00327B31" w:rsidRPr="006A0FB9" w:rsidRDefault="00327B31" w:rsidP="00327B31">
            <w:pPr>
              <w:keepLines/>
              <w:rPr>
                <w:rFonts w:cs="Times New Roman"/>
                <w:sz w:val="20"/>
                <w:szCs w:val="20"/>
              </w:rPr>
            </w:pPr>
            <w:r w:rsidRPr="006A0FB9">
              <w:rPr>
                <w:rFonts w:eastAsia="Times New Roman" w:cs="Times New Roman"/>
                <w:sz w:val="20"/>
                <w:szCs w:val="20"/>
              </w:rPr>
              <w:t>Tasci (2020)</w:t>
            </w:r>
          </w:p>
        </w:tc>
        <w:tc>
          <w:tcPr>
            <w:tcW w:w="989" w:type="dxa"/>
            <w:tcBorders>
              <w:top w:val="single" w:sz="4" w:space="0" w:color="auto"/>
            </w:tcBorders>
            <w:tcMar>
              <w:top w:w="30" w:type="dxa"/>
              <w:left w:w="45" w:type="dxa"/>
              <w:bottom w:w="30" w:type="dxa"/>
              <w:right w:w="45" w:type="dxa"/>
            </w:tcMar>
          </w:tcPr>
          <w:p w14:paraId="538B93BF" w14:textId="77777777" w:rsidR="00327B31" w:rsidRPr="006A0FB9" w:rsidRDefault="00327B31" w:rsidP="00327B31">
            <w:pPr>
              <w:keepLines/>
              <w:rPr>
                <w:rFonts w:cs="Times New Roman"/>
                <w:sz w:val="20"/>
                <w:szCs w:val="20"/>
              </w:rPr>
            </w:pPr>
            <w:r w:rsidRPr="006A0FB9">
              <w:rPr>
                <w:rFonts w:eastAsia="Times New Roman" w:cs="Times New Roman"/>
                <w:sz w:val="20"/>
                <w:szCs w:val="20"/>
              </w:rPr>
              <w:t>Turkey</w:t>
            </w:r>
          </w:p>
        </w:tc>
        <w:tc>
          <w:tcPr>
            <w:tcW w:w="897" w:type="dxa"/>
            <w:tcBorders>
              <w:top w:val="single" w:sz="4" w:space="0" w:color="auto"/>
            </w:tcBorders>
            <w:tcMar>
              <w:top w:w="30" w:type="dxa"/>
              <w:left w:w="45" w:type="dxa"/>
              <w:bottom w:w="30" w:type="dxa"/>
              <w:right w:w="45" w:type="dxa"/>
            </w:tcMar>
          </w:tcPr>
          <w:p w14:paraId="2CAFEAB8" w14:textId="77777777" w:rsidR="00327B31" w:rsidRPr="006A0FB9" w:rsidRDefault="00327B31" w:rsidP="00327B31">
            <w:pPr>
              <w:keepLines/>
              <w:rPr>
                <w:rFonts w:cs="Times New Roman"/>
                <w:sz w:val="20"/>
                <w:szCs w:val="20"/>
              </w:rPr>
            </w:pPr>
            <w:r w:rsidRPr="006A0FB9">
              <w:rPr>
                <w:rFonts w:eastAsia="Times New Roman" w:cs="Times New Roman"/>
                <w:sz w:val="20"/>
                <w:szCs w:val="20"/>
              </w:rPr>
              <w:t>Retrospective forensic review</w:t>
            </w:r>
          </w:p>
        </w:tc>
        <w:tc>
          <w:tcPr>
            <w:tcW w:w="1087" w:type="dxa"/>
            <w:tcBorders>
              <w:top w:val="single" w:sz="4" w:space="0" w:color="auto"/>
            </w:tcBorders>
            <w:tcMar>
              <w:top w:w="30" w:type="dxa"/>
              <w:left w:w="45" w:type="dxa"/>
              <w:bottom w:w="30" w:type="dxa"/>
              <w:right w:w="45" w:type="dxa"/>
            </w:tcMar>
          </w:tcPr>
          <w:p w14:paraId="73CC50A2" w14:textId="77777777" w:rsidR="00327B31" w:rsidRPr="006A0FB9" w:rsidRDefault="00327B31" w:rsidP="00327B31">
            <w:pPr>
              <w:keepLines/>
              <w:rPr>
                <w:rFonts w:cs="Times New Roman"/>
                <w:sz w:val="20"/>
                <w:szCs w:val="20"/>
              </w:rPr>
            </w:pPr>
            <w:r w:rsidRPr="006A0FB9">
              <w:rPr>
                <w:rFonts w:eastAsia="Times New Roman" w:cs="Times New Roman"/>
                <w:sz w:val="20"/>
                <w:szCs w:val="20"/>
              </w:rPr>
              <w:t>24 cases penile necrosis</w:t>
            </w:r>
          </w:p>
        </w:tc>
        <w:tc>
          <w:tcPr>
            <w:tcW w:w="1161" w:type="dxa"/>
            <w:tcBorders>
              <w:top w:val="single" w:sz="4" w:space="0" w:color="auto"/>
            </w:tcBorders>
            <w:tcMar>
              <w:top w:w="30" w:type="dxa"/>
              <w:left w:w="45" w:type="dxa"/>
              <w:bottom w:w="30" w:type="dxa"/>
              <w:right w:w="45" w:type="dxa"/>
            </w:tcMar>
          </w:tcPr>
          <w:p w14:paraId="003E551C"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evaluation</w:t>
            </w:r>
          </w:p>
        </w:tc>
        <w:tc>
          <w:tcPr>
            <w:tcW w:w="1559" w:type="dxa"/>
            <w:tcBorders>
              <w:top w:val="single" w:sz="4" w:space="0" w:color="auto"/>
            </w:tcBorders>
            <w:tcMar>
              <w:top w:w="30" w:type="dxa"/>
              <w:left w:w="45" w:type="dxa"/>
              <w:bottom w:w="30" w:type="dxa"/>
              <w:right w:w="45" w:type="dxa"/>
            </w:tcMar>
          </w:tcPr>
          <w:p w14:paraId="7253C931"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Majority of cases investigated for malpractice; causes included cautery, infection, anesthesia</w:t>
            </w:r>
          </w:p>
        </w:tc>
        <w:tc>
          <w:tcPr>
            <w:tcW w:w="1958" w:type="dxa"/>
            <w:tcBorders>
              <w:top w:val="single" w:sz="4" w:space="0" w:color="auto"/>
            </w:tcBorders>
            <w:tcMar>
              <w:top w:w="30" w:type="dxa"/>
              <w:left w:w="45" w:type="dxa"/>
              <w:bottom w:w="30" w:type="dxa"/>
              <w:right w:w="45" w:type="dxa"/>
            </w:tcMar>
          </w:tcPr>
          <w:p w14:paraId="135A5B95"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 complications can trigger formal legal investigation</w:t>
            </w:r>
          </w:p>
        </w:tc>
      </w:tr>
      <w:tr w:rsidR="003C1F22" w:rsidRPr="006A0FB9" w14:paraId="2FF0ECCB" w14:textId="77777777" w:rsidTr="004E5D67">
        <w:trPr>
          <w:cantSplit/>
          <w:jc w:val="center"/>
        </w:trPr>
        <w:tc>
          <w:tcPr>
            <w:tcW w:w="1036" w:type="dxa"/>
            <w:tcMar>
              <w:top w:w="30" w:type="dxa"/>
              <w:left w:w="45" w:type="dxa"/>
              <w:bottom w:w="30" w:type="dxa"/>
              <w:right w:w="45" w:type="dxa"/>
            </w:tcMar>
          </w:tcPr>
          <w:p w14:paraId="7A1E5AE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 (2022)</w:t>
            </w:r>
          </w:p>
        </w:tc>
        <w:tc>
          <w:tcPr>
            <w:tcW w:w="989" w:type="dxa"/>
            <w:tcMar>
              <w:top w:w="30" w:type="dxa"/>
              <w:left w:w="45" w:type="dxa"/>
              <w:bottom w:w="30" w:type="dxa"/>
              <w:right w:w="45" w:type="dxa"/>
            </w:tcMar>
          </w:tcPr>
          <w:p w14:paraId="79924BC5" w14:textId="77777777" w:rsidR="00327B31" w:rsidRPr="006A0FB9" w:rsidRDefault="00327B31" w:rsidP="00327B31">
            <w:pPr>
              <w:keepLines/>
              <w:rPr>
                <w:rFonts w:cs="Times New Roman"/>
                <w:sz w:val="20"/>
                <w:szCs w:val="20"/>
              </w:rPr>
            </w:pPr>
            <w:r w:rsidRPr="006A0FB9">
              <w:rPr>
                <w:rFonts w:eastAsia="Times New Roman" w:cs="Times New Roman"/>
                <w:sz w:val="20"/>
                <w:szCs w:val="20"/>
              </w:rPr>
              <w:t>USA</w:t>
            </w:r>
          </w:p>
        </w:tc>
        <w:tc>
          <w:tcPr>
            <w:tcW w:w="897" w:type="dxa"/>
            <w:tcMar>
              <w:top w:w="30" w:type="dxa"/>
              <w:left w:w="45" w:type="dxa"/>
              <w:bottom w:w="30" w:type="dxa"/>
              <w:right w:w="45" w:type="dxa"/>
            </w:tcMar>
          </w:tcPr>
          <w:p w14:paraId="7C71CE8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database analysis</w:t>
            </w:r>
          </w:p>
        </w:tc>
        <w:tc>
          <w:tcPr>
            <w:tcW w:w="1087" w:type="dxa"/>
            <w:tcMar>
              <w:top w:w="30" w:type="dxa"/>
              <w:left w:w="45" w:type="dxa"/>
              <w:bottom w:w="30" w:type="dxa"/>
              <w:right w:w="45" w:type="dxa"/>
            </w:tcMar>
          </w:tcPr>
          <w:p w14:paraId="350C3A80"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Litigation cases</w:t>
            </w:r>
          </w:p>
        </w:tc>
        <w:tc>
          <w:tcPr>
            <w:tcW w:w="1161" w:type="dxa"/>
            <w:tcMar>
              <w:top w:w="30" w:type="dxa"/>
              <w:left w:w="45" w:type="dxa"/>
              <w:bottom w:w="30" w:type="dxa"/>
              <w:right w:w="45" w:type="dxa"/>
            </w:tcMar>
          </w:tcPr>
          <w:p w14:paraId="312D2248"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 negligence</w:t>
            </w:r>
          </w:p>
        </w:tc>
        <w:tc>
          <w:tcPr>
            <w:tcW w:w="1559" w:type="dxa"/>
            <w:tcMar>
              <w:top w:w="30" w:type="dxa"/>
              <w:left w:w="45" w:type="dxa"/>
              <w:bottom w:w="30" w:type="dxa"/>
              <w:right w:w="45" w:type="dxa"/>
            </w:tcMar>
          </w:tcPr>
          <w:p w14:paraId="2B88FF92" w14:textId="77777777" w:rsidR="00327B31" w:rsidRPr="006A0FB9" w:rsidRDefault="00327B31" w:rsidP="00327B31">
            <w:pPr>
              <w:keepLines/>
              <w:rPr>
                <w:rFonts w:cs="Times New Roman"/>
                <w:sz w:val="20"/>
                <w:szCs w:val="20"/>
              </w:rPr>
            </w:pPr>
            <w:r w:rsidRPr="006A0FB9">
              <w:rPr>
                <w:rFonts w:eastAsia="Times New Roman" w:cs="Times New Roman"/>
                <w:sz w:val="20"/>
                <w:szCs w:val="20"/>
              </w:rPr>
              <w:t>Circumcision-related injuries frequently associated with claims of improper technique and lack of consent</w:t>
            </w:r>
          </w:p>
        </w:tc>
        <w:tc>
          <w:tcPr>
            <w:tcW w:w="1958" w:type="dxa"/>
            <w:tcMar>
              <w:top w:w="30" w:type="dxa"/>
              <w:left w:w="45" w:type="dxa"/>
              <w:bottom w:w="30" w:type="dxa"/>
              <w:right w:w="45" w:type="dxa"/>
            </w:tcMar>
          </w:tcPr>
          <w:p w14:paraId="41C14E98"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risk persists even in developed healthcare systems</w:t>
            </w:r>
          </w:p>
        </w:tc>
      </w:tr>
      <w:tr w:rsidR="003C1F22" w:rsidRPr="006A0FB9" w14:paraId="73B87DB5" w14:textId="77777777" w:rsidTr="004E5D67">
        <w:trPr>
          <w:cantSplit/>
          <w:jc w:val="center"/>
        </w:trPr>
        <w:tc>
          <w:tcPr>
            <w:tcW w:w="1036" w:type="dxa"/>
            <w:tcMar>
              <w:top w:w="30" w:type="dxa"/>
              <w:left w:w="45" w:type="dxa"/>
              <w:bottom w:w="30" w:type="dxa"/>
              <w:right w:w="45" w:type="dxa"/>
            </w:tcMar>
          </w:tcPr>
          <w:p w14:paraId="48B8FDD7"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Nurhayani (2021)</w:t>
            </w:r>
          </w:p>
        </w:tc>
        <w:tc>
          <w:tcPr>
            <w:tcW w:w="989" w:type="dxa"/>
            <w:tcMar>
              <w:top w:w="30" w:type="dxa"/>
              <w:left w:w="45" w:type="dxa"/>
              <w:bottom w:w="30" w:type="dxa"/>
              <w:right w:w="45" w:type="dxa"/>
            </w:tcMar>
          </w:tcPr>
          <w:p w14:paraId="7BEEEFA1"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186BDB1E"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1087" w:type="dxa"/>
            <w:tcMar>
              <w:top w:w="30" w:type="dxa"/>
              <w:left w:w="45" w:type="dxa"/>
              <w:bottom w:w="30" w:type="dxa"/>
              <w:right w:w="45" w:type="dxa"/>
            </w:tcMar>
          </w:tcPr>
          <w:p w14:paraId="7CC1C977"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practice</w:t>
            </w:r>
          </w:p>
        </w:tc>
        <w:tc>
          <w:tcPr>
            <w:tcW w:w="1161" w:type="dxa"/>
            <w:tcMar>
              <w:top w:w="30" w:type="dxa"/>
              <w:left w:w="45" w:type="dxa"/>
              <w:bottom w:w="30" w:type="dxa"/>
              <w:right w:w="45" w:type="dxa"/>
            </w:tcMar>
          </w:tcPr>
          <w:p w14:paraId="315AC395"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Professional negligence</w:t>
            </w:r>
          </w:p>
        </w:tc>
        <w:tc>
          <w:tcPr>
            <w:tcW w:w="1559" w:type="dxa"/>
            <w:tcMar>
              <w:top w:w="30" w:type="dxa"/>
              <w:left w:w="45" w:type="dxa"/>
              <w:bottom w:w="30" w:type="dxa"/>
              <w:right w:w="45" w:type="dxa"/>
            </w:tcMar>
          </w:tcPr>
          <w:p w14:paraId="020DED98"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competency requirements for healthcare providers performing procedures</w:t>
            </w:r>
          </w:p>
        </w:tc>
        <w:tc>
          <w:tcPr>
            <w:tcW w:w="1958" w:type="dxa"/>
            <w:tcMar>
              <w:top w:w="30" w:type="dxa"/>
              <w:left w:w="45" w:type="dxa"/>
              <w:bottom w:w="30" w:type="dxa"/>
              <w:right w:w="45" w:type="dxa"/>
            </w:tcMar>
          </w:tcPr>
          <w:p w14:paraId="6B60981D"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Lack of competence increases legal liability</w:t>
            </w:r>
          </w:p>
        </w:tc>
      </w:tr>
      <w:tr w:rsidR="003C1F22" w:rsidRPr="006A0FB9" w14:paraId="76A76255" w14:textId="77777777" w:rsidTr="004E5D67">
        <w:trPr>
          <w:cantSplit/>
          <w:jc w:val="center"/>
        </w:trPr>
        <w:tc>
          <w:tcPr>
            <w:tcW w:w="1036" w:type="dxa"/>
            <w:tcMar>
              <w:top w:w="30" w:type="dxa"/>
              <w:left w:w="45" w:type="dxa"/>
              <w:bottom w:w="30" w:type="dxa"/>
              <w:right w:w="45" w:type="dxa"/>
            </w:tcMar>
          </w:tcPr>
          <w:p w14:paraId="07BB6C30" w14:textId="77777777" w:rsidR="00327B31" w:rsidRPr="006A0FB9" w:rsidRDefault="00327B31" w:rsidP="00327B31">
            <w:pPr>
              <w:keepLines/>
              <w:rPr>
                <w:rFonts w:cs="Times New Roman"/>
                <w:sz w:val="20"/>
                <w:szCs w:val="20"/>
              </w:rPr>
            </w:pPr>
            <w:r w:rsidRPr="006A0FB9">
              <w:rPr>
                <w:rFonts w:eastAsia="Times New Roman" w:cs="Times New Roman"/>
                <w:sz w:val="20"/>
                <w:szCs w:val="20"/>
              </w:rPr>
              <w:t>Hakim (2025)</w:t>
            </w:r>
          </w:p>
        </w:tc>
        <w:tc>
          <w:tcPr>
            <w:tcW w:w="989" w:type="dxa"/>
            <w:tcMar>
              <w:top w:w="30" w:type="dxa"/>
              <w:left w:w="45" w:type="dxa"/>
              <w:bottom w:w="30" w:type="dxa"/>
              <w:right w:w="45" w:type="dxa"/>
            </w:tcMar>
          </w:tcPr>
          <w:p w14:paraId="3C32226A"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6A5F0017"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analysis</w:t>
            </w:r>
          </w:p>
        </w:tc>
        <w:tc>
          <w:tcPr>
            <w:tcW w:w="1087" w:type="dxa"/>
            <w:tcMar>
              <w:top w:w="30" w:type="dxa"/>
              <w:left w:w="45" w:type="dxa"/>
              <w:bottom w:w="30" w:type="dxa"/>
              <w:right w:w="45" w:type="dxa"/>
            </w:tcMar>
          </w:tcPr>
          <w:p w14:paraId="59936C6A"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actions by nurses</w:t>
            </w:r>
          </w:p>
        </w:tc>
        <w:tc>
          <w:tcPr>
            <w:tcW w:w="1161" w:type="dxa"/>
            <w:tcMar>
              <w:top w:w="30" w:type="dxa"/>
              <w:left w:w="45" w:type="dxa"/>
              <w:bottom w:w="30" w:type="dxa"/>
              <w:right w:w="45" w:type="dxa"/>
            </w:tcMar>
          </w:tcPr>
          <w:p w14:paraId="07B2F43B" w14:textId="77777777" w:rsidR="00327B31" w:rsidRPr="006A0FB9" w:rsidRDefault="00327B31" w:rsidP="00327B31">
            <w:pPr>
              <w:keepLines/>
              <w:rPr>
                <w:rFonts w:cs="Times New Roman"/>
                <w:sz w:val="20"/>
                <w:szCs w:val="20"/>
              </w:rPr>
            </w:pPr>
            <w:r w:rsidRPr="006A0FB9">
              <w:rPr>
                <w:rFonts w:eastAsia="Times New Roman" w:cs="Times New Roman"/>
                <w:sz w:val="20"/>
                <w:szCs w:val="20"/>
              </w:rPr>
              <w:t>Scope of practice</w:t>
            </w:r>
          </w:p>
        </w:tc>
        <w:tc>
          <w:tcPr>
            <w:tcW w:w="1559" w:type="dxa"/>
            <w:tcMar>
              <w:top w:w="30" w:type="dxa"/>
              <w:left w:w="45" w:type="dxa"/>
              <w:bottom w:w="30" w:type="dxa"/>
              <w:right w:w="45" w:type="dxa"/>
            </w:tcMar>
          </w:tcPr>
          <w:p w14:paraId="7750271D" w14:textId="77777777" w:rsidR="00327B31" w:rsidRPr="006A0FB9" w:rsidRDefault="00327B31" w:rsidP="00327B31">
            <w:pPr>
              <w:keepLines/>
              <w:rPr>
                <w:rFonts w:cs="Times New Roman"/>
                <w:sz w:val="20"/>
                <w:szCs w:val="20"/>
              </w:rPr>
            </w:pPr>
            <w:r w:rsidRPr="006A0FB9">
              <w:rPr>
                <w:rFonts w:eastAsia="Times New Roman" w:cs="Times New Roman"/>
                <w:sz w:val="20"/>
                <w:szCs w:val="20"/>
              </w:rPr>
              <w:t>Highlights legal limitations of non-physician procedures</w:t>
            </w:r>
          </w:p>
        </w:tc>
        <w:tc>
          <w:tcPr>
            <w:tcW w:w="1958" w:type="dxa"/>
            <w:tcMar>
              <w:top w:w="30" w:type="dxa"/>
              <w:left w:w="45" w:type="dxa"/>
              <w:bottom w:w="30" w:type="dxa"/>
              <w:right w:w="45" w:type="dxa"/>
            </w:tcMar>
          </w:tcPr>
          <w:p w14:paraId="58F97FC4" w14:textId="77777777" w:rsidR="00327B31" w:rsidRPr="006A0FB9" w:rsidRDefault="00327B31" w:rsidP="00327B31">
            <w:pPr>
              <w:keepLines/>
              <w:rPr>
                <w:rFonts w:cs="Times New Roman"/>
                <w:sz w:val="20"/>
                <w:szCs w:val="20"/>
              </w:rPr>
            </w:pPr>
            <w:r w:rsidRPr="006A0FB9">
              <w:rPr>
                <w:rFonts w:eastAsia="Times New Roman" w:cs="Times New Roman"/>
                <w:sz w:val="20"/>
                <w:szCs w:val="20"/>
              </w:rPr>
              <w:t>Unauthorized procedures may constitute malpractice</w:t>
            </w:r>
          </w:p>
        </w:tc>
      </w:tr>
      <w:tr w:rsidR="003C1F22" w:rsidRPr="006A0FB9" w14:paraId="0C6CD6AC" w14:textId="77777777" w:rsidTr="004E5D67">
        <w:trPr>
          <w:cantSplit/>
          <w:jc w:val="center"/>
        </w:trPr>
        <w:tc>
          <w:tcPr>
            <w:tcW w:w="1036" w:type="dxa"/>
            <w:tcMar>
              <w:top w:w="30" w:type="dxa"/>
              <w:left w:w="45" w:type="dxa"/>
              <w:bottom w:w="30" w:type="dxa"/>
              <w:right w:w="45" w:type="dxa"/>
            </w:tcMar>
          </w:tcPr>
          <w:p w14:paraId="0E7458CF" w14:textId="77777777" w:rsidR="00327B31" w:rsidRPr="006A0FB9" w:rsidRDefault="00327B31" w:rsidP="00327B31">
            <w:pPr>
              <w:keepLines/>
              <w:rPr>
                <w:rFonts w:cs="Times New Roman"/>
                <w:sz w:val="20"/>
                <w:szCs w:val="20"/>
              </w:rPr>
            </w:pPr>
            <w:r w:rsidRPr="006A0FB9">
              <w:rPr>
                <w:rFonts w:eastAsia="Times New Roman" w:cs="Times New Roman"/>
                <w:sz w:val="20"/>
                <w:szCs w:val="20"/>
              </w:rPr>
              <w:t>Latifah (2024)</w:t>
            </w:r>
          </w:p>
        </w:tc>
        <w:tc>
          <w:tcPr>
            <w:tcW w:w="989" w:type="dxa"/>
            <w:tcMar>
              <w:top w:w="30" w:type="dxa"/>
              <w:left w:w="45" w:type="dxa"/>
              <w:bottom w:w="30" w:type="dxa"/>
              <w:right w:w="45" w:type="dxa"/>
            </w:tcMar>
          </w:tcPr>
          <w:p w14:paraId="207FAF7A"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5D7BB096"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1087" w:type="dxa"/>
            <w:tcMar>
              <w:top w:w="30" w:type="dxa"/>
              <w:left w:w="45" w:type="dxa"/>
              <w:bottom w:w="30" w:type="dxa"/>
              <w:right w:w="45" w:type="dxa"/>
            </w:tcMar>
          </w:tcPr>
          <w:p w14:paraId="6D325F74" w14:textId="77777777" w:rsidR="00327B31" w:rsidRPr="006A0FB9" w:rsidRDefault="00327B31" w:rsidP="00327B31">
            <w:pPr>
              <w:keepLines/>
              <w:rPr>
                <w:rFonts w:cs="Times New Roman"/>
                <w:sz w:val="20"/>
                <w:szCs w:val="20"/>
              </w:rPr>
            </w:pPr>
            <w:r w:rsidRPr="006A0FB9">
              <w:rPr>
                <w:rFonts w:eastAsia="Times New Roman" w:cs="Times New Roman"/>
                <w:sz w:val="20"/>
                <w:szCs w:val="20"/>
              </w:rPr>
              <w:t>Healthcare regulation</w:t>
            </w:r>
          </w:p>
        </w:tc>
        <w:tc>
          <w:tcPr>
            <w:tcW w:w="1161" w:type="dxa"/>
            <w:tcMar>
              <w:top w:w="30" w:type="dxa"/>
              <w:left w:w="45" w:type="dxa"/>
              <w:bottom w:w="30" w:type="dxa"/>
              <w:right w:w="45" w:type="dxa"/>
            </w:tcMar>
          </w:tcPr>
          <w:p w14:paraId="4084D3BC" w14:textId="77777777" w:rsidR="00327B31" w:rsidRPr="006A0FB9" w:rsidRDefault="00327B31" w:rsidP="00327B31">
            <w:pPr>
              <w:keepLines/>
              <w:rPr>
                <w:rFonts w:cs="Times New Roman"/>
                <w:sz w:val="20"/>
                <w:szCs w:val="20"/>
              </w:rPr>
            </w:pPr>
            <w:r w:rsidRPr="006A0FB9">
              <w:rPr>
                <w:rFonts w:eastAsia="Times New Roman" w:cs="Times New Roman"/>
                <w:sz w:val="20"/>
                <w:szCs w:val="20"/>
              </w:rPr>
              <w:t>Liability</w:t>
            </w:r>
          </w:p>
        </w:tc>
        <w:tc>
          <w:tcPr>
            <w:tcW w:w="1559" w:type="dxa"/>
            <w:tcMar>
              <w:top w:w="30" w:type="dxa"/>
              <w:left w:w="45" w:type="dxa"/>
              <w:bottom w:w="30" w:type="dxa"/>
              <w:right w:w="45" w:type="dxa"/>
            </w:tcMar>
          </w:tcPr>
          <w:p w14:paraId="42BBB108" w14:textId="77777777" w:rsidR="00327B31" w:rsidRPr="006A0FB9" w:rsidRDefault="00327B31" w:rsidP="00327B31">
            <w:pPr>
              <w:keepLines/>
              <w:rPr>
                <w:rFonts w:cs="Times New Roman"/>
                <w:sz w:val="20"/>
                <w:szCs w:val="20"/>
              </w:rPr>
            </w:pPr>
            <w:r w:rsidRPr="006A0FB9">
              <w:rPr>
                <w:rFonts w:eastAsia="Times New Roman" w:cs="Times New Roman"/>
                <w:sz w:val="20"/>
                <w:szCs w:val="20"/>
              </w:rPr>
              <w:t>Identifies responsibility of providers in procedural complications</w:t>
            </w:r>
          </w:p>
        </w:tc>
        <w:tc>
          <w:tcPr>
            <w:tcW w:w="1958" w:type="dxa"/>
            <w:tcMar>
              <w:top w:w="30" w:type="dxa"/>
              <w:left w:w="45" w:type="dxa"/>
              <w:bottom w:w="30" w:type="dxa"/>
              <w:right w:w="45" w:type="dxa"/>
            </w:tcMar>
          </w:tcPr>
          <w:p w14:paraId="358362AA" w14:textId="77777777" w:rsidR="00327B31" w:rsidRPr="006A0FB9" w:rsidRDefault="00327B31" w:rsidP="00327B31">
            <w:pPr>
              <w:keepLines/>
              <w:rPr>
                <w:rFonts w:cs="Times New Roman"/>
                <w:sz w:val="20"/>
                <w:szCs w:val="20"/>
              </w:rPr>
            </w:pPr>
            <w:r w:rsidRPr="006A0FB9">
              <w:rPr>
                <w:rFonts w:eastAsia="Times New Roman" w:cs="Times New Roman"/>
                <w:sz w:val="20"/>
                <w:szCs w:val="20"/>
              </w:rPr>
              <w:t>Clear delineation of roles needed to prevent legal disputes</w:t>
            </w:r>
          </w:p>
        </w:tc>
      </w:tr>
      <w:tr w:rsidR="003C1F22" w:rsidRPr="006A0FB9" w14:paraId="366D4A40" w14:textId="77777777" w:rsidTr="004E5D67">
        <w:trPr>
          <w:cantSplit/>
          <w:jc w:val="center"/>
        </w:trPr>
        <w:tc>
          <w:tcPr>
            <w:tcW w:w="1036" w:type="dxa"/>
            <w:tcMar>
              <w:top w:w="30" w:type="dxa"/>
              <w:left w:w="45" w:type="dxa"/>
              <w:bottom w:w="30" w:type="dxa"/>
              <w:right w:w="45" w:type="dxa"/>
            </w:tcMar>
          </w:tcPr>
          <w:p w14:paraId="46743FD4" w14:textId="77777777" w:rsidR="00327B31" w:rsidRPr="006A0FB9" w:rsidRDefault="00327B31" w:rsidP="00327B31">
            <w:pPr>
              <w:keepLines/>
              <w:rPr>
                <w:rFonts w:cs="Times New Roman"/>
                <w:sz w:val="20"/>
                <w:szCs w:val="20"/>
              </w:rPr>
            </w:pPr>
            <w:r w:rsidRPr="006A0FB9">
              <w:rPr>
                <w:rFonts w:eastAsia="Times New Roman" w:cs="Times New Roman"/>
                <w:sz w:val="20"/>
                <w:szCs w:val="20"/>
              </w:rPr>
              <w:t>Pane (2023)</w:t>
            </w:r>
          </w:p>
        </w:tc>
        <w:tc>
          <w:tcPr>
            <w:tcW w:w="989" w:type="dxa"/>
            <w:tcMar>
              <w:top w:w="30" w:type="dxa"/>
              <w:left w:w="45" w:type="dxa"/>
              <w:bottom w:w="30" w:type="dxa"/>
              <w:right w:w="45" w:type="dxa"/>
            </w:tcMar>
          </w:tcPr>
          <w:p w14:paraId="74C17C75"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3DD0898B"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1087" w:type="dxa"/>
            <w:tcMar>
              <w:top w:w="30" w:type="dxa"/>
              <w:left w:w="45" w:type="dxa"/>
              <w:bottom w:w="30" w:type="dxa"/>
              <w:right w:w="45" w:type="dxa"/>
            </w:tcMar>
          </w:tcPr>
          <w:p w14:paraId="043968D9" w14:textId="77777777" w:rsidR="00327B31" w:rsidRPr="006A0FB9" w:rsidRDefault="00327B31" w:rsidP="00327B31">
            <w:pPr>
              <w:keepLines/>
              <w:rPr>
                <w:rFonts w:cs="Times New Roman"/>
                <w:sz w:val="20"/>
                <w:szCs w:val="20"/>
              </w:rPr>
            </w:pPr>
            <w:r w:rsidRPr="006A0FB9">
              <w:rPr>
                <w:rFonts w:eastAsia="Times New Roman" w:cs="Times New Roman"/>
                <w:sz w:val="20"/>
                <w:szCs w:val="20"/>
              </w:rPr>
              <w:t>Malpractice law</w:t>
            </w:r>
          </w:p>
        </w:tc>
        <w:tc>
          <w:tcPr>
            <w:tcW w:w="1161" w:type="dxa"/>
            <w:tcMar>
              <w:top w:w="30" w:type="dxa"/>
              <w:left w:w="45" w:type="dxa"/>
              <w:bottom w:w="30" w:type="dxa"/>
              <w:right w:w="45" w:type="dxa"/>
            </w:tcMar>
          </w:tcPr>
          <w:p w14:paraId="29780E05" w14:textId="77777777" w:rsidR="00327B31" w:rsidRPr="006A0FB9" w:rsidRDefault="00327B31" w:rsidP="00327B31">
            <w:pPr>
              <w:keepLines/>
              <w:rPr>
                <w:rFonts w:cs="Times New Roman"/>
                <w:sz w:val="20"/>
                <w:szCs w:val="20"/>
              </w:rPr>
            </w:pPr>
            <w:r w:rsidRPr="006A0FB9">
              <w:rPr>
                <w:rFonts w:eastAsia="Times New Roman" w:cs="Times New Roman"/>
                <w:sz w:val="20"/>
                <w:szCs w:val="20"/>
              </w:rPr>
              <w:t>Negligence</w:t>
            </w:r>
          </w:p>
        </w:tc>
        <w:tc>
          <w:tcPr>
            <w:tcW w:w="1559" w:type="dxa"/>
            <w:tcMar>
              <w:top w:w="30" w:type="dxa"/>
              <w:left w:w="45" w:type="dxa"/>
              <w:bottom w:w="30" w:type="dxa"/>
              <w:right w:w="45" w:type="dxa"/>
            </w:tcMar>
          </w:tcPr>
          <w:p w14:paraId="7DBEB0B3" w14:textId="77777777" w:rsidR="00327B31" w:rsidRPr="006A0FB9" w:rsidRDefault="00327B31" w:rsidP="00327B31">
            <w:pPr>
              <w:keepLines/>
              <w:rPr>
                <w:rFonts w:cs="Times New Roman"/>
                <w:sz w:val="20"/>
                <w:szCs w:val="20"/>
              </w:rPr>
            </w:pPr>
            <w:r w:rsidRPr="006A0FB9">
              <w:rPr>
                <w:rFonts w:eastAsia="Times New Roman" w:cs="Times New Roman"/>
                <w:sz w:val="20"/>
                <w:szCs w:val="20"/>
              </w:rPr>
              <w:t>Defines malpractice in procedural errors including surgical injury</w:t>
            </w:r>
          </w:p>
        </w:tc>
        <w:tc>
          <w:tcPr>
            <w:tcW w:w="1958" w:type="dxa"/>
            <w:tcMar>
              <w:top w:w="30" w:type="dxa"/>
              <w:left w:w="45" w:type="dxa"/>
              <w:bottom w:w="30" w:type="dxa"/>
              <w:right w:w="45" w:type="dxa"/>
            </w:tcMar>
          </w:tcPr>
          <w:p w14:paraId="178DCFE5" w14:textId="77777777" w:rsidR="00327B31" w:rsidRPr="006A0FB9" w:rsidRDefault="00327B31" w:rsidP="00327B31">
            <w:pPr>
              <w:keepLines/>
              <w:rPr>
                <w:rFonts w:cs="Times New Roman"/>
                <w:sz w:val="20"/>
                <w:szCs w:val="20"/>
              </w:rPr>
            </w:pPr>
            <w:r w:rsidRPr="006A0FB9">
              <w:rPr>
                <w:rFonts w:eastAsia="Times New Roman" w:cs="Times New Roman"/>
                <w:sz w:val="20"/>
                <w:szCs w:val="20"/>
              </w:rPr>
              <w:t>Procedural errors directly linked to legal accountability</w:t>
            </w:r>
          </w:p>
        </w:tc>
      </w:tr>
      <w:tr w:rsidR="003C1F22" w:rsidRPr="006A0FB9" w14:paraId="7924ACD3" w14:textId="77777777" w:rsidTr="004E5D67">
        <w:trPr>
          <w:cantSplit/>
          <w:jc w:val="center"/>
        </w:trPr>
        <w:tc>
          <w:tcPr>
            <w:tcW w:w="1036" w:type="dxa"/>
            <w:tcMar>
              <w:top w:w="30" w:type="dxa"/>
              <w:left w:w="45" w:type="dxa"/>
              <w:bottom w:w="30" w:type="dxa"/>
              <w:right w:w="45" w:type="dxa"/>
            </w:tcMar>
          </w:tcPr>
          <w:p w14:paraId="19C64CB9" w14:textId="77777777" w:rsidR="00327B31" w:rsidRPr="006A0FB9" w:rsidRDefault="00327B31" w:rsidP="00327B31">
            <w:pPr>
              <w:keepLines/>
              <w:rPr>
                <w:rFonts w:cs="Times New Roman"/>
                <w:sz w:val="20"/>
                <w:szCs w:val="20"/>
              </w:rPr>
            </w:pPr>
            <w:r w:rsidRPr="006A0FB9">
              <w:rPr>
                <w:rFonts w:eastAsia="Times New Roman" w:cs="Times New Roman"/>
                <w:sz w:val="20"/>
                <w:szCs w:val="20"/>
              </w:rPr>
              <w:t>Sahari (2022)</w:t>
            </w:r>
          </w:p>
        </w:tc>
        <w:tc>
          <w:tcPr>
            <w:tcW w:w="989" w:type="dxa"/>
            <w:tcMar>
              <w:top w:w="30" w:type="dxa"/>
              <w:left w:w="45" w:type="dxa"/>
              <w:bottom w:w="30" w:type="dxa"/>
              <w:right w:w="45" w:type="dxa"/>
            </w:tcMar>
          </w:tcPr>
          <w:p w14:paraId="677A1605"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51AB9C3A"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study</w:t>
            </w:r>
          </w:p>
        </w:tc>
        <w:tc>
          <w:tcPr>
            <w:tcW w:w="1087" w:type="dxa"/>
            <w:tcMar>
              <w:top w:w="30" w:type="dxa"/>
              <w:left w:w="45" w:type="dxa"/>
              <w:bottom w:w="30" w:type="dxa"/>
              <w:right w:w="45" w:type="dxa"/>
            </w:tcMar>
          </w:tcPr>
          <w:p w14:paraId="3F9531D1" w14:textId="77777777" w:rsidR="00327B31" w:rsidRPr="006A0FB9" w:rsidRDefault="00327B31" w:rsidP="00327B31">
            <w:pPr>
              <w:keepLines/>
              <w:rPr>
                <w:rFonts w:cs="Times New Roman"/>
                <w:sz w:val="20"/>
                <w:szCs w:val="20"/>
              </w:rPr>
            </w:pPr>
            <w:r w:rsidRPr="006A0FB9">
              <w:rPr>
                <w:rFonts w:eastAsia="Times New Roman" w:cs="Times New Roman"/>
                <w:sz w:val="20"/>
                <w:szCs w:val="20"/>
              </w:rPr>
              <w:t>Medical responsibility</w:t>
            </w:r>
          </w:p>
        </w:tc>
        <w:tc>
          <w:tcPr>
            <w:tcW w:w="1161" w:type="dxa"/>
            <w:tcMar>
              <w:top w:w="30" w:type="dxa"/>
              <w:left w:w="45" w:type="dxa"/>
              <w:bottom w:w="30" w:type="dxa"/>
              <w:right w:w="45" w:type="dxa"/>
            </w:tcMar>
          </w:tcPr>
          <w:p w14:paraId="59A4E31C"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liability</w:t>
            </w:r>
          </w:p>
        </w:tc>
        <w:tc>
          <w:tcPr>
            <w:tcW w:w="1559" w:type="dxa"/>
            <w:tcMar>
              <w:top w:w="30" w:type="dxa"/>
              <w:left w:w="45" w:type="dxa"/>
              <w:bottom w:w="30" w:type="dxa"/>
              <w:right w:w="45" w:type="dxa"/>
            </w:tcMar>
          </w:tcPr>
          <w:p w14:paraId="25A98E41" w14:textId="77777777" w:rsidR="00327B31" w:rsidRPr="006A0FB9" w:rsidRDefault="00327B31" w:rsidP="00327B31">
            <w:pPr>
              <w:keepLines/>
              <w:rPr>
                <w:rFonts w:cs="Times New Roman"/>
                <w:sz w:val="20"/>
                <w:szCs w:val="20"/>
              </w:rPr>
            </w:pPr>
            <w:r w:rsidRPr="006A0FB9">
              <w:rPr>
                <w:rFonts w:eastAsia="Times New Roman" w:cs="Times New Roman"/>
                <w:sz w:val="20"/>
                <w:szCs w:val="20"/>
              </w:rPr>
              <w:t>Discusses responsibility in adverse medical outcomes</w:t>
            </w:r>
          </w:p>
        </w:tc>
        <w:tc>
          <w:tcPr>
            <w:tcW w:w="1958" w:type="dxa"/>
            <w:tcMar>
              <w:top w:w="30" w:type="dxa"/>
              <w:left w:w="45" w:type="dxa"/>
              <w:bottom w:w="30" w:type="dxa"/>
              <w:right w:w="45" w:type="dxa"/>
            </w:tcMar>
          </w:tcPr>
          <w:p w14:paraId="74C3085C" w14:textId="77777777" w:rsidR="00327B31" w:rsidRPr="006A0FB9" w:rsidRDefault="00327B31" w:rsidP="00327B31">
            <w:pPr>
              <w:keepLines/>
              <w:rPr>
                <w:rFonts w:cs="Times New Roman"/>
                <w:sz w:val="20"/>
                <w:szCs w:val="20"/>
              </w:rPr>
            </w:pPr>
            <w:r w:rsidRPr="006A0FB9">
              <w:rPr>
                <w:rFonts w:eastAsia="Times New Roman" w:cs="Times New Roman"/>
                <w:sz w:val="20"/>
                <w:szCs w:val="20"/>
              </w:rPr>
              <w:t>Emphasizes duty of care in invasive procedures</w:t>
            </w:r>
          </w:p>
        </w:tc>
      </w:tr>
      <w:tr w:rsidR="003C1F22" w:rsidRPr="006A0FB9" w14:paraId="63887410" w14:textId="77777777" w:rsidTr="004E5D67">
        <w:trPr>
          <w:cantSplit/>
          <w:jc w:val="center"/>
        </w:trPr>
        <w:tc>
          <w:tcPr>
            <w:tcW w:w="1036" w:type="dxa"/>
            <w:tcMar>
              <w:top w:w="30" w:type="dxa"/>
              <w:left w:w="45" w:type="dxa"/>
              <w:bottom w:w="30" w:type="dxa"/>
              <w:right w:w="45" w:type="dxa"/>
            </w:tcMar>
          </w:tcPr>
          <w:p w14:paraId="0F072127" w14:textId="77777777" w:rsidR="00327B31" w:rsidRPr="006A0FB9" w:rsidRDefault="00327B31" w:rsidP="00327B31">
            <w:pPr>
              <w:keepLines/>
              <w:rPr>
                <w:rFonts w:cs="Times New Roman"/>
                <w:sz w:val="20"/>
                <w:szCs w:val="20"/>
              </w:rPr>
            </w:pPr>
            <w:r w:rsidRPr="006A0FB9">
              <w:rPr>
                <w:rFonts w:eastAsia="Times New Roman" w:cs="Times New Roman"/>
                <w:sz w:val="20"/>
                <w:szCs w:val="20"/>
              </w:rPr>
              <w:t>Wulandari (2024)</w:t>
            </w:r>
          </w:p>
        </w:tc>
        <w:tc>
          <w:tcPr>
            <w:tcW w:w="989" w:type="dxa"/>
            <w:tcMar>
              <w:top w:w="30" w:type="dxa"/>
              <w:left w:w="45" w:type="dxa"/>
              <w:bottom w:w="30" w:type="dxa"/>
              <w:right w:w="45" w:type="dxa"/>
            </w:tcMar>
          </w:tcPr>
          <w:p w14:paraId="1F8F8A72" w14:textId="77777777" w:rsidR="00327B31" w:rsidRPr="006A0FB9" w:rsidRDefault="00327B31" w:rsidP="00327B31">
            <w:pPr>
              <w:keepLines/>
              <w:rPr>
                <w:rFonts w:cs="Times New Roman"/>
                <w:sz w:val="20"/>
                <w:szCs w:val="20"/>
              </w:rPr>
            </w:pPr>
            <w:r w:rsidRPr="006A0FB9">
              <w:rPr>
                <w:rFonts w:eastAsia="Times New Roman" w:cs="Times New Roman"/>
                <w:sz w:val="20"/>
                <w:szCs w:val="20"/>
              </w:rPr>
              <w:t>Indonesia</w:t>
            </w:r>
          </w:p>
        </w:tc>
        <w:tc>
          <w:tcPr>
            <w:tcW w:w="897" w:type="dxa"/>
            <w:tcMar>
              <w:top w:w="30" w:type="dxa"/>
              <w:left w:w="45" w:type="dxa"/>
              <w:bottom w:w="30" w:type="dxa"/>
              <w:right w:w="45" w:type="dxa"/>
            </w:tcMar>
          </w:tcPr>
          <w:p w14:paraId="60BEF082"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review</w:t>
            </w:r>
          </w:p>
        </w:tc>
        <w:tc>
          <w:tcPr>
            <w:tcW w:w="1087" w:type="dxa"/>
            <w:tcMar>
              <w:top w:w="30" w:type="dxa"/>
              <w:left w:w="45" w:type="dxa"/>
              <w:bottom w:w="30" w:type="dxa"/>
              <w:right w:w="45" w:type="dxa"/>
            </w:tcMar>
          </w:tcPr>
          <w:p w14:paraId="181D94CE" w14:textId="77777777" w:rsidR="00327B31" w:rsidRPr="006A0FB9" w:rsidRDefault="00327B31" w:rsidP="00327B31">
            <w:pPr>
              <w:keepLines/>
              <w:rPr>
                <w:rFonts w:cs="Times New Roman"/>
                <w:sz w:val="20"/>
                <w:szCs w:val="20"/>
              </w:rPr>
            </w:pPr>
            <w:r w:rsidRPr="006A0FB9">
              <w:rPr>
                <w:rFonts w:eastAsia="Times New Roman" w:cs="Times New Roman"/>
                <w:sz w:val="20"/>
                <w:szCs w:val="20"/>
              </w:rPr>
              <w:t>Nursing protection</w:t>
            </w:r>
          </w:p>
        </w:tc>
        <w:tc>
          <w:tcPr>
            <w:tcW w:w="1161" w:type="dxa"/>
            <w:tcMar>
              <w:top w:w="30" w:type="dxa"/>
              <w:left w:w="45" w:type="dxa"/>
              <w:bottom w:w="30" w:type="dxa"/>
              <w:right w:w="45" w:type="dxa"/>
            </w:tcMar>
          </w:tcPr>
          <w:p w14:paraId="41E253B0"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protection vs liability</w:t>
            </w:r>
          </w:p>
        </w:tc>
        <w:tc>
          <w:tcPr>
            <w:tcW w:w="1559" w:type="dxa"/>
            <w:tcMar>
              <w:top w:w="30" w:type="dxa"/>
              <w:left w:w="45" w:type="dxa"/>
              <w:bottom w:w="30" w:type="dxa"/>
              <w:right w:w="45" w:type="dxa"/>
            </w:tcMar>
          </w:tcPr>
          <w:p w14:paraId="22B17143" w14:textId="77777777" w:rsidR="00327B31" w:rsidRPr="006A0FB9" w:rsidRDefault="00327B31" w:rsidP="00327B31">
            <w:pPr>
              <w:keepLines/>
              <w:rPr>
                <w:rFonts w:cs="Times New Roman"/>
                <w:sz w:val="20"/>
                <w:szCs w:val="20"/>
              </w:rPr>
            </w:pPr>
            <w:r w:rsidRPr="006A0FB9">
              <w:rPr>
                <w:rFonts w:eastAsia="Times New Roman" w:cs="Times New Roman"/>
                <w:sz w:val="20"/>
                <w:szCs w:val="20"/>
              </w:rPr>
              <w:t>Balances provider protection with accountability</w:t>
            </w:r>
          </w:p>
        </w:tc>
        <w:tc>
          <w:tcPr>
            <w:tcW w:w="1958" w:type="dxa"/>
            <w:tcMar>
              <w:top w:w="30" w:type="dxa"/>
              <w:left w:w="45" w:type="dxa"/>
              <w:bottom w:w="30" w:type="dxa"/>
              <w:right w:w="45" w:type="dxa"/>
            </w:tcMar>
          </w:tcPr>
          <w:p w14:paraId="0C52E784" w14:textId="77777777" w:rsidR="00327B31" w:rsidRPr="006A0FB9" w:rsidRDefault="00327B31" w:rsidP="00327B31">
            <w:pPr>
              <w:keepLines/>
              <w:rPr>
                <w:rFonts w:cs="Times New Roman"/>
                <w:sz w:val="20"/>
                <w:szCs w:val="20"/>
              </w:rPr>
            </w:pPr>
            <w:r w:rsidRPr="006A0FB9">
              <w:rPr>
                <w:rFonts w:eastAsia="Times New Roman" w:cs="Times New Roman"/>
                <w:sz w:val="20"/>
                <w:szCs w:val="20"/>
              </w:rPr>
              <w:t>Legal frameworks must protect patients and regulate providers</w:t>
            </w:r>
          </w:p>
        </w:tc>
      </w:tr>
    </w:tbl>
    <w:p w14:paraId="04D98419" w14:textId="77777777" w:rsidR="00327B31" w:rsidRDefault="00327B31" w:rsidP="0065179B">
      <w:pPr>
        <w:spacing w:after="0" w:line="480" w:lineRule="auto"/>
      </w:pPr>
    </w:p>
    <w:p w14:paraId="27AD7758" w14:textId="77777777" w:rsidR="009E6DF1" w:rsidRPr="009E6DF1" w:rsidRDefault="009E6DF1" w:rsidP="0097320D">
      <w:pPr>
        <w:keepNext/>
        <w:keepLines/>
        <w:spacing w:before="120" w:after="40" w:line="480" w:lineRule="auto"/>
        <w:ind w:firstLine="630"/>
        <w:jc w:val="both"/>
        <w:rPr>
          <w:rFonts w:cs="Times New Roman"/>
          <w:b/>
          <w:bCs/>
        </w:rPr>
      </w:pPr>
      <w:r w:rsidRPr="009E6DF1">
        <w:rPr>
          <w:rFonts w:eastAsia="Times New Roman" w:cs="Times New Roman"/>
          <w:b/>
          <w:bCs/>
        </w:rPr>
        <w:lastRenderedPageBreak/>
        <w:t>Medicolegal Findings</w:t>
      </w:r>
    </w:p>
    <w:p w14:paraId="44C830A7" w14:textId="77777777" w:rsidR="002B04DE" w:rsidRPr="002B04DE" w:rsidRDefault="002B04DE" w:rsidP="002B04DE">
      <w:pPr>
        <w:spacing w:after="0" w:line="480" w:lineRule="auto"/>
        <w:ind w:firstLine="630"/>
        <w:jc w:val="both"/>
        <w:rPr>
          <w:rFonts w:cs="Times New Roman"/>
        </w:rPr>
      </w:pPr>
      <w:r w:rsidRPr="002B04DE">
        <w:rPr>
          <w:rFonts w:cs="Times New Roman"/>
        </w:rPr>
        <w:t>The medicolegal analysis has demonstrated that iatrogenic injuries to the glans penis during circumcision have profound legal implications, especially when associated with preventable procedural errors and deviations from accepted standards of care.</w:t>
      </w:r>
    </w:p>
    <w:p w14:paraId="4EFF4DA9" w14:textId="77777777" w:rsidR="00CA241E" w:rsidRPr="00CA241E" w:rsidRDefault="002B04DE" w:rsidP="00CA241E">
      <w:pPr>
        <w:spacing w:after="0" w:line="480" w:lineRule="auto"/>
        <w:ind w:firstLine="630"/>
        <w:jc w:val="both"/>
        <w:rPr>
          <w:rFonts w:cs="Times New Roman"/>
        </w:rPr>
      </w:pPr>
      <w:r w:rsidRPr="002B04DE">
        <w:rPr>
          <w:rFonts w:cs="Times New Roman"/>
        </w:rPr>
        <w:t>Clinical forensic findings indicate that serious complications may result in formal malpractice investigations. Tasci et al. reviewed 24 cases of penile necrosis after circumcision retrospectively and noted that all the cases were evaluated in the context of forensic medicine due to suspicion of malpractice</w:t>
      </w:r>
      <w:r w:rsidR="009E6DF1" w:rsidRPr="009E6DF1">
        <w:rPr>
          <w:rFonts w:cs="Times New Roman"/>
        </w:rPr>
        <w:t xml:space="preserve"> </w:t>
      </w:r>
      <w:r>
        <w:rPr>
          <w:rFonts w:cs="Times New Roman"/>
        </w:rPr>
        <w:t>(50)</w:t>
      </w:r>
      <w:r w:rsidR="009E6DF1" w:rsidRPr="009E6DF1">
        <w:rPr>
          <w:rFonts w:cs="Times New Roman"/>
        </w:rPr>
        <w:t xml:space="preserve">. </w:t>
      </w:r>
      <w:r w:rsidR="00CA241E" w:rsidRPr="00CA241E">
        <w:rPr>
          <w:rFonts w:cs="Times New Roman"/>
        </w:rPr>
        <w:t>The results demonstrate a direct correlation between liability and negative clinical outcomes (necrosis, loss of tissue and functional impairment).</w:t>
      </w:r>
    </w:p>
    <w:p w14:paraId="335321D0" w14:textId="77777777" w:rsidR="009E6DF1" w:rsidRPr="009E6DF1" w:rsidRDefault="00CA241E" w:rsidP="00CA241E">
      <w:pPr>
        <w:spacing w:after="0" w:line="480" w:lineRule="auto"/>
        <w:ind w:firstLine="630"/>
        <w:jc w:val="both"/>
        <w:rPr>
          <w:rFonts w:cs="Times New Roman"/>
        </w:rPr>
      </w:pPr>
      <w:r w:rsidRPr="00CA241E">
        <w:rPr>
          <w:rFonts w:cs="Times New Roman"/>
        </w:rPr>
        <w:t>The main causes of liability in the medicolegal field have been found to be procedural errors and operator factors. The legal analysis found that complications from incorrect surgical techniques, misuse of instruments, and no anatomical assessment can be interpreted as negligence, especially if the injury can be avoided by following standard clinical practice</w:t>
      </w:r>
      <w:r w:rsidR="009E6DF1" w:rsidRPr="009E6DF1">
        <w:rPr>
          <w:rFonts w:cs="Times New Roman"/>
        </w:rPr>
        <w:t xml:space="preserve"> </w:t>
      </w:r>
      <w:r>
        <w:rPr>
          <w:rFonts w:cs="Times New Roman"/>
        </w:rPr>
        <w:t>(54-56)</w:t>
      </w:r>
      <w:r w:rsidR="009E6DF1" w:rsidRPr="009E6DF1">
        <w:rPr>
          <w:rFonts w:cs="Times New Roman"/>
        </w:rPr>
        <w:t xml:space="preserve">. </w:t>
      </w:r>
      <w:r w:rsidR="00281DFF" w:rsidRPr="00281DFF">
        <w:rPr>
          <w:rFonts w:cs="Times New Roman"/>
        </w:rPr>
        <w:t>Further, litigation analysis indicates that injuries from circumcision are commonly associated with claims of suboptimal care, such as poor technique and lack of procedural skill</w:t>
      </w:r>
      <w:r w:rsidR="009E6DF1" w:rsidRPr="009E6DF1">
        <w:rPr>
          <w:rFonts w:cs="Times New Roman"/>
        </w:rPr>
        <w:t xml:space="preserve"> </w:t>
      </w:r>
      <w:r>
        <w:rPr>
          <w:rFonts w:cs="Times New Roman"/>
        </w:rPr>
        <w:t>(57)</w:t>
      </w:r>
      <w:r w:rsidR="009E6DF1" w:rsidRPr="009E6DF1">
        <w:rPr>
          <w:rFonts w:cs="Times New Roman"/>
        </w:rPr>
        <w:t>.</w:t>
      </w:r>
    </w:p>
    <w:p w14:paraId="1745051A" w14:textId="77777777" w:rsidR="00DE5774" w:rsidRPr="00DE5774" w:rsidRDefault="00CA49E3" w:rsidP="00DE5774">
      <w:pPr>
        <w:spacing w:after="0" w:line="480" w:lineRule="auto"/>
        <w:ind w:firstLine="630"/>
        <w:jc w:val="both"/>
      </w:pPr>
      <w:r w:rsidRPr="00CA49E3">
        <w:rPr>
          <w:rFonts w:cs="Times New Roman"/>
        </w:rPr>
        <w:t>Provider competence and scope of practice were identified as critical by several studies. Several legal reviews have pointed out that the risk of clinical and legal liability is greatly increased when circumcision is performed by unqualified or poorly trained providers, such as non-physician practitioners or traditional circumcisers</w:t>
      </w:r>
      <w:r w:rsidR="009E6DF1" w:rsidRPr="009E6DF1">
        <w:rPr>
          <w:rFonts w:cs="Times New Roman"/>
        </w:rPr>
        <w:t xml:space="preserve"> </w:t>
      </w:r>
      <w:r>
        <w:rPr>
          <w:rFonts w:cs="Times New Roman"/>
        </w:rPr>
        <w:t>(54,58,59)</w:t>
      </w:r>
      <w:r w:rsidR="009E6DF1" w:rsidRPr="009E6DF1">
        <w:rPr>
          <w:rFonts w:cs="Times New Roman"/>
        </w:rPr>
        <w:t xml:space="preserve">. </w:t>
      </w:r>
      <w:r w:rsidR="00DE5774" w:rsidRPr="00793B57">
        <w:rPr>
          <w:rFonts w:cs="Times New Roman"/>
        </w:rPr>
        <w:t>Surgery beyond the authorized scope of professional practice may also violate legal and ethical standards.</w:t>
      </w:r>
    </w:p>
    <w:p w14:paraId="4DE1766F" w14:textId="77777777" w:rsidR="009E6DF1" w:rsidRPr="009E6DF1" w:rsidRDefault="00DE5774" w:rsidP="00DE5774">
      <w:pPr>
        <w:spacing w:after="0" w:line="480" w:lineRule="auto"/>
        <w:ind w:firstLine="630"/>
        <w:jc w:val="both"/>
        <w:rPr>
          <w:rFonts w:cs="Times New Roman"/>
        </w:rPr>
      </w:pPr>
      <w:r w:rsidRPr="00DE5774">
        <w:rPr>
          <w:rFonts w:cs="Times New Roman"/>
        </w:rPr>
        <w:t xml:space="preserve">Another major medico legal issue was that of informed consent. This has been reported inconsistently in clinical studies, but legal evidence suggests that failure to adequately inform the </w:t>
      </w:r>
      <w:r w:rsidRPr="00DE5774">
        <w:rPr>
          <w:rFonts w:cs="Times New Roman"/>
        </w:rPr>
        <w:lastRenderedPageBreak/>
        <w:t>patient or guardian of the risks, complications and alternatives can support claims of negligence, particularly in elective or non-therapeutic circumcision</w:t>
      </w:r>
      <w:r w:rsidR="009E6DF1" w:rsidRPr="009E6DF1">
        <w:rPr>
          <w:rFonts w:cs="Times New Roman"/>
        </w:rPr>
        <w:t xml:space="preserve"> </w:t>
      </w:r>
      <w:r>
        <w:rPr>
          <w:rFonts w:cs="Times New Roman"/>
        </w:rPr>
        <w:t>(55,57)</w:t>
      </w:r>
      <w:r w:rsidR="009E6DF1" w:rsidRPr="009E6DF1">
        <w:rPr>
          <w:rFonts w:cs="Times New Roman"/>
        </w:rPr>
        <w:t>.</w:t>
      </w:r>
    </w:p>
    <w:p w14:paraId="5D895ECF" w14:textId="77777777" w:rsidR="0012134A" w:rsidRPr="00793B57" w:rsidRDefault="00190F31" w:rsidP="0012134A">
      <w:pPr>
        <w:spacing w:after="0" w:line="480" w:lineRule="auto"/>
        <w:ind w:firstLine="630"/>
        <w:jc w:val="both"/>
        <w:rPr>
          <w:rFonts w:cs="Times New Roman"/>
        </w:rPr>
      </w:pPr>
      <w:r w:rsidRPr="00190F31">
        <w:rPr>
          <w:rFonts w:cs="Times New Roman"/>
        </w:rPr>
        <w:t>Importantly, the medicolegal risks were not limited to low-resource or traditional settings. Research in legal databases has shown that circumcision-related injuries can lead to malpractice claims even in well-established health systems</w:t>
      </w:r>
      <w:r w:rsidR="009E6DF1" w:rsidRPr="009E6DF1">
        <w:rPr>
          <w:rFonts w:cs="Times New Roman"/>
        </w:rPr>
        <w:t xml:space="preserve"> </w:t>
      </w:r>
      <w:r>
        <w:rPr>
          <w:rFonts w:cs="Times New Roman"/>
        </w:rPr>
        <w:t>(57)</w:t>
      </w:r>
      <w:r w:rsidR="009E6DF1" w:rsidRPr="009E6DF1">
        <w:rPr>
          <w:rFonts w:cs="Times New Roman"/>
        </w:rPr>
        <w:t xml:space="preserve">. </w:t>
      </w:r>
      <w:r w:rsidR="0012134A" w:rsidRPr="00793B57">
        <w:rPr>
          <w:rFonts w:cs="Times New Roman"/>
        </w:rPr>
        <w:t>This means that legal exposure is not only the initial setup but the ongoing use of procedural standards, documentation and informed consent practices.</w:t>
      </w:r>
    </w:p>
    <w:p w14:paraId="7A0706E9" w14:textId="77777777" w:rsidR="00834041" w:rsidRPr="00AD1C8B" w:rsidRDefault="0012134A" w:rsidP="00AD1C8B">
      <w:pPr>
        <w:spacing w:after="0" w:line="480" w:lineRule="auto"/>
        <w:ind w:firstLine="630"/>
        <w:jc w:val="both"/>
        <w:rPr>
          <w:rFonts w:cs="Times New Roman"/>
        </w:rPr>
      </w:pPr>
      <w:r w:rsidRPr="0012134A">
        <w:rPr>
          <w:rFonts w:cs="Times New Roman"/>
        </w:rPr>
        <w:t>These results suggest that the medicolegal consequences of iatrogenic glans penis injury are strongly correlated with identifiable and mostly avoidable factors such as operator inexperience, improper technique, suboptimal perioperative evaluation, and failure to follow established standards of care</w:t>
      </w:r>
      <w:r w:rsidR="009E6DF1" w:rsidRPr="009E6DF1">
        <w:rPr>
          <w:rFonts w:cs="Times New Roman"/>
        </w:rPr>
        <w:t xml:space="preserve"> </w:t>
      </w:r>
      <w:r>
        <w:rPr>
          <w:rFonts w:cs="Times New Roman"/>
        </w:rPr>
        <w:t>(54-56,58)</w:t>
      </w:r>
      <w:r w:rsidR="009E6DF1" w:rsidRPr="009E6DF1">
        <w:rPr>
          <w:rFonts w:cs="Times New Roman"/>
        </w:rPr>
        <w:t xml:space="preserve">. </w:t>
      </w:r>
      <w:r w:rsidR="004145B5">
        <w:rPr>
          <w:rFonts w:cs="Times New Roman"/>
        </w:rPr>
        <w:t>In conclusion t</w:t>
      </w:r>
      <w:r w:rsidR="00BF13D6" w:rsidRPr="00BF13D6">
        <w:rPr>
          <w:rFonts w:cs="Times New Roman"/>
        </w:rPr>
        <w:t>herefore, optimization of surgical training, scope-of-practice regulations and procedural safety protocols are essential to reduce clinical complications and minimize medicolegal risk.</w:t>
      </w:r>
      <w:r w:rsidR="00386AC7">
        <w:rPr>
          <w:rFonts w:cs="Times New Roman"/>
        </w:rPr>
        <w:t xml:space="preserve"> </w:t>
      </w:r>
      <w:r w:rsidR="00386AC7" w:rsidRPr="002F0A45">
        <w:rPr>
          <w:rFonts w:cs="Times New Roman"/>
        </w:rPr>
        <w:t>In other words, preventing iatrogenic glans penis injury during circumcision requires the implementation of strict standard operating procedures, appropriate clinical competence, and transparent communication and informed consent.</w:t>
      </w:r>
    </w:p>
    <w:p w14:paraId="7AA0FF11" w14:textId="77777777" w:rsidR="001D2DDC" w:rsidRPr="001D2DDC" w:rsidRDefault="00281627" w:rsidP="001D2DDC">
      <w:pPr>
        <w:spacing w:after="0" w:line="480" w:lineRule="auto"/>
        <w:ind w:firstLine="630"/>
        <w:jc w:val="both"/>
        <w:rPr>
          <w:rFonts w:cs="Times New Roman"/>
        </w:rPr>
      </w:pPr>
      <w:r w:rsidRPr="00281627">
        <w:rPr>
          <w:rFonts w:cs="Times New Roman"/>
        </w:rPr>
        <w:t xml:space="preserve">The systematic review aims at providing a comprehensive overview of the clinical spectrum, mechanisms and medicolegal aspects of iatrogenic glans penis injury during circumcision. </w:t>
      </w:r>
      <w:r w:rsidR="000649DE" w:rsidRPr="00406EB3">
        <w:rPr>
          <w:rFonts w:cs="Times New Roman"/>
        </w:rPr>
        <w:t xml:space="preserve">Iatrogenic trauma refers to an injury, damage, or adverse health condition in a patient that occurs unintentionally as a result of medical interventions, diagnostic procedures, or treatments, </w:t>
      </w:r>
      <w:r w:rsidR="00406EB3">
        <w:rPr>
          <w:rFonts w:cs="Times New Roman"/>
        </w:rPr>
        <w:t xml:space="preserve">not because of </w:t>
      </w:r>
      <w:r w:rsidR="000649DE" w:rsidRPr="00406EB3">
        <w:rPr>
          <w:rFonts w:cs="Times New Roman"/>
        </w:rPr>
        <w:t>disease itself.</w:t>
      </w:r>
      <w:r w:rsidR="000649DE">
        <w:rPr>
          <w:rFonts w:cs="Times New Roman"/>
        </w:rPr>
        <w:t xml:space="preserve"> </w:t>
      </w:r>
      <w:r w:rsidRPr="00281627">
        <w:rPr>
          <w:rFonts w:cs="Times New Roman"/>
        </w:rPr>
        <w:t>While the literature has previously described complications associated with circumcision in general</w:t>
      </w:r>
      <w:r w:rsidR="006C5578" w:rsidRPr="006C5578">
        <w:rPr>
          <w:rFonts w:cs="Times New Roman"/>
        </w:rPr>
        <w:t xml:space="preserve"> </w:t>
      </w:r>
      <w:r>
        <w:rPr>
          <w:rFonts w:cs="Times New Roman"/>
        </w:rPr>
        <w:t>(33,60)</w:t>
      </w:r>
      <w:r w:rsidR="006C5578" w:rsidRPr="006C5578">
        <w:rPr>
          <w:rFonts w:cs="Times New Roman"/>
        </w:rPr>
        <w:t xml:space="preserve">, </w:t>
      </w:r>
      <w:r w:rsidR="001D2DDC" w:rsidRPr="001D2DDC">
        <w:rPr>
          <w:rFonts w:cs="Times New Roman"/>
        </w:rPr>
        <w:t>the present findings indicate that severe and functionally devastating injuries such as glans amputation and necrosis have been consistently reported in multiple included studies</w:t>
      </w:r>
      <w:r w:rsidR="006C5578" w:rsidRPr="006C5578">
        <w:rPr>
          <w:rFonts w:cs="Times New Roman"/>
        </w:rPr>
        <w:t xml:space="preserve"> </w:t>
      </w:r>
      <w:r>
        <w:rPr>
          <w:rFonts w:cs="Times New Roman"/>
        </w:rPr>
        <w:t>(10,45,48)</w:t>
      </w:r>
      <w:r w:rsidR="006C5578" w:rsidRPr="006C5578">
        <w:rPr>
          <w:rFonts w:cs="Times New Roman"/>
        </w:rPr>
        <w:t xml:space="preserve">. </w:t>
      </w:r>
      <w:r w:rsidR="001D2DDC" w:rsidRPr="001D2DDC">
        <w:rPr>
          <w:rFonts w:cs="Times New Roman"/>
        </w:rPr>
        <w:t xml:space="preserve">This means that these </w:t>
      </w:r>
      <w:r w:rsidR="001D2DDC" w:rsidRPr="001D2DDC">
        <w:rPr>
          <w:rFonts w:cs="Times New Roman"/>
        </w:rPr>
        <w:lastRenderedPageBreak/>
        <w:t>complications, though rare, are not random events but a reproducible pattern of high severity iatrogenic harm.</w:t>
      </w:r>
    </w:p>
    <w:p w14:paraId="0D663B12" w14:textId="77777777" w:rsidR="006C5578" w:rsidRPr="006C5578" w:rsidRDefault="00513E4B" w:rsidP="00FF23CF">
      <w:pPr>
        <w:spacing w:after="0" w:line="480" w:lineRule="auto"/>
        <w:ind w:firstLine="630"/>
        <w:jc w:val="both"/>
        <w:rPr>
          <w:rFonts w:cs="Times New Roman"/>
        </w:rPr>
      </w:pPr>
      <w:r w:rsidRPr="00513E4B">
        <w:rPr>
          <w:rFonts w:cs="Times New Roman"/>
        </w:rPr>
        <w:t xml:space="preserve">This review of the wide clinical spectrum from glans ischemia to complete penile amputation suggests both mechanical and vascular injury pathways. Several of the included reports have identified direct procedural errors associated with </w:t>
      </w:r>
      <w:proofErr w:type="spellStart"/>
      <w:r w:rsidRPr="00513E4B">
        <w:rPr>
          <w:rFonts w:cs="Times New Roman"/>
        </w:rPr>
        <w:t>amputative</w:t>
      </w:r>
      <w:proofErr w:type="spellEnd"/>
      <w:r w:rsidRPr="00513E4B">
        <w:rPr>
          <w:rFonts w:cs="Times New Roman"/>
        </w:rPr>
        <w:t xml:space="preserve"> injuries more than once</w:t>
      </w:r>
      <w:r w:rsidR="006C5578" w:rsidRPr="006C5578">
        <w:rPr>
          <w:rFonts w:cs="Times New Roman"/>
        </w:rPr>
        <w:t xml:space="preserve"> </w:t>
      </w:r>
      <w:r>
        <w:rPr>
          <w:rFonts w:cs="Times New Roman"/>
        </w:rPr>
        <w:t>(7,52)</w:t>
      </w:r>
      <w:r w:rsidR="006C5578" w:rsidRPr="006C5578">
        <w:rPr>
          <w:rFonts w:cs="Times New Roman"/>
        </w:rPr>
        <w:t xml:space="preserve">, </w:t>
      </w:r>
      <w:r w:rsidR="00B26B69" w:rsidRPr="00B26B69">
        <w:rPr>
          <w:rFonts w:cs="Times New Roman"/>
        </w:rPr>
        <w:t>while ischemic and necrotic complications have been reported in case reports and larger retrospective analyses</w:t>
      </w:r>
      <w:r w:rsidR="006C5578" w:rsidRPr="006C5578">
        <w:rPr>
          <w:rFonts w:cs="Times New Roman"/>
        </w:rPr>
        <w:t xml:space="preserve"> </w:t>
      </w:r>
      <w:r>
        <w:rPr>
          <w:rFonts w:cs="Times New Roman"/>
        </w:rPr>
        <w:t>(44,50,53)</w:t>
      </w:r>
      <w:r w:rsidR="006C5578" w:rsidRPr="006C5578">
        <w:rPr>
          <w:rFonts w:cs="Times New Roman"/>
        </w:rPr>
        <w:t xml:space="preserve">. </w:t>
      </w:r>
      <w:r w:rsidR="00B26B69" w:rsidRPr="00B26B69">
        <w:rPr>
          <w:rFonts w:cs="Times New Roman"/>
        </w:rPr>
        <w:t>These findings add to the broader epidemiological literature that complications of circumcision are multifactorial and mediated by technical and perioperative factors</w:t>
      </w:r>
      <w:r w:rsidR="006C5578" w:rsidRPr="006C5578">
        <w:rPr>
          <w:rFonts w:cs="Times New Roman"/>
        </w:rPr>
        <w:t xml:space="preserve"> </w:t>
      </w:r>
      <w:r>
        <w:rPr>
          <w:rFonts w:cs="Times New Roman"/>
        </w:rPr>
        <w:t>(61-65)</w:t>
      </w:r>
      <w:r w:rsidR="006C5578" w:rsidRPr="006C5578">
        <w:rPr>
          <w:rFonts w:cs="Times New Roman"/>
        </w:rPr>
        <w:t>.</w:t>
      </w:r>
    </w:p>
    <w:p w14:paraId="25F4D9D0" w14:textId="77777777" w:rsidR="006C5578" w:rsidRPr="006C5578" w:rsidRDefault="00D84E2B" w:rsidP="00780313">
      <w:pPr>
        <w:spacing w:after="0" w:line="480" w:lineRule="auto"/>
        <w:ind w:firstLine="630"/>
        <w:jc w:val="both"/>
        <w:rPr>
          <w:rFonts w:cs="Times New Roman"/>
        </w:rPr>
      </w:pPr>
      <w:r w:rsidRPr="00D84E2B">
        <w:rPr>
          <w:rFonts w:cs="Times New Roman"/>
        </w:rPr>
        <w:t>The mechanisms of these injuries are very supportive to the established principles of surgical safety. Particularly, the reviewed studies</w:t>
      </w:r>
      <w:r w:rsidR="006C5578" w:rsidRPr="006C5578">
        <w:rPr>
          <w:rFonts w:cs="Times New Roman"/>
        </w:rPr>
        <w:t xml:space="preserve"> </w:t>
      </w:r>
      <w:r>
        <w:rPr>
          <w:rFonts w:cs="Times New Roman"/>
        </w:rPr>
        <w:t>(9,52)</w:t>
      </w:r>
      <w:r w:rsidR="0082165E" w:rsidRPr="00FF23CF">
        <w:rPr>
          <w:rFonts w:cs="Times New Roman"/>
          <w:color w:val="000000"/>
        </w:rPr>
        <w:t xml:space="preserve"> </w:t>
      </w:r>
      <w:r w:rsidRPr="00D84E2B">
        <w:rPr>
          <w:rFonts w:cs="Times New Roman"/>
        </w:rPr>
        <w:t>underscore the recurring link between techniques that are blind or rely on clamps with glans injury, consistent with the generally accepted notion that bad visualization of vital anatomical structures constitutes a major reason for iatrogenic injury in surgery</w:t>
      </w:r>
      <w:r w:rsidR="006C5578" w:rsidRPr="006C5578">
        <w:rPr>
          <w:rFonts w:cs="Times New Roman"/>
        </w:rPr>
        <w:t xml:space="preserve"> </w:t>
      </w:r>
      <w:r>
        <w:rPr>
          <w:rFonts w:cs="Times New Roman"/>
        </w:rPr>
        <w:t>(66-68)</w:t>
      </w:r>
      <w:r w:rsidR="006C5578" w:rsidRPr="006C5578">
        <w:rPr>
          <w:rFonts w:cs="Times New Roman"/>
        </w:rPr>
        <w:t xml:space="preserve">. </w:t>
      </w:r>
      <w:r w:rsidRPr="00D84E2B">
        <w:rPr>
          <w:rFonts w:cs="Times New Roman"/>
        </w:rPr>
        <w:t>This indicates that the ongoing occurrence of these types of injuries is a sign not only of technical deficiencies but also of systemic deficiencies in the procedural training and standardization.</w:t>
      </w:r>
    </w:p>
    <w:p w14:paraId="3D54C3D9" w14:textId="77777777" w:rsidR="00057B9B" w:rsidRPr="00057B9B" w:rsidRDefault="004E3D23" w:rsidP="00057B9B">
      <w:pPr>
        <w:spacing w:after="0" w:line="480" w:lineRule="auto"/>
        <w:ind w:firstLine="630"/>
        <w:jc w:val="both"/>
        <w:rPr>
          <w:rFonts w:cs="Times New Roman"/>
        </w:rPr>
      </w:pPr>
      <w:r w:rsidRPr="004E3D23">
        <w:rPr>
          <w:rFonts w:cs="Times New Roman"/>
        </w:rPr>
        <w:t>Operator competency was found to be an important factor in injury risk. Many of the cases investigated here took place in the context of untrained or non-specialist providers</w:t>
      </w:r>
      <w:r w:rsidR="006C5578" w:rsidRPr="006C5578">
        <w:rPr>
          <w:rFonts w:cs="Times New Roman"/>
        </w:rPr>
        <w:t xml:space="preserve"> </w:t>
      </w:r>
      <w:r>
        <w:rPr>
          <w:rFonts w:cs="Times New Roman"/>
        </w:rPr>
        <w:t>(10,38,40)</w:t>
      </w:r>
      <w:r w:rsidR="006C5578" w:rsidRPr="006C5578">
        <w:rPr>
          <w:rFonts w:cs="Times New Roman"/>
        </w:rPr>
        <w:t xml:space="preserve">, </w:t>
      </w:r>
      <w:r w:rsidRPr="004E3D23">
        <w:rPr>
          <w:rFonts w:cs="Times New Roman"/>
        </w:rPr>
        <w:t>consistent with previous evidence that complication rates are significantly higher in circumcisions performed outside of specialist care</w:t>
      </w:r>
      <w:r w:rsidR="006C5578" w:rsidRPr="006C5578">
        <w:rPr>
          <w:rFonts w:cs="Times New Roman"/>
        </w:rPr>
        <w:t xml:space="preserve"> </w:t>
      </w:r>
      <w:r>
        <w:rPr>
          <w:rFonts w:cs="Times New Roman"/>
        </w:rPr>
        <w:t>(22,69)</w:t>
      </w:r>
      <w:r w:rsidR="006C5578" w:rsidRPr="006C5578">
        <w:rPr>
          <w:rFonts w:cs="Times New Roman"/>
        </w:rPr>
        <w:t xml:space="preserve">. </w:t>
      </w:r>
      <w:r w:rsidRPr="004E3D23">
        <w:rPr>
          <w:rFonts w:cs="Times New Roman"/>
        </w:rPr>
        <w:t>Nevertheless, similar complications have been reported in formal clinical settings</w:t>
      </w:r>
      <w:r w:rsidR="006C5578" w:rsidRPr="006C5578">
        <w:rPr>
          <w:rFonts w:cs="Times New Roman"/>
        </w:rPr>
        <w:t xml:space="preserve"> </w:t>
      </w:r>
      <w:r>
        <w:rPr>
          <w:rFonts w:cs="Times New Roman"/>
        </w:rPr>
        <w:t>(7,46)</w:t>
      </w:r>
      <w:r w:rsidR="0075740A" w:rsidRPr="00FF23CF">
        <w:rPr>
          <w:rFonts w:cs="Times New Roman"/>
          <w:color w:val="000000"/>
        </w:rPr>
        <w:t xml:space="preserve"> </w:t>
      </w:r>
      <w:r w:rsidR="00057B9B" w:rsidRPr="00057B9B">
        <w:rPr>
          <w:rFonts w:cs="Times New Roman"/>
        </w:rPr>
        <w:t>indicating that technical skill and procedural standards are relevant regardless of the setting. This point highlights the need for universal systems of competency-based training and credentialing.</w:t>
      </w:r>
    </w:p>
    <w:p w14:paraId="77EA3A04" w14:textId="77777777" w:rsidR="00042F08" w:rsidRPr="00042F08" w:rsidRDefault="00042F08" w:rsidP="00042F08">
      <w:pPr>
        <w:spacing w:after="0" w:line="480" w:lineRule="auto"/>
        <w:ind w:firstLine="630"/>
        <w:jc w:val="both"/>
        <w:rPr>
          <w:rFonts w:cs="Times New Roman"/>
        </w:rPr>
      </w:pPr>
      <w:r w:rsidRPr="00042F08">
        <w:rPr>
          <w:rFonts w:cs="Times New Roman"/>
        </w:rPr>
        <w:lastRenderedPageBreak/>
        <w:t>Another important mechanism of injury is thermal injury. The association between monopolar electrocautery and glans necrosis in the case reports and retrospective studies</w:t>
      </w:r>
      <w:r w:rsidR="006C5578" w:rsidRPr="006C5578">
        <w:rPr>
          <w:rFonts w:cs="Times New Roman"/>
        </w:rPr>
        <w:t xml:space="preserve"> </w:t>
      </w:r>
      <w:r>
        <w:rPr>
          <w:rFonts w:cs="Times New Roman"/>
        </w:rPr>
        <w:t>(50,51)</w:t>
      </w:r>
      <w:r w:rsidR="00C32574" w:rsidRPr="00FF23CF">
        <w:rPr>
          <w:rFonts w:cs="Times New Roman"/>
          <w:color w:val="000000"/>
        </w:rPr>
        <w:t xml:space="preserve"> </w:t>
      </w:r>
      <w:r w:rsidRPr="00042F08">
        <w:rPr>
          <w:rFonts w:cs="Times New Roman"/>
        </w:rPr>
        <w:t>is consistent with experimental and clinical data showing the risk of undesired thermal extension in small anatomical structures</w:t>
      </w:r>
      <w:r w:rsidR="006C5578" w:rsidRPr="006C5578">
        <w:rPr>
          <w:rFonts w:cs="Times New Roman"/>
        </w:rPr>
        <w:t xml:space="preserve"> </w:t>
      </w:r>
      <w:r>
        <w:rPr>
          <w:rFonts w:cs="Times New Roman"/>
        </w:rPr>
        <w:t>(70)</w:t>
      </w:r>
      <w:r w:rsidR="006C5578" w:rsidRPr="006C5578">
        <w:rPr>
          <w:rFonts w:cs="Times New Roman"/>
        </w:rPr>
        <w:t xml:space="preserve">. </w:t>
      </w:r>
      <w:r w:rsidRPr="00042F08">
        <w:rPr>
          <w:rFonts w:cs="Times New Roman"/>
        </w:rPr>
        <w:t>These results are consistent with previous recommendations to avoid monopolar cautery in delicate tissues such as the penis.</w:t>
      </w:r>
    </w:p>
    <w:p w14:paraId="6FC091A7" w14:textId="77777777" w:rsidR="006C5578" w:rsidRPr="006C5578" w:rsidRDefault="007B1142" w:rsidP="00FF23CF">
      <w:pPr>
        <w:spacing w:after="0" w:line="480" w:lineRule="auto"/>
        <w:ind w:firstLine="630"/>
        <w:jc w:val="both"/>
        <w:rPr>
          <w:rFonts w:cs="Times New Roman"/>
        </w:rPr>
      </w:pPr>
      <w:r w:rsidRPr="007B1142">
        <w:rPr>
          <w:rFonts w:cs="Times New Roman"/>
        </w:rPr>
        <w:t>Vascular compromise is also a factor in the pathogenesis of glans ischemia. The studies included</w:t>
      </w:r>
      <w:r w:rsidR="006C5578" w:rsidRPr="006C5578">
        <w:rPr>
          <w:rFonts w:cs="Times New Roman"/>
        </w:rPr>
        <w:t xml:space="preserve"> </w:t>
      </w:r>
      <w:r>
        <w:rPr>
          <w:rFonts w:cs="Times New Roman"/>
        </w:rPr>
        <w:t>(44,53)</w:t>
      </w:r>
      <w:r w:rsidR="006C5578" w:rsidRPr="006C5578">
        <w:rPr>
          <w:rFonts w:cs="Times New Roman"/>
        </w:rPr>
        <w:t xml:space="preserve">, </w:t>
      </w:r>
      <w:r w:rsidR="00341C2C" w:rsidRPr="00341C2C">
        <w:rPr>
          <w:rFonts w:cs="Times New Roman"/>
        </w:rPr>
        <w:t>suggest that ischemic injury may be associated with dorsal penile nerve block and local anesthetic use. This is consistent with previous reports of vasospasm and decreased tissue perfusion following local anesthesia</w:t>
      </w:r>
      <w:r w:rsidR="006C5578" w:rsidRPr="006C5578">
        <w:rPr>
          <w:rFonts w:cs="Times New Roman"/>
        </w:rPr>
        <w:t xml:space="preserve"> </w:t>
      </w:r>
      <w:r>
        <w:rPr>
          <w:rFonts w:cs="Times New Roman"/>
        </w:rPr>
        <w:t>(71,72)</w:t>
      </w:r>
      <w:r w:rsidR="006C5578" w:rsidRPr="006C5578">
        <w:rPr>
          <w:rFonts w:cs="Times New Roman"/>
        </w:rPr>
        <w:t xml:space="preserve">. </w:t>
      </w:r>
      <w:r w:rsidR="000C76C7" w:rsidRPr="000C76C7">
        <w:rPr>
          <w:rFonts w:cs="Times New Roman"/>
        </w:rPr>
        <w:t>Infection and compressive dressings also contribute to the tissue compromise further confirming the multifactorial nature of these injuries</w:t>
      </w:r>
      <w:r w:rsidR="006C5578" w:rsidRPr="006C5578">
        <w:rPr>
          <w:rFonts w:cs="Times New Roman"/>
        </w:rPr>
        <w:t xml:space="preserve"> </w:t>
      </w:r>
      <w:r>
        <w:rPr>
          <w:rFonts w:cs="Times New Roman"/>
        </w:rPr>
        <w:t>(50)</w:t>
      </w:r>
      <w:r w:rsidR="006C5578" w:rsidRPr="006C5578">
        <w:rPr>
          <w:rFonts w:cs="Times New Roman"/>
        </w:rPr>
        <w:t>.</w:t>
      </w:r>
    </w:p>
    <w:p w14:paraId="49A0AA94" w14:textId="77777777" w:rsidR="00B16AC4" w:rsidRDefault="00126659" w:rsidP="00FF23CF">
      <w:pPr>
        <w:spacing w:after="0" w:line="480" w:lineRule="auto"/>
        <w:ind w:firstLine="630"/>
        <w:jc w:val="both"/>
        <w:rPr>
          <w:rFonts w:cs="Times New Roman"/>
        </w:rPr>
      </w:pPr>
      <w:r w:rsidRPr="00126659">
        <w:rPr>
          <w:rFonts w:cs="Times New Roman"/>
        </w:rPr>
        <w:t xml:space="preserve">The findings of this review are consistent with </w:t>
      </w:r>
      <w:proofErr w:type="spellStart"/>
      <w:r w:rsidRPr="00126659">
        <w:rPr>
          <w:rFonts w:cs="Times New Roman"/>
        </w:rPr>
        <w:t>well established</w:t>
      </w:r>
      <w:proofErr w:type="spellEnd"/>
      <w:r w:rsidRPr="00126659">
        <w:rPr>
          <w:rFonts w:cs="Times New Roman"/>
        </w:rPr>
        <w:t xml:space="preserve"> principles of reconstruction from a management perspective. Some reports of early replantation in a series of cases reported better outcomes</w:t>
      </w:r>
      <w:r w:rsidR="006C5578" w:rsidRPr="006C5578">
        <w:rPr>
          <w:rFonts w:cs="Times New Roman"/>
        </w:rPr>
        <w:t xml:space="preserve"> </w:t>
      </w:r>
      <w:r>
        <w:rPr>
          <w:rFonts w:cs="Times New Roman"/>
        </w:rPr>
        <w:t>(42,46)</w:t>
      </w:r>
      <w:r w:rsidR="00C5068C">
        <w:rPr>
          <w:rFonts w:cs="Times New Roman"/>
        </w:rPr>
        <w:t>.</w:t>
      </w:r>
      <w:r w:rsidR="006C5578" w:rsidRPr="006C5578">
        <w:rPr>
          <w:rFonts w:cs="Times New Roman"/>
        </w:rPr>
        <w:t xml:space="preserve"> </w:t>
      </w:r>
      <w:r w:rsidR="00C5068C" w:rsidRPr="00C5068C">
        <w:rPr>
          <w:rFonts w:cs="Times New Roman"/>
        </w:rPr>
        <w:t>This is in line with the microsurgical literature that emphasizes the importance of ischemic time and tissue preservation</w:t>
      </w:r>
      <w:r w:rsidR="006C5578" w:rsidRPr="006C5578">
        <w:rPr>
          <w:rFonts w:cs="Times New Roman"/>
        </w:rPr>
        <w:t xml:space="preserve"> </w:t>
      </w:r>
      <w:r>
        <w:rPr>
          <w:rFonts w:cs="Times New Roman"/>
        </w:rPr>
        <w:t>(73-75)</w:t>
      </w:r>
      <w:r w:rsidR="006C5578" w:rsidRPr="006C5578">
        <w:rPr>
          <w:rFonts w:cs="Times New Roman"/>
        </w:rPr>
        <w:t xml:space="preserve">. </w:t>
      </w:r>
      <w:r w:rsidR="00B16AC4" w:rsidRPr="00B16AC4">
        <w:rPr>
          <w:rFonts w:cs="Times New Roman"/>
        </w:rPr>
        <w:t>However, the results were quite variable, especially in resource limited setting and in the absence of microsurgical expertise</w:t>
      </w:r>
      <w:r w:rsidR="006C5578" w:rsidRPr="006C5578">
        <w:rPr>
          <w:rFonts w:cs="Times New Roman"/>
        </w:rPr>
        <w:t xml:space="preserve"> </w:t>
      </w:r>
      <w:r>
        <w:rPr>
          <w:rFonts w:cs="Times New Roman"/>
        </w:rPr>
        <w:t>(10)</w:t>
      </w:r>
      <w:r w:rsidR="006C5578" w:rsidRPr="006C5578">
        <w:rPr>
          <w:rFonts w:cs="Times New Roman"/>
        </w:rPr>
        <w:t xml:space="preserve">. </w:t>
      </w:r>
      <w:r w:rsidR="00B16AC4" w:rsidRPr="00B16AC4">
        <w:rPr>
          <w:rFonts w:cs="Times New Roman"/>
        </w:rPr>
        <w:t>Retrospective analyses</w:t>
      </w:r>
      <w:r w:rsidR="006C5578" w:rsidRPr="006C5578">
        <w:rPr>
          <w:rFonts w:cs="Times New Roman"/>
        </w:rPr>
        <w:t xml:space="preserve"> </w:t>
      </w:r>
      <w:r>
        <w:rPr>
          <w:rFonts w:cs="Times New Roman"/>
        </w:rPr>
        <w:t>(50)</w:t>
      </w:r>
      <w:r w:rsidR="006C5578" w:rsidRPr="006C5578">
        <w:rPr>
          <w:rFonts w:cs="Times New Roman"/>
        </w:rPr>
        <w:t xml:space="preserve">, </w:t>
      </w:r>
      <w:r w:rsidR="00B16AC4" w:rsidRPr="00B16AC4">
        <w:rPr>
          <w:rFonts w:cs="Times New Roman"/>
        </w:rPr>
        <w:t>often reported long-term complications such as penile deformity and urethral strictures, emphasizing the permanent sequelae of these injuries.</w:t>
      </w:r>
      <w:r w:rsidR="00B16AC4">
        <w:rPr>
          <w:rFonts w:cs="Times New Roman"/>
        </w:rPr>
        <w:t xml:space="preserve"> </w:t>
      </w:r>
    </w:p>
    <w:p w14:paraId="33BCD3CC" w14:textId="77777777" w:rsidR="006C5578" w:rsidRPr="006C5578" w:rsidRDefault="00B16AC4" w:rsidP="00FF23CF">
      <w:pPr>
        <w:spacing w:after="0" w:line="480" w:lineRule="auto"/>
        <w:ind w:firstLine="630"/>
        <w:jc w:val="both"/>
        <w:rPr>
          <w:rFonts w:cs="Times New Roman"/>
        </w:rPr>
      </w:pPr>
      <w:r w:rsidRPr="00B16AC4">
        <w:rPr>
          <w:rFonts w:cs="Times New Roman"/>
        </w:rPr>
        <w:t>The review discusses the medicolegal problems of injury in circumcision and the clinical results. In forensic investigation of penile necrosis cases, these complications are often involved in malpractice investigation</w:t>
      </w:r>
      <w:r w:rsidR="006C5578" w:rsidRPr="006C5578">
        <w:rPr>
          <w:rFonts w:cs="Times New Roman"/>
        </w:rPr>
        <w:t xml:space="preserve"> </w:t>
      </w:r>
      <w:r>
        <w:rPr>
          <w:rFonts w:cs="Times New Roman"/>
        </w:rPr>
        <w:t xml:space="preserve">(50). </w:t>
      </w:r>
      <w:r w:rsidRPr="00B16AC4">
        <w:rPr>
          <w:rFonts w:cs="Times New Roman"/>
        </w:rPr>
        <w:t>The main causes for liability in legal studies are poor training, improper technique and lack of informed consent</w:t>
      </w:r>
      <w:r w:rsidR="006C5578" w:rsidRPr="006C5578">
        <w:rPr>
          <w:rFonts w:cs="Times New Roman"/>
        </w:rPr>
        <w:t xml:space="preserve"> </w:t>
      </w:r>
      <w:r>
        <w:rPr>
          <w:rFonts w:cs="Times New Roman"/>
        </w:rPr>
        <w:t>(54-56)</w:t>
      </w:r>
      <w:r w:rsidR="006C5578" w:rsidRPr="006C5578">
        <w:rPr>
          <w:rFonts w:cs="Times New Roman"/>
        </w:rPr>
        <w:t xml:space="preserve">. </w:t>
      </w:r>
      <w:r w:rsidRPr="00B16AC4">
        <w:rPr>
          <w:rFonts w:cs="Times New Roman"/>
        </w:rPr>
        <w:t>These findings are consistent with the broader malpractice literature that suggests preventable surgical errors are a significant contributor to claims</w:t>
      </w:r>
      <w:r>
        <w:rPr>
          <w:rFonts w:cs="Times New Roman"/>
        </w:rPr>
        <w:t xml:space="preserve"> (76-78)</w:t>
      </w:r>
      <w:r w:rsidR="006C5578" w:rsidRPr="006C5578">
        <w:rPr>
          <w:rFonts w:cs="Times New Roman"/>
        </w:rPr>
        <w:t>.</w:t>
      </w:r>
    </w:p>
    <w:p w14:paraId="6E15FF64" w14:textId="77777777" w:rsidR="006C5578" w:rsidRPr="006C5578" w:rsidRDefault="005E0D25" w:rsidP="00FF23CF">
      <w:pPr>
        <w:spacing w:after="0" w:line="480" w:lineRule="auto"/>
        <w:ind w:firstLine="630"/>
        <w:jc w:val="both"/>
        <w:rPr>
          <w:rFonts w:cs="Times New Roman"/>
        </w:rPr>
      </w:pPr>
      <w:r w:rsidRPr="005E0D25">
        <w:rPr>
          <w:rFonts w:cs="Times New Roman"/>
        </w:rPr>
        <w:lastRenderedPageBreak/>
        <w:t>The medicolegal risk does not exist only in certain contexts. The analysis of litigation also indicates that circumcision-related injuries can result in litigation even in well-regulated healthcare systems</w:t>
      </w:r>
      <w:r w:rsidR="006C5578" w:rsidRPr="006C5578">
        <w:rPr>
          <w:rFonts w:cs="Times New Roman"/>
        </w:rPr>
        <w:t xml:space="preserve"> </w:t>
      </w:r>
      <w:r>
        <w:rPr>
          <w:rFonts w:cs="Times New Roman"/>
        </w:rPr>
        <w:t>(57)</w:t>
      </w:r>
      <w:r w:rsidR="006C5578" w:rsidRPr="006C5578">
        <w:rPr>
          <w:rFonts w:cs="Times New Roman"/>
        </w:rPr>
        <w:t xml:space="preserve">, </w:t>
      </w:r>
      <w:r w:rsidRPr="005E0D25">
        <w:rPr>
          <w:rFonts w:cs="Times New Roman"/>
        </w:rPr>
        <w:t>highlighting the universal significance of adherence to procedural standards and principles of patient safety</w:t>
      </w:r>
      <w:r w:rsidR="006C5578" w:rsidRPr="006C5578">
        <w:rPr>
          <w:rFonts w:cs="Times New Roman"/>
        </w:rPr>
        <w:t xml:space="preserve"> </w:t>
      </w:r>
      <w:r>
        <w:rPr>
          <w:rFonts w:cs="Times New Roman"/>
        </w:rPr>
        <w:t>(79,80)</w:t>
      </w:r>
      <w:r w:rsidR="006C5578" w:rsidRPr="006C5578">
        <w:rPr>
          <w:rFonts w:cs="Times New Roman"/>
        </w:rPr>
        <w:t>.</w:t>
      </w:r>
    </w:p>
    <w:p w14:paraId="5CF387B4" w14:textId="77777777" w:rsidR="008D39E1" w:rsidRPr="008D39E1" w:rsidRDefault="008D39E1" w:rsidP="008D39E1">
      <w:pPr>
        <w:spacing w:after="0" w:line="480" w:lineRule="auto"/>
        <w:ind w:firstLine="630"/>
        <w:jc w:val="both"/>
        <w:rPr>
          <w:rFonts w:cs="Times New Roman"/>
        </w:rPr>
      </w:pPr>
      <w:r w:rsidRPr="008D39E1">
        <w:rPr>
          <w:rFonts w:cs="Times New Roman"/>
        </w:rPr>
        <w:t>The results of this review propose a unified conceptual framework in which iatrogenic glans injury may result from the interaction of procedural technique, operator skill, anatomical vulnerability and peri-operative management. This framework is consistent with broader models of surgical error that emphasize human and system level factors</w:t>
      </w:r>
      <w:r w:rsidR="006C5578" w:rsidRPr="006C5578">
        <w:rPr>
          <w:rFonts w:cs="Times New Roman"/>
        </w:rPr>
        <w:t xml:space="preserve"> </w:t>
      </w:r>
      <w:r>
        <w:rPr>
          <w:rFonts w:cs="Times New Roman"/>
        </w:rPr>
        <w:t>(81)</w:t>
      </w:r>
      <w:r w:rsidR="006C5578" w:rsidRPr="006C5578">
        <w:rPr>
          <w:rFonts w:cs="Times New Roman"/>
        </w:rPr>
        <w:t xml:space="preserve">. </w:t>
      </w:r>
      <w:r w:rsidRPr="008D39E1">
        <w:rPr>
          <w:rFonts w:cs="Times New Roman"/>
        </w:rPr>
        <w:t>In this context, most injuries seem preventable and there are calls for interventions such as structured training, tighter regulation and better standardization of procedures.</w:t>
      </w:r>
    </w:p>
    <w:p w14:paraId="05A9DF48" w14:textId="77777777" w:rsidR="008D39E1" w:rsidRPr="008D39E1" w:rsidRDefault="008D39E1" w:rsidP="008D39E1">
      <w:pPr>
        <w:spacing w:after="0" w:line="480" w:lineRule="auto"/>
        <w:ind w:firstLine="630"/>
        <w:jc w:val="both"/>
        <w:rPr>
          <w:rFonts w:cs="Times New Roman"/>
        </w:rPr>
      </w:pPr>
      <w:r>
        <w:rPr>
          <w:rFonts w:cs="Times New Roman"/>
        </w:rPr>
        <w:t>T</w:t>
      </w:r>
      <w:r w:rsidRPr="008D39E1">
        <w:rPr>
          <w:rFonts w:cs="Times New Roman"/>
        </w:rPr>
        <w:t>he review has several strengths but also some limitations. Reporting bias is possible for case reports and series. There is no prospective data to estimate incidence or risk. Differences in medicolegal and reporting systems may also affect comparability. However, the recurrence of several injury mechanisms across heterogeneous reports supports cautious interpretation of the overall patterns.</w:t>
      </w:r>
    </w:p>
    <w:p w14:paraId="60E78D4B" w14:textId="77777777" w:rsidR="004E7B29" w:rsidRDefault="008D39E1" w:rsidP="00492CB3">
      <w:pPr>
        <w:spacing w:after="0" w:line="480" w:lineRule="auto"/>
        <w:ind w:firstLine="630"/>
        <w:jc w:val="both"/>
        <w:rPr>
          <w:rFonts w:cs="Times New Roman"/>
        </w:rPr>
      </w:pPr>
      <w:r w:rsidRPr="008D39E1">
        <w:rPr>
          <w:rFonts w:cs="Times New Roman"/>
        </w:rPr>
        <w:t>Future studies should include prospective surveillance, standardized reporting systems and assessment of preventive strategies. Long-term functional and psychological outcomes are not reported in the current literature and further research is required</w:t>
      </w:r>
      <w:r w:rsidR="006C5578" w:rsidRPr="006C5578">
        <w:rPr>
          <w:rFonts w:cs="Times New Roman"/>
        </w:rPr>
        <w:t xml:space="preserve"> </w:t>
      </w:r>
      <w:r>
        <w:rPr>
          <w:rFonts w:cs="Times New Roman"/>
        </w:rPr>
        <w:t>(82)</w:t>
      </w:r>
      <w:r w:rsidR="006C5578" w:rsidRPr="006C5578">
        <w:rPr>
          <w:rFonts w:cs="Times New Roman"/>
        </w:rPr>
        <w:t>.</w:t>
      </w:r>
    </w:p>
    <w:p w14:paraId="2E2462AB" w14:textId="77777777" w:rsidR="004E7B29" w:rsidRDefault="004E7B29" w:rsidP="004E7B29">
      <w:pPr>
        <w:keepNext/>
        <w:keepLines/>
        <w:spacing w:before="160" w:after="80" w:line="480" w:lineRule="auto"/>
        <w:jc w:val="both"/>
        <w:rPr>
          <w:rFonts w:cs="Times New Roman"/>
          <w:b/>
          <w:bCs/>
        </w:rPr>
      </w:pPr>
      <w:r w:rsidRPr="004E7B29">
        <w:rPr>
          <w:rFonts w:eastAsia="Times New Roman" w:cs="Times New Roman"/>
          <w:b/>
          <w:bCs/>
        </w:rPr>
        <w:t>CONCLUSION</w:t>
      </w:r>
    </w:p>
    <w:p w14:paraId="44EA0D97" w14:textId="77777777" w:rsidR="008A5615" w:rsidRPr="008A5615" w:rsidRDefault="008A5615" w:rsidP="008A5615">
      <w:pPr>
        <w:spacing w:after="0" w:line="480" w:lineRule="auto"/>
        <w:ind w:firstLine="630"/>
        <w:jc w:val="both"/>
        <w:rPr>
          <w:rFonts w:cs="Times New Roman"/>
        </w:rPr>
      </w:pPr>
      <w:r w:rsidRPr="008A5615">
        <w:rPr>
          <w:rFonts w:cs="Times New Roman"/>
        </w:rPr>
        <w:t xml:space="preserve">Iatrogenic glans penis injury during circumcision is an uncommon but serious and potentially preventable complication with important clinical and medicolegal implications. This systematic review demonstrates that the clinical spectrum is from reversible ischemia to </w:t>
      </w:r>
      <w:r w:rsidRPr="008A5615">
        <w:rPr>
          <w:rFonts w:cs="Times New Roman"/>
        </w:rPr>
        <w:lastRenderedPageBreak/>
        <w:t>catastrophic outcomes, including partial or total amputation of glans and penis. This is typical for the mechanical and vascular injury pathways.</w:t>
      </w:r>
    </w:p>
    <w:p w14:paraId="62184108" w14:textId="77777777" w:rsidR="008A5615" w:rsidRPr="008A5615" w:rsidRDefault="008A5615" w:rsidP="008A5615">
      <w:pPr>
        <w:spacing w:after="0" w:line="480" w:lineRule="auto"/>
        <w:ind w:firstLine="630"/>
        <w:jc w:val="both"/>
        <w:rPr>
          <w:rFonts w:cs="Times New Roman"/>
        </w:rPr>
      </w:pPr>
      <w:r w:rsidRPr="008A5615">
        <w:rPr>
          <w:rFonts w:cs="Times New Roman"/>
        </w:rPr>
        <w:t>The main mechanisms and risk factors of these injuries included poor visualization of the glans, unsafe or blind surgical techniques, misuse of devices, and insufficient operator competency. These complications are important because they occur in both traditional and formal health care settings, indicating that procedural safety is a function of technical skill and adherence to standards and not the setting per se.</w:t>
      </w:r>
    </w:p>
    <w:p w14:paraId="5783AE51" w14:textId="77777777" w:rsidR="008A5615" w:rsidRPr="008A5615" w:rsidRDefault="008A5615" w:rsidP="008A5615">
      <w:pPr>
        <w:spacing w:after="0" w:line="480" w:lineRule="auto"/>
        <w:ind w:firstLine="630"/>
        <w:jc w:val="both"/>
        <w:rPr>
          <w:rFonts w:cs="Times New Roman"/>
        </w:rPr>
      </w:pPr>
      <w:r w:rsidRPr="008A5615">
        <w:rPr>
          <w:rFonts w:cs="Times New Roman"/>
        </w:rPr>
        <w:t>These injuries are substantially due to identifiable and preventable errors and therefore fall within the realm of preventable iatrogenic harm and possible medical negligence. The clinical and medicolegal evidence suggests that failure to provide adequate training, choose the appropriate technique and obtain informed consent puts the patient at risk and opens the doctor to legal liability.</w:t>
      </w:r>
    </w:p>
    <w:p w14:paraId="71C32E2B" w14:textId="77777777" w:rsidR="00FA7739" w:rsidRPr="00492CB3" w:rsidRDefault="008A5615" w:rsidP="00492CB3">
      <w:pPr>
        <w:spacing w:after="0" w:line="480" w:lineRule="auto"/>
        <w:ind w:firstLine="630"/>
        <w:jc w:val="both"/>
        <w:rPr>
          <w:rFonts w:cs="Times New Roman"/>
        </w:rPr>
      </w:pPr>
      <w:r w:rsidRPr="008A5615">
        <w:rPr>
          <w:rFonts w:cs="Times New Roman"/>
        </w:rPr>
        <w:t>The results collectively support a conceptual model of iatrogenic glans injury during circumcision as a confluence of procedural, operator, anatomical and system factors. Better training, enforcement of scope of practice regulations, standardization of techniques and emphasis on anatomical safety can decrease clinical complications and medicolegal risk.</w:t>
      </w:r>
    </w:p>
    <w:p w14:paraId="67CF122B" w14:textId="77777777" w:rsidR="00CD0124" w:rsidRDefault="005F327B" w:rsidP="00492CB3">
      <w:pPr>
        <w:spacing w:after="0" w:line="480" w:lineRule="auto"/>
        <w:jc w:val="both"/>
        <w:rPr>
          <w:rFonts w:cs="Times New Roman"/>
        </w:rPr>
      </w:pPr>
      <w:r w:rsidRPr="00492CB3">
        <w:rPr>
          <w:rFonts w:cs="Times New Roman"/>
          <w:b/>
          <w:bCs/>
        </w:rPr>
        <w:t>Clinical trial number</w:t>
      </w:r>
      <w:r>
        <w:rPr>
          <w:rFonts w:cs="Times New Roman"/>
        </w:rPr>
        <w:t>: Not applicable.</w:t>
      </w:r>
    </w:p>
    <w:p w14:paraId="0DF8E0DA" w14:textId="77777777" w:rsidR="00CD0124" w:rsidRDefault="005F327B">
      <w:pPr>
        <w:keepNext/>
        <w:keepLines/>
        <w:spacing w:before="160" w:after="80" w:line="480" w:lineRule="auto"/>
        <w:jc w:val="both"/>
        <w:rPr>
          <w:rFonts w:cs="Times New Roman"/>
          <w:b/>
          <w:bCs/>
        </w:rPr>
      </w:pPr>
      <w:r>
        <w:rPr>
          <w:rFonts w:eastAsia="Times New Roman" w:cs="Times New Roman"/>
          <w:b/>
        </w:rPr>
        <w:t>DECLARATIONS</w:t>
      </w:r>
    </w:p>
    <w:p w14:paraId="1FD6CDE2" w14:textId="77777777" w:rsidR="00CD0124" w:rsidRDefault="00BA2CA9">
      <w:pPr>
        <w:spacing w:after="0" w:line="480" w:lineRule="auto"/>
        <w:ind w:firstLine="630"/>
        <w:jc w:val="both"/>
        <w:rPr>
          <w:rFonts w:cs="Times New Roman"/>
        </w:rPr>
      </w:pPr>
      <w:r>
        <w:rPr>
          <w:rFonts w:cs="Times New Roman"/>
        </w:rPr>
        <w:t>Ethics approval and consent to participate: Not applicable. This systematic review synthesized previously published studies and involved no new recruitment of participants or collection of identifiable individual data.</w:t>
      </w:r>
    </w:p>
    <w:p w14:paraId="0EA523E8" w14:textId="77777777" w:rsidR="00804EA7" w:rsidRDefault="00000000">
      <w:pPr>
        <w:spacing w:line="480" w:lineRule="auto"/>
      </w:pPr>
      <w:r>
        <w:rPr>
          <w:rFonts w:cs="Times New Roman"/>
        </w:rPr>
        <w:t>Consent for publication: Not applicable.</w:t>
      </w:r>
    </w:p>
    <w:p w14:paraId="705F35B9" w14:textId="77777777" w:rsidR="00804EA7" w:rsidRDefault="00000000">
      <w:pPr>
        <w:spacing w:line="480" w:lineRule="auto"/>
      </w:pPr>
      <w:r w:rsidRPr="00492CB3">
        <w:rPr>
          <w:b/>
          <w:bCs/>
        </w:rPr>
        <w:t>Funding</w:t>
      </w:r>
      <w:r>
        <w:t>: No specific grant or external funding was reported for this systematic review.</w:t>
      </w:r>
    </w:p>
    <w:p w14:paraId="0F9CEE20" w14:textId="77777777" w:rsidR="00804EA7" w:rsidRDefault="00000000" w:rsidP="00492CB3">
      <w:pPr>
        <w:spacing w:line="480" w:lineRule="auto"/>
        <w:jc w:val="both"/>
      </w:pPr>
      <w:r w:rsidRPr="00492CB3">
        <w:rPr>
          <w:b/>
          <w:bCs/>
        </w:rPr>
        <w:lastRenderedPageBreak/>
        <w:t>Conflict of interest</w:t>
      </w:r>
      <w:r>
        <w:t>: The authors declare that they have no competing financial or non-financial interests related to this work.</w:t>
      </w:r>
    </w:p>
    <w:p w14:paraId="1267F51B" w14:textId="77777777" w:rsidR="00804EA7" w:rsidRDefault="00000000" w:rsidP="00492CB3">
      <w:pPr>
        <w:spacing w:line="480" w:lineRule="auto"/>
        <w:jc w:val="both"/>
      </w:pPr>
      <w:r w:rsidRPr="00492CB3">
        <w:rPr>
          <w:rFonts w:cs="Times New Roman"/>
          <w:b/>
          <w:bCs/>
        </w:rPr>
        <w:t>Data availability</w:t>
      </w:r>
      <w:r>
        <w:rPr>
          <w:rFonts w:cs="Times New Roman"/>
        </w:rPr>
        <w:t>: Data synthesized in this review were derived from the published studies cited in the manuscript. Extracted study characteristics and appraisal results are reported in the article tables and figures.</w:t>
      </w:r>
    </w:p>
    <w:p w14:paraId="3932B81E" w14:textId="77777777" w:rsidR="00804EA7" w:rsidRDefault="00000000">
      <w:pPr>
        <w:spacing w:line="480" w:lineRule="auto"/>
      </w:pPr>
      <w:r w:rsidRPr="00492CB3">
        <w:rPr>
          <w:b/>
          <w:bCs/>
        </w:rPr>
        <w:t>Systematic review registration</w:t>
      </w:r>
      <w:r>
        <w:t>: Not registered.</w:t>
      </w:r>
    </w:p>
    <w:p w14:paraId="69CE3049" w14:textId="77777777" w:rsidR="00CD0124" w:rsidRPr="00492CB3" w:rsidRDefault="00000000" w:rsidP="00492CB3">
      <w:pPr>
        <w:spacing w:line="480" w:lineRule="auto"/>
        <w:jc w:val="both"/>
      </w:pPr>
      <w:r w:rsidRPr="00492CB3">
        <w:rPr>
          <w:rFonts w:cs="Times New Roman"/>
          <w:b/>
          <w:bCs/>
        </w:rPr>
        <w:t>Generative AI disclosure</w:t>
      </w:r>
      <w:r>
        <w:rPr>
          <w:rFonts w:cs="Times New Roman"/>
        </w:rPr>
        <w:t>: During preparation of the revised manuscript, ChatGPT (OpenAI) was used for English-language editing. The authors must review and approve all final content and remain fully responsible for the manuscript.</w:t>
      </w:r>
    </w:p>
    <w:p w14:paraId="261F551C" w14:textId="77777777" w:rsidR="00CD0124" w:rsidRDefault="005F327B">
      <w:pPr>
        <w:keepNext/>
        <w:keepLines/>
        <w:spacing w:before="160" w:after="80" w:line="480" w:lineRule="auto"/>
        <w:jc w:val="both"/>
        <w:rPr>
          <w:rFonts w:cs="Times New Roman"/>
          <w:b/>
          <w:bCs/>
        </w:rPr>
      </w:pPr>
      <w:r>
        <w:rPr>
          <w:rFonts w:eastAsia="Times New Roman" w:cs="Times New Roman"/>
          <w:b/>
        </w:rPr>
        <w:t>LIST OF ABBREVIATIONS</w:t>
      </w:r>
    </w:p>
    <w:p w14:paraId="1B10DEED" w14:textId="77777777" w:rsidR="00CD0124" w:rsidRDefault="005F327B">
      <w:pPr>
        <w:spacing w:after="0" w:line="480" w:lineRule="auto"/>
        <w:jc w:val="both"/>
        <w:rPr>
          <w:rFonts w:cs="Times New Roman"/>
        </w:rPr>
      </w:pPr>
      <w:r>
        <w:rPr>
          <w:rFonts w:cs="Times New Roman"/>
        </w:rPr>
        <w:t>HBOT: hyperbaric oxygen therapy</w:t>
      </w:r>
    </w:p>
    <w:p w14:paraId="7144F612" w14:textId="77777777" w:rsidR="00CD0124" w:rsidRDefault="005F327B">
      <w:pPr>
        <w:spacing w:after="0" w:line="480" w:lineRule="auto"/>
        <w:jc w:val="both"/>
        <w:rPr>
          <w:rFonts w:cs="Times New Roman"/>
        </w:rPr>
      </w:pPr>
      <w:r>
        <w:rPr>
          <w:rFonts w:cs="Times New Roman"/>
        </w:rPr>
        <w:t>JBI: Joanna Briggs Institute</w:t>
      </w:r>
    </w:p>
    <w:p w14:paraId="7DA117C8" w14:textId="77777777" w:rsidR="00CD0124" w:rsidRDefault="005F327B">
      <w:pPr>
        <w:spacing w:after="0" w:line="480" w:lineRule="auto"/>
        <w:jc w:val="both"/>
        <w:rPr>
          <w:rFonts w:cs="Times New Roman"/>
        </w:rPr>
      </w:pPr>
      <w:proofErr w:type="spellStart"/>
      <w:r>
        <w:rPr>
          <w:rFonts w:cs="Times New Roman"/>
        </w:rPr>
        <w:t>MeSH</w:t>
      </w:r>
      <w:proofErr w:type="spellEnd"/>
      <w:r>
        <w:rPr>
          <w:rFonts w:cs="Times New Roman"/>
        </w:rPr>
        <w:t>: Medical Subject Headings</w:t>
      </w:r>
    </w:p>
    <w:p w14:paraId="281A4E9E" w14:textId="77777777" w:rsidR="00CD0124" w:rsidRDefault="005F327B">
      <w:pPr>
        <w:spacing w:after="0" w:line="480" w:lineRule="auto"/>
        <w:jc w:val="both"/>
        <w:rPr>
          <w:rFonts w:cs="Times New Roman"/>
        </w:rPr>
      </w:pPr>
      <w:r>
        <w:rPr>
          <w:rFonts w:cs="Times New Roman"/>
        </w:rPr>
        <w:t>PRISMA: Preferred Reporting Items for Systematic Reviews and Meta-Analyses</w:t>
      </w:r>
    </w:p>
    <w:p w14:paraId="1446B9B9" w14:textId="77777777" w:rsidR="00CD0124" w:rsidRDefault="005F327B" w:rsidP="00492CB3">
      <w:pPr>
        <w:spacing w:after="0" w:line="480" w:lineRule="auto"/>
        <w:jc w:val="both"/>
        <w:rPr>
          <w:rFonts w:cs="Times New Roman"/>
        </w:rPr>
      </w:pPr>
      <w:r>
        <w:rPr>
          <w:rFonts w:cs="Times New Roman"/>
        </w:rPr>
        <w:t>VMMC: voluntary medical male circumcision</w:t>
      </w:r>
    </w:p>
    <w:p w14:paraId="784FBC21" w14:textId="77777777" w:rsidR="009E6DF1" w:rsidRDefault="006843C0" w:rsidP="0065179B">
      <w:pPr>
        <w:keepNext/>
        <w:keepLines/>
        <w:spacing w:before="160" w:after="80" w:line="480" w:lineRule="auto"/>
        <w:rPr>
          <w:rFonts w:cs="Times New Roman"/>
          <w:b/>
          <w:bCs/>
        </w:rPr>
      </w:pPr>
      <w:r w:rsidRPr="006843C0">
        <w:rPr>
          <w:rFonts w:eastAsia="Times New Roman" w:cs="Times New Roman"/>
          <w:b/>
          <w:bCs/>
        </w:rPr>
        <w:t>REFERENCES</w:t>
      </w:r>
    </w:p>
    <w:p w14:paraId="25F13A99" w14:textId="77777777" w:rsidR="00CF70CD" w:rsidRDefault="00000000" w:rsidP="004E5D67">
      <w:pPr>
        <w:spacing w:after="80" w:line="276" w:lineRule="auto"/>
        <w:ind w:left="480" w:hanging="480"/>
        <w:jc w:val="both"/>
      </w:pPr>
      <w:r>
        <w:rPr>
          <w:rFonts w:cs="Times New Roman"/>
          <w:sz w:val="22"/>
        </w:rPr>
        <w:t>1. Highton M, Joseph R, Dyer N, Haydon D. Snip the Tip: Infant Male Circumcision and Religious, Cultural, and Health Agendas. J. Pediatr. Surg. Nurs. 2022;11(4):137-144. doi: 10.1097/JPS.0000000000000355.</w:t>
      </w:r>
    </w:p>
    <w:p w14:paraId="3261B5C2" w14:textId="77777777" w:rsidR="00CF70CD" w:rsidRDefault="00000000" w:rsidP="004E5D67">
      <w:pPr>
        <w:spacing w:after="80" w:line="276" w:lineRule="auto"/>
        <w:ind w:left="480" w:hanging="480"/>
        <w:jc w:val="both"/>
      </w:pPr>
      <w:r>
        <w:rPr>
          <w:rFonts w:cs="Times New Roman"/>
          <w:sz w:val="22"/>
        </w:rPr>
        <w:t>2. Militello C, Pais V. Male Circumcision: History of Current Surgical Practice. In: Zaghal A, Safadi A, editors. Circumcision - Advances and New Perspectives. London: IntechOpen; 2023. doi: 10.5772/intechopen.106533.</w:t>
      </w:r>
    </w:p>
    <w:p w14:paraId="69869377" w14:textId="77777777" w:rsidR="00CF70CD" w:rsidRDefault="00000000" w:rsidP="004E5D67">
      <w:pPr>
        <w:spacing w:after="80" w:line="276" w:lineRule="auto"/>
        <w:ind w:left="480" w:hanging="480"/>
        <w:jc w:val="both"/>
      </w:pPr>
      <w:r>
        <w:rPr>
          <w:rFonts w:cs="Times New Roman"/>
          <w:sz w:val="22"/>
        </w:rPr>
        <w:t>3. Razzaque A, Islam T, Rahman AKMM, Poly NN, Saha DK. Comparative Study of Circumcision. SAS Journal of Surgery. 2024;10(09):1065-1071. doi: 10.36347/sasjs.2024.v10i09.011.</w:t>
      </w:r>
    </w:p>
    <w:p w14:paraId="6AD41AB6" w14:textId="77777777" w:rsidR="00CF70CD" w:rsidRDefault="00000000" w:rsidP="004E5D67">
      <w:pPr>
        <w:spacing w:after="80" w:line="276" w:lineRule="auto"/>
        <w:ind w:left="480" w:hanging="480"/>
        <w:jc w:val="both"/>
      </w:pPr>
      <w:r>
        <w:rPr>
          <w:rFonts w:cs="Times New Roman"/>
          <w:sz w:val="22"/>
        </w:rPr>
        <w:t>4. Schröder A, Farhat WA, Chiasson D, Wilson GJ, Koyle MA. Serious and Fatal Complications after Neonatal Circumcision. Eur. Urol. Focus. 2022;8(5):1560-1563. doi: 10.1016/j.euf.2021.12.005.</w:t>
      </w:r>
    </w:p>
    <w:p w14:paraId="6611BA31" w14:textId="77777777" w:rsidR="00CF70CD" w:rsidRDefault="00000000" w:rsidP="004E5D67">
      <w:pPr>
        <w:spacing w:after="80" w:line="276" w:lineRule="auto"/>
        <w:ind w:left="480" w:hanging="480"/>
        <w:jc w:val="both"/>
      </w:pPr>
      <w:r>
        <w:rPr>
          <w:rFonts w:cs="Times New Roman"/>
          <w:sz w:val="22"/>
        </w:rPr>
        <w:lastRenderedPageBreak/>
        <w:t>5. Dhaliwal K, Dor K, George M, Wei X. Complications Associated With Circumcision in a Community-Based Hospital. PRiMER. 2025;9. doi: 10.22454/primer.2025.923856.</w:t>
      </w:r>
    </w:p>
    <w:p w14:paraId="5120D03A" w14:textId="77777777" w:rsidR="00CF70CD" w:rsidRDefault="00000000" w:rsidP="004E5D67">
      <w:pPr>
        <w:spacing w:after="80" w:line="276" w:lineRule="auto"/>
        <w:ind w:left="480" w:hanging="480"/>
        <w:jc w:val="both"/>
      </w:pPr>
      <w:r>
        <w:rPr>
          <w:rFonts w:cs="Times New Roman"/>
          <w:sz w:val="22"/>
        </w:rPr>
        <w:t>6. Herawati E, Dwiarie TA. Temuan klinis dan manajemen kasus ulserasi rongga mulut terkait trauma iatrogenik. Jurnal Kedokteran Gigi Universitas Padjadjaran. 2019;31(2):102-107. doi: 10.24198/jkg.v31i2.18083.</w:t>
      </w:r>
    </w:p>
    <w:p w14:paraId="72E12685" w14:textId="77777777" w:rsidR="00CF70CD" w:rsidRDefault="00000000" w:rsidP="004E5D67">
      <w:pPr>
        <w:spacing w:after="80" w:line="276" w:lineRule="auto"/>
        <w:ind w:left="480" w:hanging="480"/>
        <w:jc w:val="both"/>
      </w:pPr>
      <w:r>
        <w:rPr>
          <w:rFonts w:cs="Times New Roman"/>
          <w:sz w:val="22"/>
        </w:rPr>
        <w:t>7. Hakim MBI, Nur Budaya T, Daryanto B. Iatrogenic Penile Amputation Due to Circumcision Clamp in an Eight-Year-Old Boy. Jurnal Kedokteran Brawijaya. 2023;265-268. doi: 10.21776/ub.jkb.2023.032.04.12.</w:t>
      </w:r>
    </w:p>
    <w:p w14:paraId="428FBA45" w14:textId="77777777" w:rsidR="00CF70CD" w:rsidRDefault="00000000" w:rsidP="004E5D67">
      <w:pPr>
        <w:spacing w:after="80" w:line="276" w:lineRule="auto"/>
        <w:ind w:left="480" w:hanging="480"/>
        <w:jc w:val="both"/>
      </w:pPr>
      <w:r>
        <w:rPr>
          <w:rFonts w:cs="Times New Roman"/>
          <w:sz w:val="22"/>
        </w:rPr>
        <w:t>8. Harrington SA, MacDonald SM. A Narrative Review of Penile Entrapment Injuries and Practical Approach to Removal. JU Open Plus. 2025;3(5). Available from: https://journals.lww.com/juop/fulltext/2025/05000/a_narrative_review_of_penile_entrapment_injuries.3.aspx</w:t>
      </w:r>
    </w:p>
    <w:p w14:paraId="1EE9CFF2" w14:textId="77777777" w:rsidR="00CF70CD" w:rsidRDefault="00000000" w:rsidP="004E5D67">
      <w:pPr>
        <w:spacing w:after="80" w:line="276" w:lineRule="auto"/>
        <w:ind w:left="480" w:hanging="480"/>
        <w:jc w:val="both"/>
      </w:pPr>
      <w:r>
        <w:rPr>
          <w:rFonts w:cs="Times New Roman"/>
          <w:sz w:val="22"/>
        </w:rPr>
        <w:t>9. Lucas TJ, Toledo C, Davis SM, Watts DH, Cavanaugh JS, Kiggundu V, et al. Case series of glans injuries during voluntary medical male circumcision for HIV prevention - Eastern and southern Africa, 2015-2018. BMC Urol. 2020;20(1). doi: 10.1186/s12894-020-00613-6.</w:t>
      </w:r>
    </w:p>
    <w:p w14:paraId="0ADB3974" w14:textId="77777777" w:rsidR="00CF70CD" w:rsidRDefault="00000000" w:rsidP="004E5D67">
      <w:pPr>
        <w:spacing w:after="80" w:line="276" w:lineRule="auto"/>
        <w:ind w:left="480" w:hanging="480"/>
        <w:jc w:val="both"/>
      </w:pPr>
      <w:r>
        <w:rPr>
          <w:rFonts w:cs="Times New Roman"/>
          <w:sz w:val="22"/>
        </w:rPr>
        <w:t>10. Tanyi OA, Aurele MA, Junior MM, Cedrick FJ, Abessolo O, Jacques NJ, et al. Traumatic Penile Amputation Post Circumcision: A Series of 3 Cases. Open Journal of Urology. 2023;13(11):517-524. doi: 10.4236/oju.2023.1311057.</w:t>
      </w:r>
    </w:p>
    <w:p w14:paraId="1737D602" w14:textId="77777777" w:rsidR="00CF70CD" w:rsidRDefault="00000000" w:rsidP="004E5D67">
      <w:pPr>
        <w:spacing w:after="80" w:line="276" w:lineRule="auto"/>
        <w:ind w:left="480" w:hanging="480"/>
        <w:jc w:val="both"/>
      </w:pPr>
      <w:r>
        <w:rPr>
          <w:rFonts w:cs="Times New Roman"/>
          <w:sz w:val="22"/>
        </w:rPr>
        <w:t>11. Reddy SVK, Shaik AB, Sreenivas K. Penile injuries: A 10-year experience. Canadian Urological Association Journal. 2014;8(9-10):e626-e631. doi: 10.5489/cuaj.1821.</w:t>
      </w:r>
    </w:p>
    <w:p w14:paraId="5419CD69" w14:textId="77777777" w:rsidR="00CF70CD" w:rsidRDefault="00000000" w:rsidP="004E5D67">
      <w:pPr>
        <w:spacing w:after="80" w:line="276" w:lineRule="auto"/>
        <w:ind w:left="480" w:hanging="480"/>
        <w:jc w:val="both"/>
      </w:pPr>
      <w:r>
        <w:rPr>
          <w:rFonts w:cs="Times New Roman"/>
          <w:sz w:val="22"/>
        </w:rPr>
        <w:t>12. Oranusi CK, Nwofor AME. Traumatic penile injuries: Mechanisms and problems of treatment in a tertiary institution in Nigeria. Niger. J. Clin. Pract. 2015;17(6):763-766. doi: 10.4314/njcp.v17i6.</w:t>
      </w:r>
    </w:p>
    <w:p w14:paraId="7CEA284E" w14:textId="77777777" w:rsidR="00CF70CD" w:rsidRDefault="00000000" w:rsidP="004E5D67">
      <w:pPr>
        <w:spacing w:after="80" w:line="276" w:lineRule="auto"/>
        <w:ind w:left="480" w:hanging="480"/>
        <w:jc w:val="both"/>
      </w:pPr>
      <w:r>
        <w:rPr>
          <w:rFonts w:cs="Times New Roman"/>
          <w:sz w:val="22"/>
        </w:rPr>
        <w:t>13. Seleim HM, Elbarbary MM. Major penile injuries as a result of cautery during newborn circumcision. J. Pediatr. Surg. 2016;51(9):1532-1537. doi: 10.1016/j.jpedsurg.2016.04.014.</w:t>
      </w:r>
    </w:p>
    <w:p w14:paraId="3E193F82" w14:textId="77777777" w:rsidR="00CF70CD" w:rsidRDefault="00000000" w:rsidP="004E5D67">
      <w:pPr>
        <w:spacing w:after="80" w:line="276" w:lineRule="auto"/>
        <w:ind w:left="480" w:hanging="480"/>
        <w:jc w:val="both"/>
      </w:pPr>
      <w:r>
        <w:rPr>
          <w:rFonts w:cs="Times New Roman"/>
          <w:sz w:val="22"/>
        </w:rPr>
        <w:t>14. Fahmy MAB. Chapter 12 - Post-Male Circumcision Penile Injuries. In: Fahmy MAB, editors. Complications in Male Circumcision. Elsevier; 2019. p. 145-169. doi: 10.1016/B978-0-323-68127-8.00012-0.</w:t>
      </w:r>
    </w:p>
    <w:p w14:paraId="69A62BC6" w14:textId="77777777" w:rsidR="00CF70CD" w:rsidRDefault="00000000" w:rsidP="004E5D67">
      <w:pPr>
        <w:spacing w:after="80" w:line="276" w:lineRule="auto"/>
        <w:ind w:left="480" w:hanging="480"/>
        <w:jc w:val="both"/>
      </w:pPr>
      <w:r>
        <w:rPr>
          <w:rFonts w:cs="Times New Roman"/>
          <w:sz w:val="22"/>
        </w:rPr>
        <w:t>15. Derriks JHG, Hilgersom NFJ, Middelkoop E, Samuelsson K, Bekerom MPJ. Electrocautery in arthroscopic surgery: intra-articular fluid temperatures above 43 °C cause potential tissue damage. Knee Surgery, Sports Traumatology, Arthroscopy. 2020;28(7):2270-2278. doi: 10.1007/s00167-019-05574-4.</w:t>
      </w:r>
    </w:p>
    <w:p w14:paraId="26EA4B0F" w14:textId="77777777" w:rsidR="00CF70CD" w:rsidRDefault="00000000" w:rsidP="004E5D67">
      <w:pPr>
        <w:spacing w:after="80" w:line="276" w:lineRule="auto"/>
        <w:ind w:left="480" w:hanging="480"/>
        <w:jc w:val="both"/>
      </w:pPr>
      <w:r>
        <w:rPr>
          <w:rFonts w:cs="Times New Roman"/>
          <w:sz w:val="22"/>
        </w:rPr>
        <w:t>16. Fırıncı B, Arslan R, Çağlar Ö, Ahıskalıoğlu A, Aydın MD. Hazardous Effects of Electrocautery on Penile Arteries: An Experimental Study. Journal of Dr Behcet Uz Children s Hospital. 2023;13(3):192-197. doi: 10.4274/jbuch.galenos.2023.56255.</w:t>
      </w:r>
    </w:p>
    <w:p w14:paraId="054E4928" w14:textId="77777777" w:rsidR="00CF70CD" w:rsidRDefault="00000000" w:rsidP="004E5D67">
      <w:pPr>
        <w:spacing w:after="80" w:line="276" w:lineRule="auto"/>
        <w:ind w:left="480" w:hanging="480"/>
        <w:jc w:val="both"/>
      </w:pPr>
      <w:r>
        <w:rPr>
          <w:rFonts w:cs="Times New Roman"/>
          <w:sz w:val="22"/>
        </w:rPr>
        <w:t>17. Kalyenci B, Benlioglu C, Ölçücü MT, Teke K, sever S, Çift A, et al. Retrospective Analysis of Clinical Results and Early Period Complications of Conventional Circumcision Techniques(CCT) and Thermocautery Assisted Circumcision(TAC). 2024. doi: 10.21203/rs.3.rs-3852778/v1.</w:t>
      </w:r>
    </w:p>
    <w:p w14:paraId="27593AAE" w14:textId="77777777" w:rsidR="00CF70CD" w:rsidRDefault="00000000" w:rsidP="004E5D67">
      <w:pPr>
        <w:spacing w:after="80" w:line="276" w:lineRule="auto"/>
        <w:ind w:left="480" w:hanging="480"/>
        <w:jc w:val="both"/>
      </w:pPr>
      <w:r>
        <w:rPr>
          <w:rFonts w:cs="Times New Roman"/>
          <w:sz w:val="22"/>
        </w:rPr>
        <w:t>18. Korets J, Li F. Complications in Anesthesia. In: Argalious M, Farag E, Sharma D, editors. Basic Sciences in Anesthesia. Cham: Springer Nature Switzerland; 2024. p. 519-542. doi: 10.1007/978-3-031-60203-0_28.</w:t>
      </w:r>
    </w:p>
    <w:p w14:paraId="252CF310" w14:textId="77777777" w:rsidR="00CF70CD" w:rsidRDefault="00000000" w:rsidP="004E5D67">
      <w:pPr>
        <w:spacing w:after="80" w:line="276" w:lineRule="auto"/>
        <w:ind w:left="480" w:hanging="480"/>
        <w:jc w:val="both"/>
      </w:pPr>
      <w:r>
        <w:rPr>
          <w:rFonts w:cs="Times New Roman"/>
          <w:sz w:val="22"/>
        </w:rPr>
        <w:lastRenderedPageBreak/>
        <w:t>19. Porzionato A, Macchi V, Stecco C, Boscolo-Berto R, Loukas M, Tubbs RS, et al. Clinical Anatomy and Medical Malpractice—A Narrative Review with Methodological Implications. Healthcare (Switzerland). MDPI. 2022;10(10). doi: 10.3390/healthcare10101915.</w:t>
      </w:r>
    </w:p>
    <w:p w14:paraId="48757C16" w14:textId="77777777" w:rsidR="00CF70CD" w:rsidRDefault="00000000" w:rsidP="004E5D67">
      <w:pPr>
        <w:spacing w:after="80" w:line="276" w:lineRule="auto"/>
        <w:ind w:left="480" w:hanging="480"/>
        <w:jc w:val="both"/>
      </w:pPr>
      <w:r>
        <w:rPr>
          <w:rFonts w:cs="Times New Roman"/>
          <w:sz w:val="22"/>
        </w:rPr>
        <w:t>20. Singh R, Yadav N, Pandey M, Jones DG. Is inadequate anatomical knowledge on the part of physicians hazardous for successful clinical practice?. Surgical and Radiologic Anatomy. 2022;44(1):83-92. doi: 10.1007/s00276-021-02875-7.</w:t>
      </w:r>
    </w:p>
    <w:p w14:paraId="5E263893" w14:textId="77777777" w:rsidR="00CF70CD" w:rsidRDefault="00000000" w:rsidP="004E5D67">
      <w:pPr>
        <w:spacing w:after="80" w:line="276" w:lineRule="auto"/>
        <w:ind w:left="480" w:hanging="480"/>
        <w:jc w:val="both"/>
      </w:pPr>
      <w:r>
        <w:rPr>
          <w:rFonts w:cs="Times New Roman"/>
          <w:sz w:val="22"/>
        </w:rPr>
        <w:t>21. Villanueva CA, Salevitz D. Gomco circumcision in the office in patients heavier than 5.5 Kg and/or older than 3 months. J. Pediatr. Urol. 2023;19(6):801.e1-801.e5. doi: 10.1016/j.jpurol.2023.08.005.</w:t>
      </w:r>
    </w:p>
    <w:p w14:paraId="7B553E68" w14:textId="77777777" w:rsidR="00CF70CD" w:rsidRDefault="00000000" w:rsidP="004E5D67">
      <w:pPr>
        <w:spacing w:after="80" w:line="276" w:lineRule="auto"/>
        <w:ind w:left="480" w:hanging="480"/>
        <w:jc w:val="both"/>
      </w:pPr>
      <w:r>
        <w:rPr>
          <w:rFonts w:cs="Times New Roman"/>
          <w:sz w:val="22"/>
        </w:rPr>
        <w:t>22. Boakye SA, Obeng F. Clinical outcomes of circumcisions and prevalence of complications of male circumcisions: A five-year retrospective analysis at a teaching hospital in Ghana. PLOS Global Public Health. 2025;5(2 February). doi: 10.1371/journal.pgph.0003788.</w:t>
      </w:r>
    </w:p>
    <w:p w14:paraId="10482846" w14:textId="77777777" w:rsidR="00CF70CD" w:rsidRDefault="00000000" w:rsidP="004E5D67">
      <w:pPr>
        <w:spacing w:after="80" w:line="276" w:lineRule="auto"/>
        <w:ind w:left="480" w:hanging="480"/>
        <w:jc w:val="both"/>
      </w:pPr>
      <w:r>
        <w:rPr>
          <w:rFonts w:cs="Times New Roman"/>
          <w:sz w:val="22"/>
        </w:rPr>
        <w:t>23. Cansaran S, Balcı Ö, Moralıoğlu S. Penile Skin Bridges After Circumcision and Penile Surgery: Surgical Management and Preventive Considerations. Ann. Plast. Surg. 2026;96(4). Available from: https://journals.lww.com/annalsplasticsurgery/fulltext/2026/04000/penile_skin_bridges_after_circumcision_and_penile.11.aspx</w:t>
      </w:r>
    </w:p>
    <w:p w14:paraId="3B3DCF16" w14:textId="77777777" w:rsidR="00CF70CD" w:rsidRDefault="00000000" w:rsidP="004E5D67">
      <w:pPr>
        <w:spacing w:after="80" w:line="276" w:lineRule="auto"/>
        <w:ind w:left="480" w:hanging="480"/>
        <w:jc w:val="both"/>
      </w:pPr>
      <w:r>
        <w:rPr>
          <w:rFonts w:cs="Times New Roman"/>
          <w:sz w:val="22"/>
        </w:rPr>
        <w:t>24. Adler PW. The Draft cdc Circumcision Recommendations: Medical, Ethical, Legal, and Procedural Concerns. The International Journal of Children's Rights. 2016;24(2):239-264. doi: 10.1163/15718182-02402001.</w:t>
      </w:r>
    </w:p>
    <w:p w14:paraId="4D3E47AC" w14:textId="77777777" w:rsidR="00CF70CD" w:rsidRDefault="00000000" w:rsidP="004E5D67">
      <w:pPr>
        <w:spacing w:after="80" w:line="276" w:lineRule="auto"/>
        <w:ind w:left="480" w:hanging="480"/>
        <w:jc w:val="both"/>
      </w:pPr>
      <w:r>
        <w:rPr>
          <w:rFonts w:cs="Times New Roman"/>
          <w:sz w:val="22"/>
        </w:rPr>
        <w:t>25. Mwesigwa H. TO CUT OR NOT TO CUT: INFANT MALE CIRCUMCISION AND HUMAN RIGHTS IN UGANDA. 208 East East African Journal of Peace &amp; Human Rights. [date unknown];30(2).</w:t>
      </w:r>
    </w:p>
    <w:p w14:paraId="695072AA" w14:textId="77777777" w:rsidR="00CF70CD" w:rsidRDefault="00000000" w:rsidP="004E5D67">
      <w:pPr>
        <w:spacing w:after="80" w:line="276" w:lineRule="auto"/>
        <w:ind w:left="480" w:hanging="480"/>
        <w:jc w:val="both"/>
      </w:pPr>
      <w:r>
        <w:rPr>
          <w:rFonts w:cs="Times New Roman"/>
          <w:sz w:val="22"/>
        </w:rPr>
        <w:t>26. Svoboda JS, Adler PW, Howe RS. Circumcision Is Unethical and Unlawful. Journal of Law, Medicine &amp; Ethics. 2016;44(2):263-282. doi: 10.1177/1073110516654120.</w:t>
      </w:r>
    </w:p>
    <w:p w14:paraId="4E4BD426" w14:textId="77777777" w:rsidR="00CF70CD" w:rsidRDefault="00000000" w:rsidP="004E5D67">
      <w:pPr>
        <w:spacing w:after="80" w:line="276" w:lineRule="auto"/>
        <w:ind w:left="480" w:hanging="480"/>
        <w:jc w:val="both"/>
      </w:pPr>
      <w:r>
        <w:rPr>
          <w:rFonts w:cs="Times New Roman"/>
          <w:sz w:val="22"/>
        </w:rPr>
        <w:t>27. Birkeland SF. Informed Consent Obtainment, Malpractice Litigation, and the Potential Role of Shared Decision-making Approaches. Eur. J. Health Law. 2017;24(3):264-284. doi: 10.1163/15718093-12341410.</w:t>
      </w:r>
    </w:p>
    <w:p w14:paraId="4E16A154" w14:textId="77777777" w:rsidR="00CF70CD" w:rsidRDefault="00000000" w:rsidP="004E5D67">
      <w:pPr>
        <w:spacing w:after="80" w:line="276" w:lineRule="auto"/>
        <w:ind w:left="480" w:hanging="480"/>
        <w:jc w:val="both"/>
      </w:pPr>
      <w:r>
        <w:rPr>
          <w:rFonts w:cs="Times New Roman"/>
          <w:sz w:val="22"/>
        </w:rPr>
        <w:t>28. Stępniak P. Medical error and negligence as a premise of liability for damage caused to patients. Journal of Health Inequalities. 2021;7(2):132-137. doi: 10.5114/jhi.2021.113165.</w:t>
      </w:r>
    </w:p>
    <w:p w14:paraId="5537E017" w14:textId="77777777" w:rsidR="00CF70CD" w:rsidRDefault="00000000" w:rsidP="004E5D67">
      <w:pPr>
        <w:spacing w:after="80" w:line="276" w:lineRule="auto"/>
        <w:ind w:left="480" w:hanging="480"/>
        <w:jc w:val="both"/>
      </w:pPr>
      <w:r>
        <w:rPr>
          <w:rFonts w:cs="Times New Roman"/>
          <w:sz w:val="22"/>
        </w:rPr>
        <w:t>29. Giudici-Wach K, Gillois P, Remen T, Claudot F. Learning from informed consent litigation to improve practices: A systematic review. Patient Educ. Couns. 2022;105(7):1714-1721. doi: 10.1016/j.pec.2021.10.009.</w:t>
      </w:r>
    </w:p>
    <w:p w14:paraId="5B9CC49F" w14:textId="77777777" w:rsidR="00CF70CD" w:rsidRDefault="00000000" w:rsidP="004E5D67">
      <w:pPr>
        <w:spacing w:after="80" w:line="276" w:lineRule="auto"/>
        <w:ind w:left="480" w:hanging="480"/>
        <w:jc w:val="both"/>
      </w:pPr>
      <w:r>
        <w:rPr>
          <w:rFonts w:cs="Times New Roman"/>
          <w:sz w:val="22"/>
        </w:rPr>
        <w:t>30. Pallocci M, Treglia M, Passalacqua P, Tittarelli R, Zanovello C, Luca L, et al. Informed Consent: Legal Obligation or Cornerstone of the Care Relationship?. Int. J. Environ. Res. Public Health. 2023;20(3). doi: 10.3390/ijerph20032118.</w:t>
      </w:r>
    </w:p>
    <w:p w14:paraId="282FE1AD" w14:textId="77777777" w:rsidR="00CF70CD" w:rsidRDefault="00000000" w:rsidP="004E5D67">
      <w:pPr>
        <w:spacing w:after="80" w:line="276" w:lineRule="auto"/>
        <w:ind w:left="480" w:hanging="480"/>
        <w:jc w:val="both"/>
      </w:pPr>
      <w:r>
        <w:rPr>
          <w:rFonts w:cs="Times New Roman"/>
          <w:sz w:val="22"/>
        </w:rPr>
        <w:t>31. Waters PM, DeMaso DR, Horgan JJ, Frick SL. How Surgeons and Surgical Leaders Manage Complications, Medical Errors, Malpractice, and Second Victim Syndrome. Journal of the Pediatric Orthopaedic Society of North America. 2025;11:100186. doi: 10.1016/j.jposna.2025.100186.</w:t>
      </w:r>
    </w:p>
    <w:p w14:paraId="4FF1827D" w14:textId="77777777" w:rsidR="00CF70CD" w:rsidRDefault="00000000" w:rsidP="004E5D67">
      <w:pPr>
        <w:spacing w:after="80" w:line="276" w:lineRule="auto"/>
        <w:ind w:left="480" w:hanging="480"/>
        <w:jc w:val="both"/>
      </w:pPr>
      <w:r>
        <w:rPr>
          <w:rFonts w:cs="Times New Roman"/>
          <w:sz w:val="22"/>
        </w:rPr>
        <w:t>32. Morris BJ, Wamai RG, Henebeng EB, Tobian AAR, Klausner JD, Banerjee J, et al. Estimation of country-specific and global prevalence of male circumcision. Popul. Health Metr. 2016;14(1):4. doi: 10.1186/s12963-016-0073-5.</w:t>
      </w:r>
    </w:p>
    <w:p w14:paraId="7F27CAAD" w14:textId="77777777" w:rsidR="00CF70CD" w:rsidRDefault="00000000" w:rsidP="004E5D67">
      <w:pPr>
        <w:spacing w:after="80" w:line="276" w:lineRule="auto"/>
        <w:ind w:left="480" w:hanging="480"/>
        <w:jc w:val="both"/>
      </w:pPr>
      <w:r>
        <w:rPr>
          <w:rFonts w:cs="Times New Roman"/>
          <w:sz w:val="22"/>
        </w:rPr>
        <w:lastRenderedPageBreak/>
        <w:t>33. Weiss HA, Larke N, Halperin D, Schenker I. Complications of circumcision in male neonates, infants and children: a systematic review. BMC Urol. 2010;10(1):2. doi: 10.1186/1471-2490-10-2.</w:t>
      </w:r>
    </w:p>
    <w:p w14:paraId="349743D0" w14:textId="77777777" w:rsidR="00CF70CD" w:rsidRDefault="00000000" w:rsidP="004E5D67">
      <w:pPr>
        <w:spacing w:after="80" w:line="276" w:lineRule="auto"/>
        <w:ind w:left="480" w:hanging="480"/>
        <w:jc w:val="both"/>
      </w:pPr>
      <w:r>
        <w:rPr>
          <w:rFonts w:cs="Times New Roman"/>
          <w:sz w:val="22"/>
        </w:rPr>
        <w:t>34. Krill AJ, Palmer LS, Palmer JS. Complications of Circumcision. The Scientific World Journal. 2011;11(1):373829. doi: 10.1100/2011/373829.</w:t>
      </w:r>
    </w:p>
    <w:p w14:paraId="2A114ADF" w14:textId="77777777" w:rsidR="00CF70CD" w:rsidRDefault="00000000" w:rsidP="004E5D67">
      <w:pPr>
        <w:spacing w:after="80" w:line="276" w:lineRule="auto"/>
        <w:ind w:left="480" w:hanging="480"/>
        <w:jc w:val="both"/>
      </w:pPr>
      <w:r>
        <w:rPr>
          <w:rFonts w:cs="Times New Roman"/>
          <w:sz w:val="22"/>
        </w:rPr>
        <w:t>35. Brook I. Infectious Complications of Circumcision and Their Prevention. Eur. Urol. Focus. 2016;2(4):453-459. doi: 10.1016/j.euf.2016.01.013.</w:t>
      </w:r>
    </w:p>
    <w:p w14:paraId="74720B59" w14:textId="77777777" w:rsidR="00CF70CD" w:rsidRDefault="00000000" w:rsidP="004E5D67">
      <w:pPr>
        <w:spacing w:after="80" w:line="276" w:lineRule="auto"/>
        <w:ind w:left="480" w:hanging="480"/>
        <w:jc w:val="both"/>
      </w:pPr>
      <w:r>
        <w:rPr>
          <w:rFonts w:cs="Times New Roman"/>
          <w:sz w:val="22"/>
        </w:rPr>
        <w:t>36. Page MJ, McKenzie JE, Bossuyt PM, Boutron I, Hoffmann TC, Mulrow CD, et al. The PRISMA 2020 statement: An updated guideline for reporting systematic reviews. The BMJ. 2021;372. doi: 10.1136/bmj.n71.</w:t>
      </w:r>
    </w:p>
    <w:p w14:paraId="562A5A54" w14:textId="77777777" w:rsidR="00CF70CD" w:rsidRDefault="00000000" w:rsidP="004E5D67">
      <w:pPr>
        <w:spacing w:after="80" w:line="276" w:lineRule="auto"/>
        <w:ind w:left="480" w:hanging="480"/>
        <w:jc w:val="both"/>
      </w:pPr>
      <w:r>
        <w:rPr>
          <w:rFonts w:cs="Times New Roman"/>
          <w:sz w:val="22"/>
        </w:rPr>
        <w:t>37. Ceylan K, Burhan KL, Yilmaz Y, Can A, Kuş A, Mustafa G. Severe complications of circumcision: An analysis of 48 cases. J. Pediatr. Urol. 2007;3(1):32-35. doi: 10.1016/j.jpurol.2006.02.009.</w:t>
      </w:r>
    </w:p>
    <w:p w14:paraId="31D8323E" w14:textId="77777777" w:rsidR="00CF70CD" w:rsidRDefault="00000000" w:rsidP="004E5D67">
      <w:pPr>
        <w:spacing w:after="80" w:line="276" w:lineRule="auto"/>
        <w:ind w:left="480" w:hanging="480"/>
        <w:jc w:val="both"/>
      </w:pPr>
      <w:r>
        <w:rPr>
          <w:rFonts w:cs="Times New Roman"/>
          <w:sz w:val="22"/>
        </w:rPr>
        <w:t>38. Ahmed F, Al-Wageeh S, Al-Shami E, Al-Naggar K, Askarpour MR, Naji M. Penile Injury During Ritual Circumcision. Res. Rep. Neonatol. 2020;Volume 10:95-99. doi: 10.2147/rrn.s281896.</w:t>
      </w:r>
    </w:p>
    <w:p w14:paraId="4E0C3350" w14:textId="77777777" w:rsidR="00CF70CD" w:rsidRDefault="00000000" w:rsidP="004E5D67">
      <w:pPr>
        <w:spacing w:after="80" w:line="276" w:lineRule="auto"/>
        <w:ind w:left="480" w:hanging="480"/>
        <w:jc w:val="both"/>
      </w:pPr>
      <w:r>
        <w:rPr>
          <w:rFonts w:cs="Times New Roman"/>
          <w:sz w:val="22"/>
        </w:rPr>
        <w:t>39. Akakpo-Numado KG, Kouevi-Koko TE, Amouzou KS, Dare S, Edoh-Bedi L, Tengue K. Glans replantation after a penile traumatic amputation during circumcision. J. Pediatr. Surg. Case Rep. 2021;75. doi: 10.1016/j.epsc.2021.102100.</w:t>
      </w:r>
    </w:p>
    <w:p w14:paraId="45196625" w14:textId="77777777" w:rsidR="00CF70CD" w:rsidRDefault="00000000" w:rsidP="004E5D67">
      <w:pPr>
        <w:spacing w:after="80" w:line="276" w:lineRule="auto"/>
        <w:ind w:left="480" w:hanging="480"/>
        <w:jc w:val="both"/>
      </w:pPr>
      <w:r>
        <w:rPr>
          <w:rFonts w:cs="Times New Roman"/>
          <w:sz w:val="22"/>
        </w:rPr>
        <w:t>40. Andaloussi S, Alami Hassani Z, Annattah S, Dalero O, Elmadi A. Total penile amputation following ritual circumcision: A case report of a devastating complication. Urol. Case Rep. 2025;60. doi: 10.1016/j.eucr.2025.103000.</w:t>
      </w:r>
    </w:p>
    <w:p w14:paraId="7A706A5C" w14:textId="77777777" w:rsidR="00CF70CD" w:rsidRDefault="00000000" w:rsidP="004E5D67">
      <w:pPr>
        <w:spacing w:after="80" w:line="276" w:lineRule="auto"/>
        <w:ind w:left="480" w:hanging="480"/>
        <w:jc w:val="both"/>
      </w:pPr>
      <w:r>
        <w:rPr>
          <w:rFonts w:cs="Times New Roman"/>
          <w:sz w:val="22"/>
        </w:rPr>
        <w:t>41. Ayalew S, Negussie MA, Teklehaimanot HK, Mulatu NG, Abdulsemed Y, Wassie MT. Management of total penile amputation following circumcision in a resource-limited setting: A case report. J. Pediatr. Surg. Case Rep. 2025;113. doi: 10.1016/j.epsc.2024.102939.</w:t>
      </w:r>
    </w:p>
    <w:p w14:paraId="45AD5238" w14:textId="77777777" w:rsidR="00CF70CD" w:rsidRDefault="00000000" w:rsidP="004E5D67">
      <w:pPr>
        <w:spacing w:after="80" w:line="276" w:lineRule="auto"/>
        <w:ind w:left="480" w:hanging="480"/>
        <w:jc w:val="both"/>
      </w:pPr>
      <w:r>
        <w:rPr>
          <w:rFonts w:cs="Times New Roman"/>
          <w:sz w:val="22"/>
        </w:rPr>
        <w:t>42. Banihani OI, Fox JA, Gander BH, Grunwaldt LJ, Cannon GM. Complete penile amputation during ritual neonatal circumcision and successful replantation using postoperative leech therapy. Urology. 2014;84(2):472-474. doi: 10.1016/j.urology.2014.04.021.</w:t>
      </w:r>
    </w:p>
    <w:p w14:paraId="2537FF7E" w14:textId="77777777" w:rsidR="00CF70CD" w:rsidRDefault="00000000" w:rsidP="004E5D67">
      <w:pPr>
        <w:spacing w:after="80" w:line="276" w:lineRule="auto"/>
        <w:ind w:left="480" w:hanging="480"/>
        <w:jc w:val="both"/>
      </w:pPr>
      <w:r>
        <w:rPr>
          <w:rFonts w:cs="Times New Roman"/>
          <w:sz w:val="22"/>
        </w:rPr>
        <w:t>43. Elmi AH, Ibrahim FH, Abdi AO. Penile glans amputation following untrained male circumcision in rural Somalia: A case report of a rare but serious complication in a resource-limited setting Somalia. Urol. Case Rep. 2026;64. doi: 10.1016/j.eucr.2025.103297.</w:t>
      </w:r>
    </w:p>
    <w:p w14:paraId="705153BF" w14:textId="77777777" w:rsidR="00CF70CD" w:rsidRDefault="00000000" w:rsidP="004E5D67">
      <w:pPr>
        <w:spacing w:after="80" w:line="276" w:lineRule="auto"/>
        <w:ind w:left="480" w:hanging="480"/>
        <w:jc w:val="both"/>
      </w:pPr>
      <w:r>
        <w:rPr>
          <w:rFonts w:cs="Times New Roman"/>
          <w:sz w:val="22"/>
        </w:rPr>
        <w:t>44. Garrido-Abad P, Suarez-Fonseca C. Glans ischemia after circumcision and dorsal penile nerve block: Case report and review of the literature. Urology Annals. Wolters Kluwer Medknow Publications. 2015;7(4):541-543. doi: 10.4103/0974-7796.164862.</w:t>
      </w:r>
    </w:p>
    <w:p w14:paraId="7B06B175" w14:textId="77777777" w:rsidR="00CF70CD" w:rsidRDefault="00000000" w:rsidP="004E5D67">
      <w:pPr>
        <w:spacing w:after="80" w:line="276" w:lineRule="auto"/>
        <w:ind w:left="480" w:hanging="480"/>
        <w:jc w:val="both"/>
      </w:pPr>
      <w:r>
        <w:rPr>
          <w:rFonts w:cs="Times New Roman"/>
          <w:sz w:val="22"/>
        </w:rPr>
        <w:t>45. Nafatalewa DK, Mukakala AK, Mujinga IMW, Lubosha NA, Yumba SN, Banza MI, et al. Amputation totale du gland lors de la circoncision en milieu non hospitalier: rapport de cas. Pan Afr. Med. J. 2022;42:214. doi: 10.11604/pamj.2022.42.214.28325.</w:t>
      </w:r>
    </w:p>
    <w:p w14:paraId="4AD2C512" w14:textId="77777777" w:rsidR="00CF70CD" w:rsidRDefault="00000000" w:rsidP="004E5D67">
      <w:pPr>
        <w:spacing w:after="80" w:line="276" w:lineRule="auto"/>
        <w:ind w:left="480" w:hanging="480"/>
        <w:jc w:val="both"/>
      </w:pPr>
      <w:r>
        <w:rPr>
          <w:rFonts w:cs="Times New Roman"/>
          <w:sz w:val="22"/>
        </w:rPr>
        <w:t>46. Soltani S, Mottaghi M, Jafarpisheh A, Tavakkoli M. Penile Glans Amputation following Circumcision: A Case Report of a Rare Complication. Case Rep. Urol. 2020;2020:1-3. doi: 10.1155/2020/5806987.</w:t>
      </w:r>
    </w:p>
    <w:p w14:paraId="12DF2F37" w14:textId="77777777" w:rsidR="00CF70CD" w:rsidRDefault="00000000" w:rsidP="004E5D67">
      <w:pPr>
        <w:spacing w:after="80" w:line="276" w:lineRule="auto"/>
        <w:ind w:left="480" w:hanging="480"/>
        <w:jc w:val="both"/>
      </w:pPr>
      <w:r>
        <w:rPr>
          <w:rFonts w:cs="Times New Roman"/>
          <w:sz w:val="22"/>
        </w:rPr>
        <w:t>47. Shah A, Shah A. Total Glans Amputation in a Child following Ritual Circumcision – Report of a Case and Review of Literature. J. Indian Assoc. Pediatr. Surg. 2023;28(3):256-259. doi: 10.4103/jiaps.jiaps_176_22.</w:t>
      </w:r>
    </w:p>
    <w:p w14:paraId="17230522" w14:textId="77777777" w:rsidR="00CF70CD" w:rsidRDefault="00000000" w:rsidP="004E5D67">
      <w:pPr>
        <w:spacing w:after="80" w:line="276" w:lineRule="auto"/>
        <w:ind w:left="480" w:hanging="480"/>
        <w:jc w:val="both"/>
      </w:pPr>
      <w:r>
        <w:rPr>
          <w:rFonts w:cs="Times New Roman"/>
          <w:sz w:val="22"/>
        </w:rPr>
        <w:lastRenderedPageBreak/>
        <w:t>48. Sharma A, Yashaswi T, John J, Singh S. Iatrogenic partial glanular amputation: A rare complication of circumcision. Indian Journal of Urology. 2022;38(4):312-314. doi: 10.4103/iju.iju_166_22.</w:t>
      </w:r>
    </w:p>
    <w:p w14:paraId="3588AD03" w14:textId="77777777" w:rsidR="00CF70CD" w:rsidRDefault="00000000" w:rsidP="004E5D67">
      <w:pPr>
        <w:spacing w:after="80" w:line="276" w:lineRule="auto"/>
        <w:ind w:left="480" w:hanging="480"/>
        <w:jc w:val="both"/>
      </w:pPr>
      <w:r>
        <w:rPr>
          <w:rFonts w:cs="Times New Roman"/>
          <w:sz w:val="22"/>
        </w:rPr>
        <w:t>49. Sow O, Ondo CZ, Sarr A, Sine B, Gassama CB, Ndoye AK. Total penile glans amputation following circumcision: A case report of a dramatic complication. Urol. Case Rep. 2022;40. doi: 10.1016/j.eucr.2021.101905.</w:t>
      </w:r>
    </w:p>
    <w:p w14:paraId="576226C1" w14:textId="77777777" w:rsidR="00CF70CD" w:rsidRDefault="00000000" w:rsidP="004E5D67">
      <w:pPr>
        <w:spacing w:after="80" w:line="276" w:lineRule="auto"/>
        <w:ind w:left="480" w:hanging="480"/>
        <w:jc w:val="both"/>
      </w:pPr>
      <w:r>
        <w:rPr>
          <w:rFonts w:cs="Times New Roman"/>
          <w:sz w:val="22"/>
        </w:rPr>
        <w:t>50. Tasci AI, Danacioglu YO, Arikan Y, Colakoglu Y, Yapar B, Buyuk Y. Management of post-circumcision necrosis of the penis: the medicolegal aspect. Pediatr. Surg. Int. 2020;36(4):523-528. doi: 10.1007/s00383-020-04630-2.</w:t>
      </w:r>
    </w:p>
    <w:p w14:paraId="6B758BB5" w14:textId="77777777" w:rsidR="00CF70CD" w:rsidRDefault="00000000" w:rsidP="004E5D67">
      <w:pPr>
        <w:spacing w:after="80" w:line="276" w:lineRule="auto"/>
        <w:ind w:left="480" w:hanging="480"/>
        <w:jc w:val="both"/>
      </w:pPr>
      <w:r>
        <w:rPr>
          <w:rFonts w:cs="Times New Roman"/>
          <w:sz w:val="22"/>
        </w:rPr>
        <w:t>51. Uzun G, Ozdemir Y, Eroglu M, Mutluoglu M. Electrocautery-induced gangrene of the glans penis in a child following circumcision. BMJ Case Reports. 2012;2012. doi: 10.1136/bcr-2012-007096.</w:t>
      </w:r>
    </w:p>
    <w:p w14:paraId="177D978B" w14:textId="77777777" w:rsidR="00CF70CD" w:rsidRDefault="00000000" w:rsidP="004E5D67">
      <w:pPr>
        <w:spacing w:after="80" w:line="276" w:lineRule="auto"/>
        <w:ind w:left="480" w:hanging="480"/>
        <w:jc w:val="both"/>
      </w:pPr>
      <w:r>
        <w:rPr>
          <w:rFonts w:cs="Times New Roman"/>
          <w:sz w:val="22"/>
        </w:rPr>
        <w:t>52. Satyagraha P, Mumpuni F, Seputra KP. Case Series: Iatrogenic Penile Amputation Due to Circumcision. Journal Brawijaya of Urology. 2020;1(1).</w:t>
      </w:r>
    </w:p>
    <w:p w14:paraId="482B5B7B" w14:textId="77777777" w:rsidR="00CF70CD" w:rsidRDefault="00000000" w:rsidP="004E5D67">
      <w:pPr>
        <w:spacing w:after="80" w:line="276" w:lineRule="auto"/>
        <w:ind w:left="480" w:hanging="480"/>
        <w:jc w:val="both"/>
      </w:pPr>
      <w:r>
        <w:rPr>
          <w:rFonts w:cs="Times New Roman"/>
          <w:sz w:val="22"/>
        </w:rPr>
        <w:t>53. Pepe P, Pietropaolo F, Candiano G, Pennisi M. Ischemia of the glans penis following circumcision: case report and revision of the literature. Archivio italiano di urologia, andrologia : organo ufficiale [di] Società italiana di ecografia urologica e nefrologica / Associazione ricerche in urologia. 2015;87(1):93-94. doi: 10.4081/aiua.2015.1.93.</w:t>
      </w:r>
    </w:p>
    <w:p w14:paraId="42614910" w14:textId="77777777" w:rsidR="00CF70CD" w:rsidRDefault="00000000" w:rsidP="004E5D67">
      <w:pPr>
        <w:spacing w:after="80" w:line="276" w:lineRule="auto"/>
        <w:ind w:left="480" w:hanging="480"/>
        <w:jc w:val="both"/>
      </w:pPr>
      <w:r>
        <w:rPr>
          <w:rFonts w:cs="Times New Roman"/>
          <w:sz w:val="22"/>
        </w:rPr>
        <w:t>54. Nurhayani N, Sari Oktafiani N, Dani Yamsun R, Khairunnisa R, Hanurita Subekti T, Harfian Rajendra H, et al. Pidana Tenaga Kesehatan terhadap Malpraktik dan Negligence dalam Tindakan Khitan (Sirkumsisi). Prociding Call For Paper Thalamus Fakultas Kedokteran. 2021.</w:t>
      </w:r>
    </w:p>
    <w:p w14:paraId="293CBA50" w14:textId="77777777" w:rsidR="00CF70CD" w:rsidRDefault="00000000" w:rsidP="004E5D67">
      <w:pPr>
        <w:spacing w:after="80" w:line="276" w:lineRule="auto"/>
        <w:ind w:left="480" w:hanging="480"/>
        <w:jc w:val="both"/>
      </w:pPr>
      <w:r>
        <w:rPr>
          <w:rFonts w:cs="Times New Roman"/>
          <w:sz w:val="22"/>
        </w:rPr>
        <w:t>55. Sahari A. Competence for Male Circumcision by Health Workers According to Health Law. SOEPRA. 2022;8(2):210-220. doi: 10.24167/shk.v8i2.4976.</w:t>
      </w:r>
    </w:p>
    <w:p w14:paraId="19C45E30" w14:textId="77777777" w:rsidR="00CF70CD" w:rsidRDefault="00000000" w:rsidP="004E5D67">
      <w:pPr>
        <w:spacing w:after="80" w:line="276" w:lineRule="auto"/>
        <w:ind w:left="480" w:hanging="480"/>
        <w:jc w:val="both"/>
      </w:pPr>
      <w:r>
        <w:rPr>
          <w:rFonts w:cs="Times New Roman"/>
          <w:sz w:val="22"/>
        </w:rPr>
        <w:t>56. Pane AMN, Suminar SR. Pertanggungjawaban Hukum Perawat dalam Praktik Khitan (Sirkumsisi) yang Merugikan Pasien Ditinjau dengan Undang-Undang Nomor 38 Tahun 2014 Tentang Keperawatan. Bandung Conference Series: Law Studies. 2023;3(1). doi: 10.29313/bcsls.v3i1.4990.</w:t>
      </w:r>
    </w:p>
    <w:p w14:paraId="1D5E2A16" w14:textId="77777777" w:rsidR="00CF70CD" w:rsidRDefault="00000000" w:rsidP="004E5D67">
      <w:pPr>
        <w:spacing w:after="80" w:line="276" w:lineRule="auto"/>
        <w:ind w:left="480" w:hanging="480"/>
        <w:jc w:val="both"/>
      </w:pPr>
      <w:r>
        <w:rPr>
          <w:rFonts w:cs="Times New Roman"/>
          <w:sz w:val="22"/>
        </w:rPr>
        <w:t>57. Li KD, Hakam N, Low P, Lui J, Sadighian MJ, Nabavizadeh B, et al. A Legal Database Review of Circumcision Related Litigation in the United States. Urology. 2022;160:94-101. doi: 10.1016/j.urology.2021.09.036.</w:t>
      </w:r>
    </w:p>
    <w:p w14:paraId="40814EE1" w14:textId="77777777" w:rsidR="00CF70CD" w:rsidRDefault="00000000" w:rsidP="004E5D67">
      <w:pPr>
        <w:spacing w:after="80" w:line="276" w:lineRule="auto"/>
        <w:ind w:left="480" w:hanging="480"/>
        <w:jc w:val="both"/>
      </w:pPr>
      <w:r>
        <w:rPr>
          <w:rFonts w:cs="Times New Roman"/>
          <w:sz w:val="22"/>
        </w:rPr>
        <w:t>58. Tri Wulandari R, Perlindungan Hukum Perawat A, Tri Wulandari Stikes Maharani Malang R. Analisis Perlindungan Hukum Perawat dalam Melakukan Tindakan Medis. Jurnal Ilmiah SINTEKS. 2024;13(2):59-67.</w:t>
      </w:r>
    </w:p>
    <w:p w14:paraId="3BBBF31E" w14:textId="77777777" w:rsidR="00CF70CD" w:rsidRDefault="00000000" w:rsidP="004E5D67">
      <w:pPr>
        <w:spacing w:after="80" w:line="276" w:lineRule="auto"/>
        <w:ind w:left="480" w:hanging="480"/>
        <w:jc w:val="both"/>
      </w:pPr>
      <w:r>
        <w:rPr>
          <w:rFonts w:cs="Times New Roman"/>
          <w:sz w:val="22"/>
        </w:rPr>
        <w:t>59. Hakim L, Soekorini N, Astutik S. Pertanggungjawaban Tindak Pidana Malpraktik Sirkumsisi pada Praktik Mandiri. COURT REVIEW: Jurnal Penelitian Hukum. 2025;5(4):155-165.</w:t>
      </w:r>
    </w:p>
    <w:p w14:paraId="346A9686" w14:textId="77777777" w:rsidR="00CF70CD" w:rsidRDefault="00000000" w:rsidP="004E5D67">
      <w:pPr>
        <w:spacing w:after="80" w:line="276" w:lineRule="auto"/>
        <w:ind w:left="480" w:hanging="480"/>
        <w:jc w:val="both"/>
      </w:pPr>
      <w:r>
        <w:rPr>
          <w:rFonts w:cs="Times New Roman"/>
          <w:sz w:val="22"/>
        </w:rPr>
        <w:t>60. Iacob SI, Feinn RS, Sardi L. Systematic review of complications arising from male circumcision. BJUI Compass. 2022;3(2):99-123. doi: 10.1002/bco2.123.</w:t>
      </w:r>
    </w:p>
    <w:p w14:paraId="781D573C" w14:textId="77777777" w:rsidR="00CF70CD" w:rsidRDefault="00000000" w:rsidP="004E5D67">
      <w:pPr>
        <w:spacing w:after="80" w:line="276" w:lineRule="auto"/>
        <w:ind w:left="480" w:hanging="480"/>
        <w:jc w:val="both"/>
      </w:pPr>
      <w:r>
        <w:rPr>
          <w:rFonts w:cs="Times New Roman"/>
          <w:sz w:val="22"/>
        </w:rPr>
        <w:t>61. Earp BD, Allareddy V, Allareddy V, Rotta AT. Factors Associated With Early Deaths Following Neonatal Male Circumcision in the United States, 2001 to 2010. Clin. Pediatr. (Phila). 2018;57(13):1532-1540. doi: 10.1177/0009922818790060.</w:t>
      </w:r>
    </w:p>
    <w:p w14:paraId="18A8A0B8" w14:textId="77777777" w:rsidR="00CF70CD" w:rsidRDefault="00000000" w:rsidP="004E5D67">
      <w:pPr>
        <w:spacing w:after="80" w:line="276" w:lineRule="auto"/>
        <w:ind w:left="480" w:hanging="480"/>
        <w:jc w:val="both"/>
      </w:pPr>
      <w:r>
        <w:rPr>
          <w:rFonts w:cs="Times New Roman"/>
          <w:sz w:val="22"/>
        </w:rPr>
        <w:t>62. Hung YC, Chang DC, Westfal ML, Marks IH, Masiakos PT, Kelleher CM. A Longitudinal Population Analysis of Cumulative Risks of Circumcision. Journal of Surgical Research. 2019;233:111-117. doi: 10.1016/j.jss.2018.07.069.</w:t>
      </w:r>
    </w:p>
    <w:p w14:paraId="182A7981" w14:textId="77777777" w:rsidR="00CF70CD" w:rsidRDefault="00000000" w:rsidP="004E5D67">
      <w:pPr>
        <w:spacing w:after="80" w:line="276" w:lineRule="auto"/>
        <w:ind w:left="480" w:hanging="480"/>
        <w:jc w:val="both"/>
      </w:pPr>
      <w:r>
        <w:rPr>
          <w:rFonts w:cs="Times New Roman"/>
          <w:sz w:val="22"/>
        </w:rPr>
        <w:lastRenderedPageBreak/>
        <w:t>63. Kim JK, Koyle MA, Chua ME, Ming JM, Lee MJ, Kesavan A, et al. Assessment of risk factors for surgical complications in neonatal circumcision clinic. Canadian Urological Association Journal. 2019;13(4):E108-E112. doi: 10.5489/cuaj.5460.</w:t>
      </w:r>
    </w:p>
    <w:p w14:paraId="3084085B" w14:textId="77777777" w:rsidR="00CF70CD" w:rsidRDefault="00000000" w:rsidP="004E5D67">
      <w:pPr>
        <w:spacing w:after="80" w:line="276" w:lineRule="auto"/>
        <w:ind w:left="480" w:hanging="480"/>
        <w:jc w:val="both"/>
      </w:pPr>
      <w:r>
        <w:rPr>
          <w:rFonts w:cs="Times New Roman"/>
          <w:sz w:val="22"/>
        </w:rPr>
        <w:t>64. Gologram M, Margolin R, Lomiguen CM. Need for Increased Awareness of International Male Circumcision Variations and Associated Complications: A Contemporary Review. Cureus. 2022. doi: 10.7759/cureus.24507.</w:t>
      </w:r>
    </w:p>
    <w:p w14:paraId="54415144" w14:textId="77777777" w:rsidR="00CF70CD" w:rsidRDefault="00000000" w:rsidP="004E5D67">
      <w:pPr>
        <w:spacing w:after="80" w:line="276" w:lineRule="auto"/>
        <w:ind w:left="480" w:hanging="480"/>
        <w:jc w:val="both"/>
      </w:pPr>
      <w:r>
        <w:rPr>
          <w:rFonts w:cs="Times New Roman"/>
          <w:sz w:val="22"/>
        </w:rPr>
        <w:t>65. Chen CH, Cheng WM, Fan YH, Chang TP. Factors influencing satisfaction with male circumcision in Taiwan. Sci. Rep. 2023;13(1):2313. doi: 10.1038/s41598-022-20140-8.</w:t>
      </w:r>
    </w:p>
    <w:p w14:paraId="68D77F1C" w14:textId="77777777" w:rsidR="00CF70CD" w:rsidRDefault="00000000" w:rsidP="004E5D67">
      <w:pPr>
        <w:spacing w:after="80" w:line="276" w:lineRule="auto"/>
        <w:ind w:left="480" w:hanging="480"/>
        <w:jc w:val="both"/>
      </w:pPr>
      <w:r>
        <w:rPr>
          <w:rFonts w:cs="Times New Roman"/>
          <w:sz w:val="22"/>
        </w:rPr>
        <w:t>66. Kowalczyk KA, Majewski A. Analysis of surgical errors associated with anatomical variations clinically relevant in general surgery. Review of the literature. Translational Research in Anatomy. 2021;23:100107. doi: 10.1016/j.tria.2020.100107.</w:t>
      </w:r>
    </w:p>
    <w:p w14:paraId="2E34341C" w14:textId="77777777" w:rsidR="00CF70CD" w:rsidRDefault="00000000" w:rsidP="004E5D67">
      <w:pPr>
        <w:spacing w:after="80" w:line="276" w:lineRule="auto"/>
        <w:ind w:left="480" w:hanging="480"/>
        <w:jc w:val="both"/>
      </w:pPr>
      <w:r>
        <w:rPr>
          <w:rFonts w:cs="Times New Roman"/>
          <w:sz w:val="22"/>
        </w:rPr>
        <w:t>67. Vorobev V, Beloborodov V, Golub I, Frolov A, Kelchevskaya E, Tsoktoev D, et al. Urinary System Iatrogenic Injuries: Problem Review. Urol. Int. 2021;105(5-6):460-469. doi: 10.1159/000512882.</w:t>
      </w:r>
    </w:p>
    <w:p w14:paraId="23BFCEF8" w14:textId="77777777" w:rsidR="00CF70CD" w:rsidRDefault="00000000" w:rsidP="004E5D67">
      <w:pPr>
        <w:spacing w:after="80" w:line="276" w:lineRule="auto"/>
        <w:ind w:left="480" w:hanging="480"/>
        <w:jc w:val="both"/>
      </w:pPr>
      <w:r>
        <w:rPr>
          <w:rFonts w:cs="Times New Roman"/>
          <w:sz w:val="22"/>
        </w:rPr>
        <w:t>68. Aman M, Zimmermann KS, Pennekamp A, Thielen M, Falkner F, Eisa A, et al. Mechanisms, interventions at risk and clinical presentation of iatrogenic nerve lesions in trauma patients. Arch. Orthop. Trauma Surg. 2023;143(12):7245-7253. doi: 10.1007/s00402-023-05009-3.</w:t>
      </w:r>
    </w:p>
    <w:p w14:paraId="1073CDCC" w14:textId="77777777" w:rsidR="00CF70CD" w:rsidRDefault="00000000" w:rsidP="004E5D67">
      <w:pPr>
        <w:spacing w:after="80" w:line="276" w:lineRule="auto"/>
        <w:ind w:left="480" w:hanging="480"/>
        <w:jc w:val="both"/>
      </w:pPr>
      <w:r>
        <w:rPr>
          <w:rFonts w:cs="Times New Roman"/>
          <w:sz w:val="22"/>
        </w:rPr>
        <w:t>69. Atikeler MK, Geçit I, Yüzgeç V, Yalçın O. Complications of Circumcision Performed within and Outside the Hospital. Int. Urol. Nephrol. 2005;37(1):97-99. doi: 10.1007/s11255-004-6077-2.</w:t>
      </w:r>
    </w:p>
    <w:p w14:paraId="45AACC72" w14:textId="77777777" w:rsidR="00CF70CD" w:rsidRDefault="00000000" w:rsidP="004E5D67">
      <w:pPr>
        <w:spacing w:after="80" w:line="276" w:lineRule="auto"/>
        <w:ind w:left="480" w:hanging="480"/>
        <w:jc w:val="both"/>
      </w:pPr>
      <w:r>
        <w:rPr>
          <w:rFonts w:cs="Times New Roman"/>
          <w:sz w:val="22"/>
        </w:rPr>
        <w:t>70. Kalyenci B, Benlioglu C, Ölçücü MT, Teke K, Sever S, Çift A, et al. Retrospective analysis of clinical outcomes and early complications of conventional circumcision techniques and thermocautery-assisted circumcision. Sci. Rep. 2025;15(1):7139. doi: 10.1038/s41598-025-91730-5.</w:t>
      </w:r>
    </w:p>
    <w:p w14:paraId="44721A3D" w14:textId="77777777" w:rsidR="00CF70CD" w:rsidRDefault="00000000" w:rsidP="004E5D67">
      <w:pPr>
        <w:spacing w:after="80" w:line="276" w:lineRule="auto"/>
        <w:ind w:left="480" w:hanging="480"/>
        <w:jc w:val="both"/>
      </w:pPr>
      <w:r>
        <w:rPr>
          <w:rFonts w:cs="Times New Roman"/>
          <w:sz w:val="22"/>
        </w:rPr>
        <w:t>71. Smith A, Weigand J, Greenwood J, Tierney K. Safety and effectiveness of regional anesthesia compared with anesthetic techniques not using regional anesthesia on outcomes after free tissue flap surgery: a systematic review protocol. JBI Evid. Synth. 2022;20(10). Available from: https://journals.lww.com/jbisrir/fulltext/2022/10000/safety_and_effectiveness_of_regional_anesthesia.15.aspx</w:t>
      </w:r>
    </w:p>
    <w:p w14:paraId="6865746B" w14:textId="77777777" w:rsidR="00CF70CD" w:rsidRDefault="00000000" w:rsidP="004E5D67">
      <w:pPr>
        <w:spacing w:after="80" w:line="276" w:lineRule="auto"/>
        <w:ind w:left="480" w:hanging="480"/>
        <w:jc w:val="both"/>
      </w:pPr>
      <w:r>
        <w:rPr>
          <w:rFonts w:cs="Times New Roman"/>
          <w:sz w:val="22"/>
        </w:rPr>
        <w:t>72. Harris M, Taylor S, McMillan E, Zinabu SW, Wheaton N, Monroe DJ, et al. Comparative Analysis of Local Versus General Anesthesia and Its Impact on Erectile Dysfunction Risk Following Penile Surgery. Cureus. 2025. doi: 10.7759/cureus.85931.</w:t>
      </w:r>
    </w:p>
    <w:p w14:paraId="17301A0B" w14:textId="77777777" w:rsidR="00CF70CD" w:rsidRDefault="00000000" w:rsidP="004E5D67">
      <w:pPr>
        <w:spacing w:after="80" w:line="276" w:lineRule="auto"/>
        <w:ind w:left="480" w:hanging="480"/>
        <w:jc w:val="both"/>
      </w:pPr>
      <w:r>
        <w:rPr>
          <w:rFonts w:cs="Times New Roman"/>
          <w:sz w:val="22"/>
        </w:rPr>
        <w:t>73. De M, Dawar R. The challenges and complications of re-implantation of the penis following amputation. Ghana Med. J. 2022;56(1):49-52. doi: 10.4314/gmj.v56i1.9.</w:t>
      </w:r>
    </w:p>
    <w:p w14:paraId="2B63E46D" w14:textId="77777777" w:rsidR="00CF70CD" w:rsidRDefault="00000000" w:rsidP="004E5D67">
      <w:pPr>
        <w:spacing w:after="80" w:line="276" w:lineRule="auto"/>
        <w:ind w:left="480" w:hanging="480"/>
        <w:jc w:val="both"/>
      </w:pPr>
      <w:r>
        <w:rPr>
          <w:rFonts w:cs="Times New Roman"/>
          <w:sz w:val="22"/>
        </w:rPr>
        <w:t>74. Arbel EJ, Reese AD, Richards R, Singh S, O’Shea AW, Hennig F, et al. Penile Replantation: A Review of Microsurgical Techniques, Patient Outcomes, and Solutions to Complex Reconstructive Challenges. Plastic Surgery. 2025;33(4):666-676. doi: 10.1177/22925503241265299.</w:t>
      </w:r>
    </w:p>
    <w:p w14:paraId="323EE791" w14:textId="77777777" w:rsidR="00CF70CD" w:rsidRDefault="00000000" w:rsidP="004E5D67">
      <w:pPr>
        <w:spacing w:after="80" w:line="276" w:lineRule="auto"/>
        <w:ind w:left="480" w:hanging="480"/>
        <w:jc w:val="both"/>
      </w:pPr>
      <w:r>
        <w:rPr>
          <w:rFonts w:cs="Times New Roman"/>
          <w:sz w:val="22"/>
        </w:rPr>
        <w:t>75. Liu H, Dong B, Wu X, Hua L, Zhang M, Li X, et al. Replantation following complete penile amputation: Summary of perioperative experience and treatment strategies. Andrology. 2025;13(6):1469-1483. doi: 10.1111/andr.13783.</w:t>
      </w:r>
    </w:p>
    <w:p w14:paraId="32466178" w14:textId="77777777" w:rsidR="00CF70CD" w:rsidRDefault="00000000" w:rsidP="004E5D67">
      <w:pPr>
        <w:spacing w:after="80" w:line="276" w:lineRule="auto"/>
        <w:ind w:left="480" w:hanging="480"/>
        <w:jc w:val="both"/>
      </w:pPr>
      <w:r>
        <w:rPr>
          <w:rFonts w:cs="Times New Roman"/>
          <w:sz w:val="22"/>
        </w:rPr>
        <w:t>76. Morris B, Rivin BE, Sheldon M, Krieger JN. Neonatal Male Circumcision: Clearly Beneficial for Public Health or an Ethical Dilemma? A Systematic Review. Cureus. 2024. doi: 10.7759/cureus.54772.</w:t>
      </w:r>
    </w:p>
    <w:p w14:paraId="5116107C" w14:textId="77777777" w:rsidR="00CF70CD" w:rsidRDefault="00000000" w:rsidP="004E5D67">
      <w:pPr>
        <w:spacing w:after="80" w:line="276" w:lineRule="auto"/>
        <w:ind w:left="480" w:hanging="480"/>
        <w:jc w:val="both"/>
      </w:pPr>
      <w:r>
        <w:rPr>
          <w:rFonts w:cs="Times New Roman"/>
          <w:sz w:val="22"/>
        </w:rPr>
        <w:lastRenderedPageBreak/>
        <w:t>77. Kulkarni R, Khare A, Cherian I, Chougule U, Lal Soni S, Kiran Wani L, et al. Legal Implications of Surgical Malpractice: An Analytical Approach. Journal of Neonatal Surgery ISSN. 2025;14(2s). Available from: https://www.jneonatalsurg.compg.1</w:t>
      </w:r>
    </w:p>
    <w:p w14:paraId="5683415C" w14:textId="77777777" w:rsidR="00CF70CD" w:rsidRDefault="00000000" w:rsidP="004E5D67">
      <w:pPr>
        <w:spacing w:after="80" w:line="276" w:lineRule="auto"/>
        <w:ind w:left="480" w:hanging="480"/>
        <w:jc w:val="both"/>
      </w:pPr>
      <w:r>
        <w:rPr>
          <w:rFonts w:cs="Times New Roman"/>
          <w:sz w:val="22"/>
        </w:rPr>
        <w:t>78. Nergül Ç, Abdülkadir Z, Kurtulus DA, Kemalettin A. Medical malpractice in pediatric surgery: an analysis of Supreme Court decisions involving physicians. Ann. Saudi Med. 2026;46(1):1-8. doi: 10.5144/0256-4947.2026.1.</w:t>
      </w:r>
    </w:p>
    <w:p w14:paraId="046F37DF" w14:textId="77777777" w:rsidR="00CF70CD" w:rsidRDefault="00000000" w:rsidP="004E5D67">
      <w:pPr>
        <w:spacing w:after="80" w:line="276" w:lineRule="auto"/>
        <w:ind w:left="480" w:hanging="480"/>
        <w:jc w:val="both"/>
      </w:pPr>
      <w:r>
        <w:rPr>
          <w:rFonts w:cs="Times New Roman"/>
          <w:sz w:val="22"/>
        </w:rPr>
        <w:t>79. Emond YEJJM, Calsbeek H, Peters YAS, Bloo GJA, Teerenstra S, Westert GP, et al. Increased adherence to perioperative safety guidelines associated with improved patient safety outcomes: a stepped-wedge, cluster-randomised multicentre trial. Br. J. Anaesth. 2022;128(3):562-573. doi: 10.1016/j.bja.2021.12.019.</w:t>
      </w:r>
    </w:p>
    <w:p w14:paraId="39BF2A7F" w14:textId="77777777" w:rsidR="00CF70CD" w:rsidRDefault="00000000" w:rsidP="004E5D67">
      <w:pPr>
        <w:spacing w:after="80" w:line="276" w:lineRule="auto"/>
        <w:ind w:left="480" w:hanging="480"/>
        <w:jc w:val="both"/>
      </w:pPr>
      <w:r>
        <w:rPr>
          <w:rFonts w:cs="Times New Roman"/>
          <w:sz w:val="22"/>
        </w:rPr>
        <w:t>80. Labrague LJ. Nurses' adherence to patient safety protocols and its relationship with adverse patient events. Journal of Nursing Scholarship. 2024;56(2):282-290. doi: 10.1111/jnu.12942.</w:t>
      </w:r>
    </w:p>
    <w:p w14:paraId="75CE24B9" w14:textId="77777777" w:rsidR="00CF70CD" w:rsidRDefault="00000000" w:rsidP="004E5D67">
      <w:pPr>
        <w:spacing w:after="80" w:line="276" w:lineRule="auto"/>
        <w:ind w:left="480" w:hanging="480"/>
        <w:jc w:val="both"/>
      </w:pPr>
      <w:r>
        <w:rPr>
          <w:rFonts w:cs="Times New Roman"/>
          <w:sz w:val="22"/>
        </w:rPr>
        <w:t>81. Yu J, Tang R, Ding K. Analysis of related factors between the occurrence of secondary epidermoid cyst of penis and circumcision. Sci. Rep. 2022;12(1):13563. doi: 10.1038/s41598-022-16876-y.</w:t>
      </w:r>
    </w:p>
    <w:p w14:paraId="0063BE34" w14:textId="77777777" w:rsidR="00CF70CD" w:rsidRDefault="00000000" w:rsidP="004E5D67">
      <w:pPr>
        <w:spacing w:after="80" w:line="276" w:lineRule="auto"/>
        <w:ind w:left="480" w:hanging="480"/>
        <w:jc w:val="both"/>
      </w:pPr>
      <w:r>
        <w:rPr>
          <w:rFonts w:cs="Times New Roman"/>
          <w:sz w:val="22"/>
        </w:rPr>
        <w:t>82. Tye MC, Sardi LM. Psychological, psychosocial, and psychosexual aspects of penilecircumcision. Int. J. Impot. Res. 2023;35(3):242-248. doi: 10.1038/s41443-022-00553-9.</w:t>
      </w:r>
    </w:p>
    <w:sectPr w:rsidR="00CF70CD" w:rsidSect="00984952">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6B99C" w14:textId="77777777" w:rsidR="00071594" w:rsidRDefault="00071594" w:rsidP="00A90CCD">
      <w:pPr>
        <w:spacing w:after="0" w:line="240" w:lineRule="auto"/>
      </w:pPr>
      <w:r>
        <w:separator/>
      </w:r>
    </w:p>
  </w:endnote>
  <w:endnote w:type="continuationSeparator" w:id="0">
    <w:p w14:paraId="2C3EBCC8" w14:textId="77777777" w:rsidR="00071594" w:rsidRDefault="00071594" w:rsidP="00A9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A45C" w14:textId="77777777" w:rsidR="00E67BEA" w:rsidRDefault="00E67BEA">
    <w:pPr>
      <w:pStyle w:val="Footer"/>
      <w:jc w:val="center"/>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B1460" w14:textId="77777777" w:rsidR="00071594" w:rsidRDefault="00071594" w:rsidP="00A90CCD">
      <w:pPr>
        <w:spacing w:after="0" w:line="240" w:lineRule="auto"/>
      </w:pPr>
      <w:r>
        <w:separator/>
      </w:r>
    </w:p>
  </w:footnote>
  <w:footnote w:type="continuationSeparator" w:id="0">
    <w:p w14:paraId="732A6D76" w14:textId="77777777" w:rsidR="00071594" w:rsidRDefault="00071594" w:rsidP="00A90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5737">
    <w:abstractNumId w:val="1"/>
  </w:num>
  <w:num w:numId="2" w16cid:durableId="16614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79B"/>
    <w:rsid w:val="0000028D"/>
    <w:rsid w:val="000225CB"/>
    <w:rsid w:val="00023FFB"/>
    <w:rsid w:val="000277D8"/>
    <w:rsid w:val="00027C42"/>
    <w:rsid w:val="000310BA"/>
    <w:rsid w:val="00031EBE"/>
    <w:rsid w:val="00036CBA"/>
    <w:rsid w:val="00037773"/>
    <w:rsid w:val="00042F08"/>
    <w:rsid w:val="000442F1"/>
    <w:rsid w:val="00046FB9"/>
    <w:rsid w:val="00055FAC"/>
    <w:rsid w:val="00057B9B"/>
    <w:rsid w:val="000649DE"/>
    <w:rsid w:val="000658D9"/>
    <w:rsid w:val="00066E4C"/>
    <w:rsid w:val="00071594"/>
    <w:rsid w:val="000847F7"/>
    <w:rsid w:val="000A1CBC"/>
    <w:rsid w:val="000A497D"/>
    <w:rsid w:val="000A788B"/>
    <w:rsid w:val="000B35C6"/>
    <w:rsid w:val="000B40D5"/>
    <w:rsid w:val="000C1E7D"/>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C55CA"/>
    <w:rsid w:val="002E29C8"/>
    <w:rsid w:val="002E3A0E"/>
    <w:rsid w:val="002F0A45"/>
    <w:rsid w:val="002F323A"/>
    <w:rsid w:val="00303585"/>
    <w:rsid w:val="00307AF6"/>
    <w:rsid w:val="00321FDF"/>
    <w:rsid w:val="00327B31"/>
    <w:rsid w:val="003400E6"/>
    <w:rsid w:val="00341C2C"/>
    <w:rsid w:val="0034539E"/>
    <w:rsid w:val="003532F6"/>
    <w:rsid w:val="003627B9"/>
    <w:rsid w:val="00363661"/>
    <w:rsid w:val="00365498"/>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3D9C"/>
    <w:rsid w:val="00406EB3"/>
    <w:rsid w:val="0040735F"/>
    <w:rsid w:val="00407FED"/>
    <w:rsid w:val="00414581"/>
    <w:rsid w:val="004145B5"/>
    <w:rsid w:val="00423F0E"/>
    <w:rsid w:val="004328A3"/>
    <w:rsid w:val="004352B5"/>
    <w:rsid w:val="00435576"/>
    <w:rsid w:val="00436C77"/>
    <w:rsid w:val="004458E6"/>
    <w:rsid w:val="00450356"/>
    <w:rsid w:val="00454862"/>
    <w:rsid w:val="00464919"/>
    <w:rsid w:val="00467116"/>
    <w:rsid w:val="0047358C"/>
    <w:rsid w:val="00480FA5"/>
    <w:rsid w:val="00492CB3"/>
    <w:rsid w:val="004A16BD"/>
    <w:rsid w:val="004B1408"/>
    <w:rsid w:val="004B3C14"/>
    <w:rsid w:val="004B42CB"/>
    <w:rsid w:val="004B53F6"/>
    <w:rsid w:val="004B606A"/>
    <w:rsid w:val="004D6321"/>
    <w:rsid w:val="004E3D23"/>
    <w:rsid w:val="004E5D67"/>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3412"/>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70159"/>
    <w:rsid w:val="00683A97"/>
    <w:rsid w:val="006843C0"/>
    <w:rsid w:val="00694BE7"/>
    <w:rsid w:val="00697A03"/>
    <w:rsid w:val="006A0FB9"/>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4EA7"/>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169F"/>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5A23"/>
    <w:rsid w:val="00BF72B8"/>
    <w:rsid w:val="00C06A65"/>
    <w:rsid w:val="00C23E95"/>
    <w:rsid w:val="00C245CF"/>
    <w:rsid w:val="00C32574"/>
    <w:rsid w:val="00C33111"/>
    <w:rsid w:val="00C42389"/>
    <w:rsid w:val="00C44E61"/>
    <w:rsid w:val="00C5068C"/>
    <w:rsid w:val="00C52A4C"/>
    <w:rsid w:val="00C579D0"/>
    <w:rsid w:val="00C76AAD"/>
    <w:rsid w:val="00C7778F"/>
    <w:rsid w:val="00C80928"/>
    <w:rsid w:val="00C8302B"/>
    <w:rsid w:val="00C93ED2"/>
    <w:rsid w:val="00C94B27"/>
    <w:rsid w:val="00C96265"/>
    <w:rsid w:val="00CA241E"/>
    <w:rsid w:val="00CA49E3"/>
    <w:rsid w:val="00CA526B"/>
    <w:rsid w:val="00CB4678"/>
    <w:rsid w:val="00CC3235"/>
    <w:rsid w:val="00CC3DAD"/>
    <w:rsid w:val="00CD0124"/>
    <w:rsid w:val="00CE1656"/>
    <w:rsid w:val="00CE34E2"/>
    <w:rsid w:val="00CF04C1"/>
    <w:rsid w:val="00CF70CD"/>
    <w:rsid w:val="00D016A6"/>
    <w:rsid w:val="00D06550"/>
    <w:rsid w:val="00D07C31"/>
    <w:rsid w:val="00D1027B"/>
    <w:rsid w:val="00D11EDD"/>
    <w:rsid w:val="00D2263A"/>
    <w:rsid w:val="00D26467"/>
    <w:rsid w:val="00D31893"/>
    <w:rsid w:val="00D41AEF"/>
    <w:rsid w:val="00D453D8"/>
    <w:rsid w:val="00D54038"/>
    <w:rsid w:val="00D57713"/>
    <w:rsid w:val="00D61362"/>
    <w:rsid w:val="00D75283"/>
    <w:rsid w:val="00D754FF"/>
    <w:rsid w:val="00D81C4A"/>
    <w:rsid w:val="00D84E2B"/>
    <w:rsid w:val="00D9246D"/>
    <w:rsid w:val="00D95EB5"/>
    <w:rsid w:val="00DA4CCF"/>
    <w:rsid w:val="00DA59FC"/>
    <w:rsid w:val="00DA793E"/>
    <w:rsid w:val="00DB3174"/>
    <w:rsid w:val="00DC2F3E"/>
    <w:rsid w:val="00DC35DC"/>
    <w:rsid w:val="00DC603F"/>
    <w:rsid w:val="00DD4CD3"/>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48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Straight Arrow Connector 19"/>
        <o:r id="V:Rule2" type="connector" idref="#Straight Arrow Connector 6"/>
        <o:r id="V:Rule3" type="connector" idref="#Straight Arrow Connector 20"/>
        <o:r id="V:Rule4" type="connector" idref="#Straight Arrow Connector 10"/>
        <o:r id="V:Rule5" type="connector" idref="#Straight Arrow Connector 9"/>
        <o:r id="V:Rule6" type="connector" idref="#Straight Arrow Connector 4"/>
        <o:r id="V:Rule7" type="connector" idref="#Straight Arrow Connector 14"/>
        <o:r id="V:Rule8" type="connector" idref="#Straight Arrow Connector 15"/>
      </o:rules>
    </o:shapelayout>
  </w:shapeDefaults>
  <w:decimalSymbol w:val=","/>
  <w:listSeparator w:val=";"/>
  <w14:docId w14:val="389C527D"/>
  <w15:docId w15:val="{511FF549-6809-4D63-9EFA-D2003DAA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E9"/>
    <w:rPr>
      <w:rFonts w:ascii="Times New Roman" w:hAnsi="Times New Roman"/>
    </w:rPr>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2073</TotalTime>
  <Pages>32</Pages>
  <Words>9011</Words>
  <Characters>51365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PT. ANOA SEJAHTERA MANDIRI 06</cp:lastModifiedBy>
  <cp:revision>381</cp:revision>
  <dcterms:created xsi:type="dcterms:W3CDTF">2026-04-11T17:20:00Z</dcterms:created>
  <dcterms:modified xsi:type="dcterms:W3CDTF">2026-09-10T01:01:00Z</dcterms:modified>
</cp:coreProperties>
</file>