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F0C02" w14:textId="77777777" w:rsidR="00F8416E" w:rsidRDefault="00000000" w:rsidP="004C76F9">
      <w:pPr>
        <w:jc w:val="center"/>
        <w:rPr>
          <w:rFonts w:hint="eastAsia"/>
        </w:rPr>
      </w:pPr>
      <w:r>
        <w:rPr>
          <w:rFonts w:eastAsia="Liberation Serif"/>
          <w:b/>
          <w:color w:val="000000"/>
        </w:rPr>
        <w:t>ABSTRACT</w:t>
      </w:r>
    </w:p>
    <w:p w14:paraId="4D6CA482" w14:textId="77777777" w:rsidR="00F8416E" w:rsidRDefault="00000000" w:rsidP="007C24ED">
      <w:pPr>
        <w:jc w:val="both"/>
        <w:rPr>
          <w:rFonts w:hint="eastAsia"/>
        </w:rPr>
      </w:pPr>
      <w:r>
        <w:rPr>
          <w:rFonts w:eastAsia="Liberation Serif"/>
          <w:b/>
          <w:color w:val="000000"/>
        </w:rPr>
        <w:t xml:space="preserve">Background: </w:t>
      </w:r>
      <w:r>
        <w:rPr>
          <w:rFonts w:eastAsia="Liberation Serif"/>
          <w:color w:val="000000"/>
        </w:rPr>
        <w:t>Extracellular vesicle (EV)-enriched preparations from human urine and vesicle-like nanoparticles from honey are accessible matrices for biomolecular and nanobiology research, but direct cross-matrix characterization remains limited.</w:t>
      </w:r>
    </w:p>
    <w:p w14:paraId="5BEFEBC3" w14:textId="77777777" w:rsidR="00F8416E" w:rsidRDefault="00000000" w:rsidP="007C24ED">
      <w:pPr>
        <w:jc w:val="both"/>
        <w:rPr>
          <w:rFonts w:hint="eastAsia"/>
        </w:rPr>
      </w:pPr>
      <w:r>
        <w:rPr>
          <w:rFonts w:eastAsia="Liberation Serif"/>
          <w:b/>
          <w:color w:val="000000"/>
        </w:rPr>
        <w:t xml:space="preserve">Methods: </w:t>
      </w:r>
      <w:r>
        <w:rPr>
          <w:rFonts w:eastAsia="Liberation Serif"/>
          <w:color w:val="000000"/>
        </w:rPr>
        <w:t>Urine from three healthy donors and three independent batches of wild forest honey were processed by differential centrifugation, 0.22 µm filtration, and ultracentrifugation at 100,000 × g. Preparations were characterized by dynamic light scattering (DLS), apparent zeta potential, Bradford total-protein assay, exploratory bead-based anti-human CD9/CD81 flow cytometry, and cryoelectron microscopy (cryo-EM).</w:t>
      </w:r>
    </w:p>
    <w:p w14:paraId="1E347E32" w14:textId="77777777" w:rsidR="00F8416E" w:rsidRDefault="00000000" w:rsidP="007C24ED">
      <w:pPr>
        <w:jc w:val="both"/>
        <w:rPr>
          <w:rFonts w:hint="eastAsia"/>
        </w:rPr>
      </w:pPr>
      <w:r>
        <w:rPr>
          <w:rFonts w:eastAsia="Liberation Serif"/>
          <w:b/>
          <w:color w:val="000000"/>
        </w:rPr>
        <w:t xml:space="preserve">Results: </w:t>
      </w:r>
      <w:r>
        <w:rPr>
          <w:rFonts w:eastAsia="Liberation Serif"/>
          <w:color w:val="000000"/>
        </w:rPr>
        <w:t>Urine preparations showed DLS Z-average values of 111.9-324.9 nm, whereas honey preparations showed 211.3-614.1 nm, indicating marked intensity-weighted heterogeneity. Apparent zeta potentials measured in high-conductivity phosphate-buffered saline were approximately +0.1 mV for urine and -3.0 to -1.6 mV for honey and were considered buffer-limited. Total protein concentrations were 187.7 µg/mL for urine and 181.6 µg/mL for honey. Anti-human CD81-positive bead events were 20.0% in urine and 0.3% in honey; the human assay is not validated for honey-derived particles. Cryo-EM demonstrated membrane-enclosed vesicular structures in both matrices.</w:t>
      </w:r>
    </w:p>
    <w:p w14:paraId="5ED9FC49" w14:textId="77777777" w:rsidR="00F8416E" w:rsidRDefault="00000000" w:rsidP="007C24ED">
      <w:pPr>
        <w:jc w:val="both"/>
        <w:rPr>
          <w:rFonts w:hint="eastAsia"/>
        </w:rPr>
      </w:pPr>
      <w:r>
        <w:rPr>
          <w:rFonts w:eastAsia="Liberation Serif"/>
          <w:b/>
          <w:color w:val="000000"/>
        </w:rPr>
        <w:t xml:space="preserve">Conclusion: </w:t>
      </w:r>
      <w:r>
        <w:rPr>
          <w:rFonts w:eastAsia="Liberation Serif"/>
          <w:color w:val="000000"/>
        </w:rPr>
        <w:t>The two preparations showed distinct physicochemical profiles and matrix-dependent analytical limitations. These findings provide a descriptive baseline and support the need for particle-number measurements, broader marker panels, and source-appropriate assays before biological or therapeutic inferences are made.</w:t>
      </w:r>
    </w:p>
    <w:p w14:paraId="6BB0583B" w14:textId="77777777" w:rsidR="00F8416E" w:rsidRDefault="00000000" w:rsidP="007C24ED">
      <w:pPr>
        <w:jc w:val="both"/>
        <w:rPr>
          <w:rFonts w:hint="eastAsia"/>
        </w:rPr>
      </w:pPr>
      <w:r>
        <w:rPr>
          <w:rFonts w:eastAsia="Liberation Serif"/>
          <w:b/>
          <w:color w:val="000000"/>
        </w:rPr>
        <w:t xml:space="preserve">Keywords: </w:t>
      </w:r>
      <w:r>
        <w:rPr>
          <w:rFonts w:eastAsia="Liberation Serif"/>
          <w:color w:val="000000"/>
        </w:rPr>
        <w:t>Cryoelectron Microscopy; Extracellular Vesicles; Honey; Nanoparticles; Ultracentrifugation</w:t>
      </w:r>
    </w:p>
    <w:sectPr w:rsidR="00F8416E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6441412">
    <w:abstractNumId w:val="8"/>
  </w:num>
  <w:num w:numId="2" w16cid:durableId="535191371">
    <w:abstractNumId w:val="6"/>
  </w:num>
  <w:num w:numId="3" w16cid:durableId="1793942755">
    <w:abstractNumId w:val="5"/>
  </w:num>
  <w:num w:numId="4" w16cid:durableId="582682954">
    <w:abstractNumId w:val="4"/>
  </w:num>
  <w:num w:numId="5" w16cid:durableId="1444962474">
    <w:abstractNumId w:val="7"/>
  </w:num>
  <w:num w:numId="6" w16cid:durableId="951593726">
    <w:abstractNumId w:val="3"/>
  </w:num>
  <w:num w:numId="7" w16cid:durableId="552816128">
    <w:abstractNumId w:val="2"/>
  </w:num>
  <w:num w:numId="8" w16cid:durableId="82457661">
    <w:abstractNumId w:val="1"/>
  </w:num>
  <w:num w:numId="9" w16cid:durableId="1388648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76F9"/>
    <w:rsid w:val="005F6670"/>
    <w:rsid w:val="007C24ED"/>
    <w:rsid w:val="00AA1D8D"/>
    <w:rsid w:val="00B47730"/>
    <w:rsid w:val="00CB0664"/>
    <w:rsid w:val="00F841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A9D276"/>
  <w14:defaultImageDpi w14:val="300"/>
  <w15:docId w15:val="{7A1A4F10-300A-422A-B888-D81BF1420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Liberation Serif" w:hAnsi="Liberation Serif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>.</cp:lastModifiedBy>
  <cp:revision>3</cp:revision>
  <dcterms:created xsi:type="dcterms:W3CDTF">2013-12-23T23:15:00Z</dcterms:created>
  <dcterms:modified xsi:type="dcterms:W3CDTF">2026-09-08T02:43:00Z</dcterms:modified>
  <cp:category/>
</cp:coreProperties>
</file>