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24"/>
        </w:rPr>
        <w:drawing>
          <wp:inline xmlns:a="http://schemas.openxmlformats.org/drawingml/2006/main" xmlns:pic="http://schemas.openxmlformats.org/drawingml/2006/picture">
            <wp:extent cx="5852160" cy="619276"/>
            <wp:docPr id="1" name="Picture 1"/>
            <wp:cNvGraphicFramePr>
              <a:graphicFrameLocks noChangeAspect="1"/>
            </wp:cNvGraphicFramePr>
            <a:graphic>
              <a:graphicData uri="http://schemas.openxmlformats.org/drawingml/2006/picture">
                <pic:pic>
                  <pic:nvPicPr>
                    <pic:cNvPr id="0" name="clinical_diabetology_banner_full.png"/>
                    <pic:cNvPicPr/>
                  </pic:nvPicPr>
                  <pic:blipFill>
                    <a:blip r:embed="rId9"/>
                    <a:stretch>
                      <a:fillRect/>
                    </a:stretch>
                  </pic:blipFill>
                  <pic:spPr>
                    <a:xfrm>
                      <a:off x="0" y="0"/>
                      <a:ext cx="5852160" cy="619276"/>
                    </a:xfrm>
                    <a:prstGeom prst="rect"/>
                  </pic:spPr>
                </pic:pic>
              </a:graphicData>
            </a:graphic>
          </wp:inline>
        </w:drawing>
      </w:r>
    </w:p>
    <w:p>
      <w:pPr>
        <w:spacing w:after="100" w:before="0" w:line="240" w:lineRule="auto"/>
        <w:jc w:val="center"/>
      </w:pPr>
      <w:r>
        <w:rPr>
          <w:rFonts w:ascii="Arial" w:hAnsi="Arial" w:eastAsia="Arial"/>
          <w:b/>
          <w:sz w:val="24"/>
        </w:rPr>
        <w:t>AUTHOR STATEMENT</w:t>
      </w:r>
    </w:p>
    <w:p>
      <w:pPr>
        <w:spacing w:after="0" w:before="0" w:line="240" w:lineRule="auto"/>
      </w:pPr>
      <w:r>
        <w:rPr>
          <w:rFonts w:ascii="Arial" w:hAnsi="Arial" w:eastAsia="Arial"/>
          <w:b w:val="0"/>
          <w:sz w:val="24"/>
        </w:rPr>
        <w:t>Title of the article:</w:t>
      </w:r>
    </w:p>
    <w:p>
      <w:pPr>
        <w:spacing w:after="60" w:before="0" w:line="240" w:lineRule="auto"/>
      </w:pPr>
      <w:r>
        <w:rPr>
          <w:sz w:val="24"/>
        </w:rPr>
        <w:t>Short-Term Blood Glucose Reduction After Bodyweight Soleus Push-Up in Type 2 Diabetes</w:t>
      </w:r>
    </w:p>
    <w:p>
      <w:pPr>
        <w:spacing w:after="0" w:before="0" w:line="240" w:lineRule="auto"/>
      </w:pPr>
      <w:r>
        <w:rPr>
          <w:rFonts w:ascii="Arial" w:hAnsi="Arial" w:eastAsia="Arial"/>
          <w:b w:val="0"/>
          <w:sz w:val="24"/>
        </w:rPr>
        <w:t>Author(s):</w:t>
      </w:r>
    </w:p>
    <w:p>
      <w:pPr>
        <w:spacing w:after="60" w:before="0" w:line="240" w:lineRule="auto"/>
      </w:pPr>
      <w:r>
        <w:rPr>
          <w:rFonts w:ascii="Arial" w:hAnsi="Arial" w:eastAsia="Arial"/>
          <w:b w:val="0"/>
          <w:sz w:val="24"/>
        </w:rPr>
        <w:t>Cholik Harun Rosjidi, Narmawan, Risnawati, Siti Umrana, Muhammad Syahwal, Narmi, Mien, Hasrima, Herman, Mubarak, Rahmawati A</w:t>
      </w:r>
    </w:p>
    <w:p>
      <w:pPr>
        <w:spacing w:after="0" w:before="0" w:line="240" w:lineRule="auto"/>
      </w:pPr>
      <w:r>
        <w:rPr>
          <w:rFonts w:ascii="Arial" w:hAnsi="Arial" w:eastAsia="Arial"/>
          <w:b w:val="0"/>
          <w:sz w:val="24"/>
        </w:rPr>
        <w:t>Name of the author responsible for correspondence with the Publisher:</w:t>
      </w:r>
    </w:p>
    <w:p>
      <w:pPr>
        <w:spacing w:after="0" w:before="0" w:line="240" w:lineRule="auto"/>
      </w:pPr>
      <w:r>
        <w:rPr>
          <w:rFonts w:ascii="Arial" w:hAnsi="Arial" w:eastAsia="Arial"/>
          <w:b w:val="0"/>
          <w:sz w:val="24"/>
        </w:rPr>
        <w:t>Cholik Harun Rosjidi</w:t>
      </w:r>
    </w:p>
    <w:p>
      <w:pPr>
        <w:spacing w:after="0" w:before="0" w:line="240" w:lineRule="auto"/>
      </w:pPr>
      <w:r>
        <w:rPr>
          <w:rFonts w:ascii="Arial" w:hAnsi="Arial" w:eastAsia="Arial"/>
          <w:b w:val="0"/>
          <w:sz w:val="24"/>
        </w:rPr>
        <w:t>Address:</w:t>
      </w:r>
    </w:p>
    <w:p>
      <w:pPr>
        <w:spacing w:after="0" w:before="0" w:line="240" w:lineRule="auto"/>
      </w:pPr>
      <w:r>
        <w:rPr>
          <w:rFonts w:ascii="Arial" w:hAnsi="Arial" w:eastAsia="Arial"/>
          <w:b w:val="0"/>
          <w:sz w:val="24"/>
        </w:rPr>
        <w:t>STIKES Mandala Waluya Kendari, Kendari, South East Sulawesi, ID</w:t>
      </w:r>
    </w:p>
    <w:p>
      <w:pPr>
        <w:spacing w:after="0" w:before="0" w:line="240" w:lineRule="auto"/>
      </w:pPr>
      <w:r>
        <w:rPr>
          <w:rFonts w:ascii="Arial" w:hAnsi="Arial" w:eastAsia="Arial"/>
          <w:b w:val="0"/>
          <w:sz w:val="24"/>
        </w:rPr>
        <w:t>Tel/Fax: +62 87853356988 / N/A</w:t>
      </w:r>
    </w:p>
    <w:p>
      <w:pPr>
        <w:spacing w:after="100" w:before="0" w:line="240" w:lineRule="auto"/>
      </w:pPr>
      <w:r>
        <w:rPr>
          <w:rFonts w:ascii="Arial" w:hAnsi="Arial" w:eastAsia="Arial"/>
          <w:b w:val="0"/>
          <w:sz w:val="24"/>
        </w:rPr>
        <w:t>E-mail: rosjdicholikharun1972@gmail.com</w:t>
      </w:r>
    </w:p>
    <w:p>
      <w:pPr>
        <w:spacing w:after="0" w:before="0" w:line="240" w:lineRule="auto"/>
      </w:pPr>
      <w:r>
        <w:rPr>
          <w:rFonts w:ascii="Arial" w:hAnsi="Arial" w:eastAsia="Arial"/>
          <w:b w:val="0"/>
          <w:sz w:val="24"/>
        </w:rPr>
        <w:t>The author(s) hereby confirm(s) that:</w:t>
      </w:r>
    </w:p>
    <w:p>
      <w:pPr>
        <w:spacing w:after="20" w:before="0" w:line="240" w:lineRule="auto"/>
        <w:ind w:left="432" w:hanging="259"/>
      </w:pPr>
      <w:r>
        <w:rPr>
          <w:rFonts w:ascii="Arial" w:hAnsi="Arial" w:eastAsia="Arial"/>
          <w:b w:val="0"/>
          <w:sz w:val="24"/>
        </w:rPr>
        <w:t>➢  The above-mentioned work has not previously been published and that it has not been submitted to the Publishers of any other journal (with the exception of abstracts not exceeding 250 words);</w:t>
      </w:r>
    </w:p>
    <w:p>
      <w:pPr>
        <w:spacing w:after="20" w:before="0" w:line="240" w:lineRule="auto"/>
        <w:ind w:left="432" w:hanging="259"/>
      </w:pPr>
      <w:r>
        <w:rPr>
          <w:rFonts w:ascii="Arial" w:hAnsi="Arial" w:eastAsia="Arial"/>
          <w:b w:val="0"/>
          <w:sz w:val="24"/>
        </w:rPr>
        <w:t>➢  All the co-authors named and the relevant authorities of the scientific institutions in which the work has been carried out are familiar with the contents of this work and have agreed to its publication;</w:t>
      </w:r>
    </w:p>
    <w:p>
      <w:pPr>
        <w:spacing w:after="20" w:before="0" w:line="240" w:lineRule="auto"/>
        <w:ind w:left="432" w:hanging="259"/>
      </w:pPr>
      <w:r>
        <w:rPr>
          <w:rFonts w:ascii="Arial" w:hAnsi="Arial" w:eastAsia="Arial"/>
          <w:b w:val="0"/>
          <w:sz w:val="24"/>
        </w:rPr>
        <w:t>➢  When sending the manuscript together with illustrations, tables and videos the authors agree to the automatic and free transfer of copyright to the Publisher allowing for the publication and distribution of the material submitted in all available forms and fields of exploitation, without limits of territory or language, provided that the material is accepted for publication. At the same time the authors accept that the submitted work will not be published elsewhere and in whatever language without the earlier written permission of the copyright holder, i.e. the Publisher;</w:t>
      </w:r>
    </w:p>
    <w:p>
      <w:pPr>
        <w:spacing w:after="20" w:before="0" w:line="240" w:lineRule="auto"/>
        <w:ind w:left="432" w:hanging="259"/>
      </w:pPr>
      <w:r>
        <w:rPr>
          <w:rFonts w:ascii="Arial" w:hAnsi="Arial" w:eastAsia="Arial"/>
          <w:b w:val="0"/>
          <w:sz w:val="24"/>
        </w:rPr>
        <w:t>➢  The authors empower the Publisher to make any necessary editorial changes to the submitted manuscript;</w:t>
      </w:r>
    </w:p>
    <w:p>
      <w:pPr>
        <w:spacing w:after="20" w:before="0" w:line="240" w:lineRule="auto"/>
        <w:ind w:left="432" w:hanging="259"/>
      </w:pPr>
      <w:r>
        <w:rPr>
          <w:rFonts w:ascii="Arial" w:hAnsi="Arial" w:eastAsia="Arial"/>
          <w:b w:val="0"/>
          <w:sz w:val="24"/>
        </w:rPr>
        <w:t>➢  The manuscript has been prepared in accordance with the Publisher's requirements;</w:t>
      </w:r>
    </w:p>
    <w:p>
      <w:pPr>
        <w:spacing w:after="20" w:before="0" w:line="240" w:lineRule="auto"/>
        <w:ind w:left="432" w:hanging="259"/>
      </w:pPr>
      <w:r>
        <w:rPr>
          <w:rFonts w:ascii="Arial" w:hAnsi="Arial" w:eastAsia="Arial"/>
          <w:b w:val="0"/>
          <w:sz w:val="24"/>
        </w:rPr>
        <w:t>➢  The authors are familiar with the regulations governing the acceptance of works as published in CLINICAL DIABETOLOGY and agree to follow them;</w:t>
      </w:r>
    </w:p>
    <w:p>
      <w:pPr>
        <w:spacing w:after="20" w:before="0" w:line="240" w:lineRule="auto"/>
        <w:ind w:left="432" w:hanging="259"/>
      </w:pPr>
      <w:r>
        <w:rPr>
          <w:rFonts w:ascii="Arial" w:hAnsi="Arial" w:eastAsia="Arial"/>
          <w:b w:val="0"/>
          <w:sz w:val="24"/>
        </w:rPr>
        <w:t>➢  Protocol of the study was approved by the local Human Investigation Committee (or respective body) and subjects involved in the study signed informed consent approved by the institution (if relevant).</w:t>
      </w:r>
    </w:p>
    <w:p>
      <w:pPr>
        <w:spacing w:after="20" w:before="0" w:line="240" w:lineRule="auto"/>
        <w:ind w:left="432" w:hanging="259"/>
      </w:pPr>
      <w:r>
        <w:rPr>
          <w:rFonts w:ascii="Arial" w:hAnsi="Arial" w:eastAsia="Arial"/>
          <w:b w:val="0"/>
          <w:sz w:val="24"/>
        </w:rPr>
        <w:t>➢  The authors report any potential conflict of interest, which might include: grants funding the project; speaker honoraria from a company; consulting fees and stock options, other form of gratification.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tcPr>
          <w:p>
            <w:pPr>
              <w:spacing w:before="0" w:after="0" w:line="240" w:lineRule="auto"/>
            </w:pPr>
            <w:r>
              <w:rPr>
                <w:sz w:val="20"/>
              </w:rPr>
            </w:r>
            <w:r>
              <w:rPr>
                <w:rFonts w:ascii="Arial" w:hAnsi="Arial" w:eastAsia="Arial"/>
                <w:b/>
                <w:sz w:val="20"/>
              </w:rPr>
              <w:t>No.</w:t>
            </w:r>
          </w:p>
        </w:tc>
        <w:tc>
          <w:tcPr>
            <w:tcW w:type="dxa" w:w="2808"/>
            <w:vAlign w:val="top"/>
          </w:tcPr>
          <w:p>
            <w:pPr>
              <w:spacing w:before="0" w:after="0" w:line="240" w:lineRule="auto"/>
            </w:pPr>
            <w:r>
              <w:rPr>
                <w:sz w:val="20"/>
              </w:rPr>
            </w:r>
            <w:r>
              <w:rPr>
                <w:rFonts w:ascii="Arial" w:hAnsi="Arial" w:eastAsia="Arial"/>
                <w:b/>
                <w:sz w:val="20"/>
              </w:rPr>
              <w:t>Author’s name</w:t>
            </w:r>
          </w:p>
        </w:tc>
        <w:tc>
          <w:tcPr>
            <w:tcW w:type="dxa" w:w="2880"/>
            <w:vAlign w:val="top"/>
          </w:tcPr>
          <w:p>
            <w:pPr>
              <w:spacing w:before="0" w:after="0" w:line="240" w:lineRule="auto"/>
            </w:pPr>
            <w:r>
              <w:rPr>
                <w:sz w:val="20"/>
              </w:rPr>
            </w:r>
            <w:r>
              <w:rPr>
                <w:rFonts w:ascii="Arial" w:hAnsi="Arial" w:eastAsia="Arial"/>
                <w:b/>
                <w:sz w:val="20"/>
              </w:rPr>
              <w:t>Conflict of interest declaration</w:t>
            </w:r>
          </w:p>
        </w:tc>
        <w:tc>
          <w:tcPr>
            <w:tcW w:type="dxa" w:w="4608"/>
            <w:vAlign w:val="top"/>
          </w:tcPr>
          <w:p>
            <w:pPr>
              <w:spacing w:before="0" w:after="0" w:line="240" w:lineRule="auto"/>
            </w:pPr>
            <w:r>
              <w:rPr>
                <w:sz w:val="20"/>
              </w:rPr>
            </w:r>
            <w:r>
              <w:rPr>
                <w:rFonts w:ascii="Arial" w:hAnsi="Arial" w:eastAsia="Arial"/>
                <w:b/>
                <w:sz w:val="20"/>
              </w:rPr>
              <w:t>Nature and level of contribution to the article</w:t>
            </w:r>
          </w:p>
        </w:tc>
      </w:tr>
      <w:tr>
        <w:tc>
          <w:tcPr>
            <w:tcW w:type="dxa" w:w="648"/>
            <w:vAlign w:val="top"/>
          </w:tcPr>
          <w:p>
            <w:pPr>
              <w:spacing w:before="0" w:after="0" w:line="240" w:lineRule="auto"/>
            </w:pPr>
            <w:r>
              <w:rPr>
                <w:sz w:val="20"/>
              </w:rPr>
            </w:r>
            <w:r>
              <w:rPr>
                <w:rFonts w:ascii="Arial" w:hAnsi="Arial" w:eastAsia="Arial"/>
                <w:b w:val="0"/>
                <w:sz w:val="20"/>
              </w:rPr>
              <w:t>1.</w:t>
            </w:r>
          </w:p>
        </w:tc>
        <w:tc>
          <w:tcPr>
            <w:tcW w:type="dxa" w:w="2808"/>
            <w:vAlign w:val="top"/>
          </w:tcPr>
          <w:p>
            <w:pPr>
              <w:spacing w:before="0" w:after="0" w:line="240" w:lineRule="auto"/>
            </w:pPr>
            <w:r>
              <w:rPr>
                <w:sz w:val="20"/>
              </w:rPr>
            </w:r>
            <w:r>
              <w:rPr>
                <w:rFonts w:ascii="Arial" w:hAnsi="Arial" w:eastAsia="Arial"/>
                <w:b w:val="0"/>
                <w:sz w:val="20"/>
              </w:rPr>
              <w:t>Cholik Harun Rosjidi</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A, C, D, E: conception/design; drafting; critical revision; final approval.</w:t>
            </w:r>
          </w:p>
        </w:tc>
      </w:tr>
      <w:tr>
        <w:tc>
          <w:tcPr>
            <w:tcW w:type="dxa" w:w="648"/>
            <w:vAlign w:val="top"/>
          </w:tcPr>
          <w:p>
            <w:pPr>
              <w:spacing w:before="0" w:after="0" w:line="240" w:lineRule="auto"/>
            </w:pPr>
            <w:r>
              <w:rPr>
                <w:sz w:val="20"/>
              </w:rPr>
            </w:r>
            <w:r>
              <w:rPr>
                <w:rFonts w:ascii="Arial" w:hAnsi="Arial" w:eastAsia="Arial"/>
                <w:b w:val="0"/>
                <w:sz w:val="20"/>
              </w:rPr>
              <w:t>2.</w:t>
            </w:r>
          </w:p>
        </w:tc>
        <w:tc>
          <w:tcPr>
            <w:tcW w:type="dxa" w:w="2808"/>
            <w:vAlign w:val="top"/>
          </w:tcPr>
          <w:p>
            <w:pPr>
              <w:spacing w:before="0" w:after="0" w:line="240" w:lineRule="auto"/>
            </w:pPr>
            <w:r>
              <w:rPr>
                <w:sz w:val="20"/>
              </w:rPr>
            </w:r>
            <w:r>
              <w:rPr>
                <w:rFonts w:ascii="Arial" w:hAnsi="Arial" w:eastAsia="Arial"/>
                <w:b w:val="0"/>
                <w:sz w:val="20"/>
              </w:rPr>
              <w:t>Narmawan</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A, D, E, F: conception/design; critical revision; study materials/patients; final approval.</w:t>
            </w:r>
          </w:p>
        </w:tc>
      </w:tr>
      <w:tr>
        <w:tc>
          <w:tcPr>
            <w:tcW w:type="dxa" w:w="648"/>
            <w:vAlign w:val="top"/>
          </w:tcPr>
          <w:p>
            <w:pPr>
              <w:spacing w:before="0" w:after="0" w:line="240" w:lineRule="auto"/>
            </w:pPr>
            <w:r>
              <w:rPr>
                <w:sz w:val="20"/>
              </w:rPr>
            </w:r>
            <w:r>
              <w:rPr>
                <w:rFonts w:ascii="Arial" w:hAnsi="Arial" w:eastAsia="Arial"/>
                <w:b w:val="0"/>
                <w:sz w:val="20"/>
              </w:rPr>
              <w:t>3.</w:t>
            </w:r>
          </w:p>
        </w:tc>
        <w:tc>
          <w:tcPr>
            <w:tcW w:type="dxa" w:w="2808"/>
            <w:vAlign w:val="top"/>
          </w:tcPr>
          <w:p>
            <w:pPr>
              <w:spacing w:before="0" w:after="0" w:line="240" w:lineRule="auto"/>
            </w:pPr>
            <w:r>
              <w:rPr>
                <w:sz w:val="20"/>
              </w:rPr>
            </w:r>
            <w:r>
              <w:rPr>
                <w:rFonts w:ascii="Arial" w:hAnsi="Arial" w:eastAsia="Arial"/>
                <w:b w:val="0"/>
                <w:sz w:val="20"/>
              </w:rPr>
              <w:t>Risnawati</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C, E, F: drafting; study materials/patients; final approval.</w:t>
            </w:r>
          </w:p>
        </w:tc>
      </w:tr>
      <w:tr>
        <w:tc>
          <w:tcPr>
            <w:tcW w:type="dxa" w:w="648"/>
            <w:vAlign w:val="top"/>
          </w:tcPr>
          <w:p>
            <w:pPr>
              <w:spacing w:before="0" w:after="0" w:line="240" w:lineRule="auto"/>
            </w:pPr>
            <w:r>
              <w:rPr>
                <w:sz w:val="20"/>
              </w:rPr>
            </w:r>
            <w:r>
              <w:rPr>
                <w:rFonts w:ascii="Arial" w:hAnsi="Arial" w:eastAsia="Arial"/>
                <w:b w:val="0"/>
                <w:sz w:val="20"/>
              </w:rPr>
              <w:t>4.</w:t>
            </w:r>
          </w:p>
        </w:tc>
        <w:tc>
          <w:tcPr>
            <w:tcW w:type="dxa" w:w="2808"/>
            <w:vAlign w:val="top"/>
          </w:tcPr>
          <w:p>
            <w:pPr>
              <w:spacing w:before="0" w:after="0" w:line="240" w:lineRule="auto"/>
            </w:pPr>
            <w:r>
              <w:rPr>
                <w:sz w:val="20"/>
              </w:rPr>
            </w:r>
            <w:r>
              <w:rPr>
                <w:rFonts w:ascii="Arial" w:hAnsi="Arial" w:eastAsia="Arial"/>
                <w:b w:val="0"/>
                <w:sz w:val="20"/>
              </w:rPr>
              <w:t>Siti Umrana</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D, E, F: critical revision; study materials/patients; final approval.</w:t>
            </w:r>
          </w:p>
        </w:tc>
      </w:tr>
      <w:tr>
        <w:tc>
          <w:tcPr>
            <w:tcW w:type="dxa" w:w="648"/>
            <w:vAlign w:val="top"/>
          </w:tcPr>
          <w:p>
            <w:pPr>
              <w:spacing w:before="0" w:after="0" w:line="240" w:lineRule="auto"/>
            </w:pPr>
            <w:r>
              <w:rPr>
                <w:sz w:val="20"/>
              </w:rPr>
            </w:r>
            <w:r>
              <w:rPr>
                <w:rFonts w:ascii="Arial" w:hAnsi="Arial" w:eastAsia="Arial"/>
                <w:b w:val="0"/>
                <w:sz w:val="20"/>
              </w:rPr>
              <w:t>5.</w:t>
            </w:r>
          </w:p>
        </w:tc>
        <w:tc>
          <w:tcPr>
            <w:tcW w:type="dxa" w:w="2808"/>
            <w:vAlign w:val="top"/>
          </w:tcPr>
          <w:p>
            <w:pPr>
              <w:spacing w:before="0" w:after="0" w:line="240" w:lineRule="auto"/>
            </w:pPr>
            <w:r>
              <w:rPr>
                <w:sz w:val="20"/>
              </w:rPr>
            </w:r>
            <w:r>
              <w:rPr>
                <w:rFonts w:ascii="Arial" w:hAnsi="Arial" w:eastAsia="Arial"/>
                <w:b w:val="0"/>
                <w:sz w:val="20"/>
              </w:rPr>
              <w:t>Muhammad Syahwal</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B, E, G: data analysis/interpretation; statistical expertise; final approval.</w:t>
            </w:r>
          </w:p>
        </w:tc>
      </w:tr>
      <w:tr>
        <w:tc>
          <w:tcPr>
            <w:tcW w:type="dxa" w:w="648"/>
            <w:vAlign w:val="top"/>
          </w:tcPr>
          <w:p>
            <w:pPr>
              <w:spacing w:before="0" w:after="0" w:line="240" w:lineRule="auto"/>
            </w:pPr>
            <w:r>
              <w:rPr>
                <w:sz w:val="20"/>
              </w:rPr>
            </w:r>
            <w:r>
              <w:rPr>
                <w:rFonts w:ascii="Arial" w:hAnsi="Arial" w:eastAsia="Arial"/>
                <w:b w:val="0"/>
                <w:sz w:val="20"/>
              </w:rPr>
              <w:t>6.</w:t>
            </w:r>
          </w:p>
        </w:tc>
        <w:tc>
          <w:tcPr>
            <w:tcW w:type="dxa" w:w="2808"/>
            <w:vAlign w:val="top"/>
          </w:tcPr>
          <w:p>
            <w:pPr>
              <w:spacing w:before="0" w:after="0" w:line="240" w:lineRule="auto"/>
            </w:pPr>
            <w:r>
              <w:rPr>
                <w:sz w:val="20"/>
              </w:rPr>
            </w:r>
            <w:r>
              <w:rPr>
                <w:rFonts w:ascii="Arial" w:hAnsi="Arial" w:eastAsia="Arial"/>
                <w:b w:val="0"/>
                <w:sz w:val="20"/>
              </w:rPr>
              <w:t>Narmi</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C, E, F: drafting; study materials/patients; final approval.</w:t>
            </w:r>
          </w:p>
        </w:tc>
      </w:tr>
      <w:tr>
        <w:tc>
          <w:tcPr>
            <w:tcW w:type="dxa" w:w="648"/>
            <w:vAlign w:val="top"/>
          </w:tcPr>
          <w:p>
            <w:pPr>
              <w:spacing w:before="0" w:after="0" w:line="240" w:lineRule="auto"/>
            </w:pPr>
            <w:r>
              <w:rPr>
                <w:sz w:val="20"/>
              </w:rPr>
            </w:r>
            <w:r>
              <w:rPr>
                <w:rFonts w:ascii="Arial" w:hAnsi="Arial" w:eastAsia="Arial"/>
                <w:b w:val="0"/>
                <w:sz w:val="20"/>
              </w:rPr>
              <w:t>7.</w:t>
            </w:r>
          </w:p>
        </w:tc>
        <w:tc>
          <w:tcPr>
            <w:tcW w:type="dxa" w:w="2808"/>
            <w:vAlign w:val="top"/>
          </w:tcPr>
          <w:p>
            <w:pPr>
              <w:spacing w:before="0" w:after="0" w:line="240" w:lineRule="auto"/>
            </w:pPr>
            <w:r>
              <w:rPr>
                <w:sz w:val="20"/>
              </w:rPr>
            </w:r>
            <w:r>
              <w:rPr>
                <w:rFonts w:ascii="Arial" w:hAnsi="Arial" w:eastAsia="Arial"/>
                <w:b w:val="0"/>
                <w:sz w:val="20"/>
              </w:rPr>
              <w:t>Mien</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D, E: critical revision; final approval.</w:t>
            </w:r>
          </w:p>
        </w:tc>
      </w:tr>
      <w:tr>
        <w:tc>
          <w:tcPr>
            <w:tcW w:type="dxa" w:w="648"/>
            <w:vAlign w:val="top"/>
          </w:tcPr>
          <w:p>
            <w:pPr>
              <w:spacing w:before="0" w:after="0" w:line="240" w:lineRule="auto"/>
            </w:pPr>
            <w:r>
              <w:rPr>
                <w:sz w:val="20"/>
              </w:rPr>
            </w:r>
            <w:r>
              <w:rPr>
                <w:rFonts w:ascii="Arial" w:hAnsi="Arial" w:eastAsia="Arial"/>
                <w:b w:val="0"/>
                <w:sz w:val="20"/>
              </w:rPr>
              <w:t>8.</w:t>
            </w:r>
          </w:p>
        </w:tc>
        <w:tc>
          <w:tcPr>
            <w:tcW w:type="dxa" w:w="2808"/>
            <w:vAlign w:val="top"/>
          </w:tcPr>
          <w:p>
            <w:pPr>
              <w:spacing w:before="0" w:after="0" w:line="240" w:lineRule="auto"/>
            </w:pPr>
            <w:r>
              <w:rPr>
                <w:sz w:val="20"/>
              </w:rPr>
            </w:r>
            <w:r>
              <w:rPr>
                <w:rFonts w:ascii="Arial" w:hAnsi="Arial" w:eastAsia="Arial"/>
                <w:b w:val="0"/>
                <w:sz w:val="20"/>
              </w:rPr>
              <w:t>Hasrima</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E, F: study materials/patients; final approval.</w:t>
            </w:r>
          </w:p>
        </w:tc>
      </w:tr>
      <w:tr>
        <w:tc>
          <w:tcPr>
            <w:tcW w:type="dxa" w:w="648"/>
            <w:vAlign w:val="top"/>
          </w:tcPr>
          <w:p>
            <w:pPr>
              <w:spacing w:before="0" w:after="0" w:line="240" w:lineRule="auto"/>
            </w:pPr>
            <w:r>
              <w:rPr>
                <w:sz w:val="20"/>
              </w:rPr>
            </w:r>
            <w:r>
              <w:rPr>
                <w:rFonts w:ascii="Arial" w:hAnsi="Arial" w:eastAsia="Arial"/>
                <w:b w:val="0"/>
                <w:sz w:val="20"/>
              </w:rPr>
              <w:t>9.</w:t>
            </w:r>
          </w:p>
        </w:tc>
        <w:tc>
          <w:tcPr>
            <w:tcW w:type="dxa" w:w="2808"/>
            <w:vAlign w:val="top"/>
          </w:tcPr>
          <w:p>
            <w:pPr>
              <w:spacing w:before="0" w:after="0" w:line="240" w:lineRule="auto"/>
            </w:pPr>
            <w:r>
              <w:rPr>
                <w:sz w:val="20"/>
              </w:rPr>
            </w:r>
            <w:r>
              <w:rPr>
                <w:rFonts w:ascii="Arial" w:hAnsi="Arial" w:eastAsia="Arial"/>
                <w:b w:val="0"/>
                <w:sz w:val="20"/>
              </w:rPr>
              <w:t>Herman</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B, D, E, G: data analysis/interpretation; statistical expertise; critical revision; final approval.</w:t>
            </w:r>
          </w:p>
        </w:tc>
      </w:tr>
      <w:tr>
        <w:tc>
          <w:tcPr>
            <w:tcW w:type="dxa" w:w="648"/>
            <w:vAlign w:val="top"/>
          </w:tcPr>
          <w:p>
            <w:pPr>
              <w:spacing w:before="0" w:after="0" w:line="240" w:lineRule="auto"/>
            </w:pPr>
            <w:r>
              <w:rPr>
                <w:sz w:val="20"/>
              </w:rPr>
            </w:r>
            <w:r>
              <w:rPr>
                <w:rFonts w:ascii="Arial" w:hAnsi="Arial" w:eastAsia="Arial"/>
                <w:b w:val="0"/>
                <w:sz w:val="20"/>
              </w:rPr>
              <w:t>10.</w:t>
            </w:r>
          </w:p>
        </w:tc>
        <w:tc>
          <w:tcPr>
            <w:tcW w:type="dxa" w:w="2808"/>
            <w:vAlign w:val="top"/>
          </w:tcPr>
          <w:p>
            <w:pPr>
              <w:spacing w:before="0" w:after="0" w:line="240" w:lineRule="auto"/>
            </w:pPr>
            <w:r>
              <w:rPr>
                <w:sz w:val="20"/>
              </w:rPr>
            </w:r>
            <w:r>
              <w:rPr>
                <w:rFonts w:ascii="Arial" w:hAnsi="Arial" w:eastAsia="Arial"/>
                <w:b w:val="0"/>
                <w:sz w:val="20"/>
              </w:rPr>
              <w:t>Mubarak</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A, D, E: conception/design; critical revision; final approval.</w:t>
            </w:r>
          </w:p>
        </w:tc>
      </w:tr>
      <w:tr>
        <w:tc>
          <w:tcPr>
            <w:tcW w:type="dxa" w:w="648"/>
            <w:vAlign w:val="top"/>
          </w:tcPr>
          <w:p>
            <w:pPr>
              <w:spacing w:before="0" w:after="0" w:line="240" w:lineRule="auto"/>
            </w:pPr>
            <w:r>
              <w:rPr>
                <w:sz w:val="20"/>
              </w:rPr>
            </w:r>
            <w:r>
              <w:rPr>
                <w:rFonts w:ascii="Arial" w:hAnsi="Arial" w:eastAsia="Arial"/>
                <w:b w:val="0"/>
                <w:sz w:val="20"/>
              </w:rPr>
              <w:t>11.</w:t>
            </w:r>
          </w:p>
        </w:tc>
        <w:tc>
          <w:tcPr>
            <w:tcW w:type="dxa" w:w="2808"/>
            <w:vAlign w:val="top"/>
          </w:tcPr>
          <w:p>
            <w:pPr>
              <w:spacing w:before="0" w:after="0" w:line="240" w:lineRule="auto"/>
            </w:pPr>
            <w:r>
              <w:rPr>
                <w:sz w:val="20"/>
              </w:rPr>
            </w:r>
            <w:r>
              <w:rPr>
                <w:rFonts w:ascii="Arial" w:hAnsi="Arial" w:eastAsia="Arial"/>
                <w:b w:val="0"/>
                <w:sz w:val="20"/>
              </w:rPr>
              <w:t>Rahmawati A</w:t>
            </w:r>
          </w:p>
        </w:tc>
        <w:tc>
          <w:tcPr>
            <w:tcW w:type="dxa" w:w="2880"/>
            <w:vAlign w:val="top"/>
          </w:tcPr>
          <w:p>
            <w:pPr>
              <w:spacing w:before="0" w:after="0" w:line="240" w:lineRule="auto"/>
            </w:pPr>
            <w:r>
              <w:rPr>
                <w:sz w:val="20"/>
              </w:rPr>
            </w:r>
            <w:r>
              <w:rPr>
                <w:rFonts w:ascii="Arial" w:hAnsi="Arial" w:eastAsia="Arial"/>
                <w:b w:val="0"/>
                <w:sz w:val="20"/>
              </w:rPr>
              <w:t>No conflict of interest.</w:t>
            </w:r>
          </w:p>
        </w:tc>
        <w:tc>
          <w:tcPr>
            <w:tcW w:type="dxa" w:w="4608"/>
            <w:vAlign w:val="top"/>
          </w:tcPr>
          <w:p>
            <w:pPr>
              <w:spacing w:before="0" w:after="0" w:line="240" w:lineRule="auto"/>
            </w:pPr>
            <w:r>
              <w:rPr>
                <w:sz w:val="20"/>
              </w:rPr>
            </w:r>
            <w:r>
              <w:rPr>
                <w:rFonts w:ascii="Arial" w:hAnsi="Arial" w:eastAsia="Arial"/>
                <w:b w:val="0"/>
                <w:sz w:val="20"/>
              </w:rPr>
              <w:t>C, E, F: drafting; study materials/patients; final approval.</w:t>
            </w:r>
          </w:p>
        </w:tc>
      </w:tr>
    </w:tbl>
    <w:p>
      <w:pPr>
        <w:spacing w:before="120" w:after="0"/>
      </w:pPr>
      <w:r>
        <w:rPr>
          <w:sz w:val="24"/>
        </w:rPr>
        <w:t>19 September 2026        Signature of the author who obtained the consent of the co-authors (if any): ______________________________</w:t>
      </w:r>
    </w:p>
    <w:sectPr w:rsidR="00FC693F" w:rsidRPr="0006063C" w:rsidSect="00034616">
      <w:footerReference w:type="default" r:id="rId10"/>
      <w:pgSz w:w="12240" w:h="15840"/>
      <w:pgMar w:top="504" w:right="936" w:bottom="50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drawing>
        <wp:inline xmlns:a="http://schemas.openxmlformats.org/drawingml/2006/main" xmlns:pic="http://schemas.openxmlformats.org/drawingml/2006/picture">
          <wp:extent cx="6217920" cy="432551"/>
          <wp:docPr id="1" name="Picture 1"/>
          <wp:cNvGraphicFramePr>
            <a:graphicFrameLocks noChangeAspect="1"/>
          </wp:cNvGraphicFramePr>
          <a:graphic>
            <a:graphicData uri="http://schemas.openxmlformats.org/drawingml/2006/picture">
              <pic:pic>
                <pic:nvPicPr>
                  <pic:cNvPr id="0" name="clinical_diabetology_footer.png"/>
                  <pic:cNvPicPr/>
                </pic:nvPicPr>
                <pic:blipFill>
                  <a:blip r:embed="rId1"/>
                  <a:stretch>
                    <a:fillRect/>
                  </a:stretch>
                </pic:blipFill>
                <pic:spPr>
                  <a:xfrm>
                    <a:off x="0" y="0"/>
                    <a:ext cx="6217920" cy="432551"/>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Diabetology Author Statement</dc:title>
  <dc:subject/>
  <dc:creator/>
  <cp:keywords/>
  <dc:description/>
  <cp:lastModifiedBy/>
  <cp:revision>1</cp:revision>
  <dcterms:created xsi:type="dcterms:W3CDTF">2013-12-23T23:15:00Z</dcterms:created>
  <dcterms:modified xsi:type="dcterms:W3CDTF">2013-12-23T23:15:00Z</dcterms:modified>
  <cp:category/>
</cp:coreProperties>
</file>