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sz w:val="22"/>
        </w:rPr>
        <w:drawing>
          <wp:inline xmlns:a="http://schemas.openxmlformats.org/drawingml/2006/main" xmlns:pic="http://schemas.openxmlformats.org/drawingml/2006/picture">
            <wp:extent cx="5120640" cy="541867"/>
            <wp:docPr id="1" name="Picture 1"/>
            <wp:cNvGraphicFramePr>
              <a:graphicFrameLocks noChangeAspect="1"/>
            </wp:cNvGraphicFramePr>
            <a:graphic>
              <a:graphicData uri="http://schemas.openxmlformats.org/drawingml/2006/picture">
                <pic:pic>
                  <pic:nvPicPr>
                    <pic:cNvPr id="0" name="clinical_diabetology_banner_full.png"/>
                    <pic:cNvPicPr/>
                  </pic:nvPicPr>
                  <pic:blipFill>
                    <a:blip r:embed="rId9"/>
                    <a:stretch>
                      <a:fillRect/>
                    </a:stretch>
                  </pic:blipFill>
                  <pic:spPr>
                    <a:xfrm>
                      <a:off x="0" y="0"/>
                      <a:ext cx="5120640" cy="541867"/>
                    </a:xfrm>
                    <a:prstGeom prst="rect"/>
                  </pic:spPr>
                </pic:pic>
              </a:graphicData>
            </a:graphic>
          </wp:inline>
        </w:drawing>
      </w:r>
    </w:p>
    <w:p>
      <w:pPr>
        <w:spacing w:before="360" w:after="360" w:line="240" w:lineRule="auto"/>
        <w:jc w:val="right"/>
      </w:pPr>
      <w:r>
        <w:rPr>
          <w:rFonts w:ascii="Arial" w:hAnsi="Arial" w:eastAsia="Arial"/>
          <w:b/>
          <w:i w:val="0"/>
          <w:color w:val="103255"/>
          <w:sz w:val="22"/>
        </w:rPr>
        <w:t>www.viamedica.journals.pl</w:t>
      </w:r>
    </w:p>
    <w:p>
      <w:pPr>
        <w:spacing w:before="0" w:after="400" w:line="240" w:lineRule="auto"/>
        <w:jc w:val="right"/>
      </w:pPr>
      <w:r>
        <w:rPr>
          <w:rFonts w:ascii="Arial" w:hAnsi="Arial" w:eastAsia="Arial"/>
          <w:b/>
          <w:i w:val="0"/>
          <w:sz w:val="22"/>
        </w:rPr>
        <w:t>Submission date: 19 September 2026</w:t>
      </w:r>
    </w:p>
    <w:p>
      <w:pPr>
        <w:spacing w:before="0" w:after="20" w:line="240" w:lineRule="auto"/>
      </w:pPr>
      <w:r>
        <w:rPr>
          <w:rFonts w:ascii="Arial" w:hAnsi="Arial" w:eastAsia="Arial"/>
          <w:b/>
          <w:i w:val="0"/>
          <w:sz w:val="22"/>
        </w:rPr>
        <w:t>Address to the Editors-in-Chief:</w:t>
      </w:r>
    </w:p>
    <w:p>
      <w:pPr>
        <w:spacing w:before="0" w:after="20" w:line="240" w:lineRule="auto"/>
      </w:pPr>
      <w:r>
        <w:rPr>
          <w:rFonts w:ascii="Arial" w:hAnsi="Arial" w:eastAsia="Arial"/>
          <w:b w:val="0"/>
          <w:i w:val="0"/>
          <w:sz w:val="22"/>
        </w:rPr>
        <w:t>Prof. Viral N. Shah</w:t>
      </w:r>
    </w:p>
    <w:p>
      <w:pPr>
        <w:spacing w:before="0" w:after="140" w:line="240" w:lineRule="auto"/>
      </w:pPr>
      <w:r>
        <w:rPr>
          <w:rFonts w:ascii="Arial" w:hAnsi="Arial" w:eastAsia="Arial"/>
          <w:b w:val="0"/>
          <w:i w:val="0"/>
          <w:sz w:val="22"/>
        </w:rPr>
        <w:t>Editor-in-Chief, Clinical Diabetology</w:t>
      </w:r>
    </w:p>
    <w:p>
      <w:pPr>
        <w:spacing w:before="0" w:after="300" w:line="240" w:lineRule="auto"/>
        <w:jc w:val="center"/>
      </w:pPr>
      <w:r>
        <w:rPr>
          <w:rFonts w:ascii="Arial" w:hAnsi="Arial" w:eastAsia="Arial"/>
          <w:b/>
          <w:i w:val="0"/>
          <w:sz w:val="22"/>
        </w:rPr>
        <w:t>COVER LETTER</w:t>
      </w:r>
    </w:p>
    <w:p>
      <w:pPr>
        <w:spacing w:before="0" w:after="160" w:line="240" w:lineRule="auto"/>
      </w:pPr>
      <w:r>
        <w:rPr>
          <w:rFonts w:ascii="Arial" w:hAnsi="Arial" w:eastAsia="Arial"/>
          <w:b w:val="0"/>
          <w:i w:val="0"/>
          <w:sz w:val="22"/>
        </w:rPr>
        <w:t>Dear Editor,</w:t>
      </w:r>
    </w:p>
    <w:p>
      <w:pPr>
        <w:spacing w:before="0" w:after="40" w:line="240" w:lineRule="auto"/>
      </w:pPr>
      <w:r>
        <w:rPr>
          <w:rFonts w:ascii="Arial" w:hAnsi="Arial" w:eastAsia="Arial"/>
          <w:b/>
          <w:i w:val="0"/>
          <w:sz w:val="22"/>
        </w:rPr>
        <w:t>Paragraph 1: Overview (Article title, type, design, major finding)</w:t>
      </w:r>
    </w:p>
    <w:p>
      <w:pPr>
        <w:spacing w:before="0" w:after="40" w:line="240" w:lineRule="auto"/>
      </w:pPr>
      <w:r>
        <w:rPr>
          <w:rFonts w:ascii="Arial" w:hAnsi="Arial" w:eastAsia="Arial"/>
          <w:b w:val="0"/>
          <w:i w:val="0"/>
          <w:sz w:val="22"/>
        </w:rPr>
        <w:t>We are pleased to submit our manuscript titled: “Short-Term Blood Glucose Reduction After Bodyweight Soleus Push-Up in Type 2 Diabetes”, for consideration as an Observation Letter.</w:t>
      </w:r>
    </w:p>
    <w:p>
      <w:pPr>
        <w:spacing w:before="0" w:after="140" w:line="240" w:lineRule="auto"/>
      </w:pPr>
      <w:r>
        <w:rPr>
          <w:rFonts w:ascii="Arial" w:hAnsi="Arial" w:eastAsia="Arial"/>
          <w:b w:val="0"/>
          <w:i w:val="0"/>
          <w:sz w:val="22"/>
        </w:rPr>
        <w:t>This submission follows the editorial recommendation for manuscript ID #114737. The manuscript has been reformatted as a single double-spaced Observation Letter without an abstract, with five references and one table. The observation reports a simple, low-cost, seated soleus push-up intervention and describes a greater short-term reduction in capillary blood glucose after bodyweight soleus push-up than after the non-weighted movement among adults with type 2 diabetes. The topic is relevant to Clinical Diabetology because it addresses a practical non-pharmacological adjunct for diabetes management in primary healthcare and community settings.</w:t>
      </w:r>
    </w:p>
    <w:p>
      <w:pPr>
        <w:spacing w:before="0" w:after="40" w:line="240" w:lineRule="auto"/>
      </w:pPr>
      <w:r>
        <w:rPr>
          <w:rFonts w:ascii="Arial" w:hAnsi="Arial" w:eastAsia="Arial"/>
          <w:b/>
          <w:i w:val="0"/>
          <w:sz w:val="22"/>
        </w:rPr>
        <w:t>Paragraph 2: Current submission and prior presentations disclosure</w:t>
      </w:r>
    </w:p>
    <w:p>
      <w:pPr>
        <w:spacing w:before="0" w:after="140" w:line="240" w:lineRule="auto"/>
      </w:pPr>
      <w:r>
        <w:rPr>
          <w:rFonts w:ascii="Arial" w:hAnsi="Arial" w:eastAsia="Arial"/>
          <w:b w:val="0"/>
          <w:i w:val="0"/>
          <w:sz w:val="22"/>
        </w:rPr>
        <w:t>This manuscript has not been previously published and is not under consideration in the same or substantially similar form in any other peer-reviewed media. The manuscript is prepared per the Guide for Authors and according to the editorial request to resubmit it as an Observation Letter. This work has not been presented previously in any scientific meeting.</w:t>
      </w:r>
    </w:p>
    <w:p>
      <w:pPr>
        <w:spacing w:before="0" w:after="40" w:line="240" w:lineRule="auto"/>
      </w:pPr>
      <w:r>
        <w:rPr>
          <w:rFonts w:ascii="Arial" w:hAnsi="Arial" w:eastAsia="Arial"/>
          <w:b/>
          <w:i w:val="0"/>
          <w:sz w:val="22"/>
        </w:rPr>
        <w:t>Paragraph 3: Authorship and conflicts</w:t>
      </w:r>
    </w:p>
    <w:p>
      <w:pPr>
        <w:spacing w:before="0" w:after="140" w:line="240" w:lineRule="auto"/>
      </w:pPr>
      <w:r>
        <w:rPr>
          <w:rFonts w:ascii="Arial" w:hAnsi="Arial" w:eastAsia="Arial"/>
          <w:b w:val="0"/>
          <w:i w:val="0"/>
          <w:sz w:val="22"/>
        </w:rPr>
        <w:t>All authors listed have contributed sufficiently to the project to be included as authors, and all those who are qualified to be authors are listed in the author byline. All authors have read and approved the submitted Observation Letter. Author contributions, funding, and conflict of interest are disclosed in the manuscript per the Journal guidelines. The authors declare that they have no conflict of interest. This research received no specific grant from any funding agency in the public, commercial, or not-for-profit sectors.</w:t>
      </w:r>
    </w:p>
    <w:p>
      <w:pPr>
        <w:spacing w:before="0" w:after="40" w:line="240" w:lineRule="auto"/>
      </w:pPr>
      <w:r>
        <w:rPr>
          <w:rFonts w:ascii="Arial" w:hAnsi="Arial" w:eastAsia="Arial"/>
          <w:b/>
          <w:i w:val="0"/>
          <w:sz w:val="22"/>
        </w:rPr>
        <w:t>Paragraph 4: Potential reviewers (optional)</w:t>
      </w:r>
    </w:p>
    <w:p>
      <w:pPr>
        <w:spacing w:before="0" w:after="140" w:line="240" w:lineRule="auto"/>
      </w:pPr>
      <w:r>
        <w:rPr>
          <w:rFonts w:ascii="Arial" w:hAnsi="Arial" w:eastAsia="Arial"/>
          <w:b w:val="0"/>
          <w:i w:val="0"/>
          <w:sz w:val="22"/>
        </w:rPr>
        <w:t>We suggest the following potential reviewers for consideration by the Editorial Office: Suchada Saovieng, PhD, Mahidol University, Bangkok, Thailand (suchada.sao@mahidol.ac.th); and Su Chi Lim, MD/PhD, Singapore (lim.su.chi@nhghealth.com.sg). To the best of our knowledge, the suggested reviewers are not from our institution, have relevant expertise in diabetes and exercise-related research, have not substantially worked with the authors in the past two years, and have no conflicts of interest that would interfere with their objectivity.</w:t>
      </w:r>
    </w:p>
    <w:p>
      <w:pPr>
        <w:spacing w:before="0" w:after="120" w:line="240" w:lineRule="auto"/>
      </w:pPr>
      <w:r>
        <w:rPr>
          <w:rFonts w:ascii="Arial" w:hAnsi="Arial" w:eastAsia="Arial"/>
          <w:b/>
          <w:i w:val="0"/>
          <w:sz w:val="22"/>
        </w:rPr>
        <w:t>Sincerely,</w:t>
      </w:r>
    </w:p>
    <w:p>
      <w:pPr>
        <w:spacing w:before="0" w:after="20" w:line="240" w:lineRule="auto"/>
      </w:pPr>
      <w:r>
        <w:rPr>
          <w:rFonts w:ascii="Arial" w:hAnsi="Arial" w:eastAsia="Arial"/>
          <w:b/>
          <w:i w:val="0"/>
          <w:sz w:val="22"/>
        </w:rPr>
        <w:t>Corresponding author</w:t>
      </w:r>
    </w:p>
    <w:p>
      <w:pPr>
        <w:spacing w:before="0" w:after="100" w:line="240" w:lineRule="auto"/>
      </w:pPr>
      <w:r>
        <w:rPr>
          <w:rFonts w:ascii="Arial" w:hAnsi="Arial" w:eastAsia="Arial"/>
          <w:b w:val="0"/>
          <w:i w:val="0"/>
          <w:sz w:val="22"/>
        </w:rPr>
        <w:t>Cholik Harun Rosjidi, STIKES Mandala Waluya Kendari, Kendari, South East Sulawesi, ID; E-mail: rosjdicholikharun1972@gmail.com; Phone: +62 878 5335 6988</w:t>
      </w:r>
    </w:p>
    <w:p>
      <w:pPr>
        <w:spacing w:before="0" w:after="20" w:line="240" w:lineRule="auto"/>
      </w:pPr>
      <w:r>
        <w:rPr>
          <w:rFonts w:ascii="Arial" w:hAnsi="Arial" w:eastAsia="Arial"/>
          <w:b/>
          <w:i w:val="0"/>
          <w:sz w:val="22"/>
        </w:rPr>
        <w:t>Back up contact</w:t>
      </w:r>
    </w:p>
    <w:p>
      <w:pPr>
        <w:spacing w:before="0" w:after="0" w:line="240" w:lineRule="auto"/>
      </w:pPr>
      <w:r>
        <w:rPr>
          <w:rFonts w:ascii="Arial" w:hAnsi="Arial" w:eastAsia="Arial"/>
          <w:b w:val="0"/>
          <w:i w:val="0"/>
          <w:sz w:val="22"/>
        </w:rPr>
        <w:t>Mubarak, STIKES Mandala Waluya Kendari, Kendari, South East Sulawesi, ID; E-mail: mubarak@uho.ac.id; Phone: +62 822 9274 4708</w:t>
      </w:r>
    </w:p>
    <w:sectPr w:rsidR="00FC693F" w:rsidRPr="0006063C" w:rsidSect="00034616">
      <w:footerReference w:type="default" r:id="rId10"/>
      <w:pgSz w:w="12240" w:h="15840"/>
      <w:pgMar w:top="259" w:right="1037" w:bottom="648" w:left="1037" w:header="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drawing>
        <wp:inline xmlns:a="http://schemas.openxmlformats.org/drawingml/2006/main" xmlns:pic="http://schemas.openxmlformats.org/drawingml/2006/picture">
          <wp:extent cx="5943600" cy="413468"/>
          <wp:docPr id="1" name="Picture 1"/>
          <wp:cNvGraphicFramePr>
            <a:graphicFrameLocks noChangeAspect="1"/>
          </wp:cNvGraphicFramePr>
          <a:graphic>
            <a:graphicData uri="http://schemas.openxmlformats.org/drawingml/2006/picture">
              <pic:pic>
                <pic:nvPicPr>
                  <pic:cNvPr id="0" name="clinical_diabetology_footer.png"/>
                  <pic:cNvPicPr/>
                </pic:nvPicPr>
                <pic:blipFill>
                  <a:blip r:embed="rId1"/>
                  <a:stretch>
                    <a:fillRect/>
                  </a:stretch>
                </pic:blipFill>
                <pic:spPr>
                  <a:xfrm>
                    <a:off x="0" y="0"/>
                    <a:ext cx="5943600" cy="413468"/>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Diabetology Cover Letter</dc:title>
  <dc:subject/>
  <dc:creator/>
  <cp:keywords/>
  <dc:description/>
  <cp:lastModifiedBy/>
  <cp:revision>1</cp:revision>
  <dcterms:created xsi:type="dcterms:W3CDTF">2013-12-23T23:15:00Z</dcterms:created>
  <dcterms:modified xsi:type="dcterms:W3CDTF">2013-12-23T23:15:00Z</dcterms:modified>
  <cp:category/>
</cp:coreProperties>
</file>