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160" w:after="80"/>
      </w:pPr>
      <w:r>
        <w:rPr>
          <w:b/>
        </w:rPr>
        <w:t>Table 2. Lipid profiles according to glycaemic-control status.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Lipid parameter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Controlled (n=43)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Uncontrolled (n=77)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Difference (95% CI)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p-value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LDL-C, mg/dL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109.70 +/- 38.66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122.62 +/- 37.72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12.92 (-1.43 to 27.27)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0.077a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HDL-C, mg/dL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45.86 +/- 13.66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47.29 +/- 13.68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1.43 (-3.72 to 6.58)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0.585a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Total cholesterol, mg/dL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179.23 +/- 43.24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210.86 +/- 51.64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31.63 (13.23 to 50.03)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0.001a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Triglycerides, mg/dL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128 (49-385)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156 (57-828)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Not applicable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0.013b</w:t>
            </w:r>
          </w:p>
        </w:tc>
      </w:tr>
    </w:tbl>
    <w:p>
      <w:pPr>
        <w:spacing w:line="240" w:lineRule="auto" w:after="120"/>
      </w:pPr>
      <w:r>
        <w:rPr>
          <w:sz w:val="20"/>
        </w:rPr>
        <w:t>Values are mean +/- SD, except triglycerides, which are median (range). Difference was calculated as uncontrolled minus controlled for normally distributed variables. LDL-C, low-density lipoprotein cholesterol; HDL-C, high-density lipoprotein cholesterol; CI, confidence interval. a Independent-samples t-test. b Mann-Whitney U test.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