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Sea Hare-Papaya Syrup and Iron Status in Stunted Toddlers: A Controlled Pretest-Posttest Intervention Study</w:t>
      </w:r>
    </w:p>
    <w:p>
      <w:pPr>
        <w:pStyle w:val="Heading1"/>
        <w:jc w:val="left"/>
      </w:pPr>
      <w:r>
        <w:t>ABSTRACT</w:t>
      </w:r>
    </w:p>
    <w:p>
      <w:pPr>
        <w:spacing w:line="276" w:lineRule="auto"/>
        <w:jc w:val="both"/>
      </w:pPr>
      <w:r>
        <w:rPr>
          <w:rFonts w:ascii="Times New Roman" w:hAnsi="Times New Roman"/>
          <w:b/>
          <w:sz w:val="20"/>
        </w:rPr>
      </w:r>
      <w:r>
        <w:rPr>
          <w:rFonts w:ascii="Times New Roman" w:hAnsi="Times New Roman"/>
          <w:sz w:val="20"/>
        </w:rPr>
      </w:r>
      <w:r>
        <w:rPr>
          <w:rFonts w:ascii="Times New Roman" w:hAnsi="Times New Roman"/>
          <w:b/>
          <w:sz w:val="20"/>
        </w:rPr>
      </w:r>
      <w:r>
        <w:rPr>
          <w:rFonts w:ascii="Times New Roman" w:hAnsi="Times New Roman"/>
          <w:sz w:val="20"/>
        </w:rPr>
      </w:r>
      <w:r>
        <w:rPr>
          <w:rFonts w:ascii="Times New Roman" w:hAnsi="Times New Roman"/>
          <w:b/>
          <w:sz w:val="20"/>
        </w:rPr>
      </w:r>
      <w:r>
        <w:rPr>
          <w:rFonts w:ascii="Times New Roman" w:hAnsi="Times New Roman"/>
          <w:sz w:val="20"/>
        </w:rPr>
      </w:r>
      <w:r>
        <w:rPr>
          <w:rFonts w:ascii="Times New Roman" w:hAnsi="Times New Roman"/>
          <w:b/>
          <w:sz w:val="20"/>
        </w:rPr>
      </w:r>
      <w:r>
        <w:rPr>
          <w:rFonts w:ascii="Times New Roman" w:hAnsi="Times New Roman"/>
          <w:sz w:val="20"/>
        </w:rPr>
      </w:r>
      <w:r>
        <w:rPr>
          <w:rFonts w:ascii="Times New Roman" w:hAnsi="Times New Roman" w:eastAsia="Times New Roman"/>
          <w:b/>
          <w:sz w:val="20"/>
        </w:rPr>
        <w:t xml:space="preserve">Objectives: </w:t>
      </w:r>
      <w:r>
        <w:rPr>
          <w:rFonts w:ascii="Times New Roman" w:hAnsi="Times New Roman" w:eastAsia="Times New Roman"/>
          <w:b w:val="0"/>
          <w:sz w:val="20"/>
        </w:rPr>
        <w:t>To examine changes in hemoglobin and serum ferritin after sea hare (Dolabella auricularia)-papaya syrup administration in stunted toddlers.</w:t>
      </w:r>
      <w:r>
        <w:rPr>
          <w:rFonts w:ascii="Times New Roman" w:hAnsi="Times New Roman"/>
          <w:sz w:val="20"/>
        </w:rPr>
        <w:t xml:space="preserve"> </w:t>
      </w:r>
      <w:r>
        <w:rPr>
          <w:rFonts w:ascii="Times New Roman" w:hAnsi="Times New Roman" w:eastAsia="Times New Roman"/>
          <w:b/>
          <w:sz w:val="20"/>
        </w:rPr>
        <w:t xml:space="preserve">Methods: </w:t>
      </w:r>
      <w:r>
        <w:rPr>
          <w:rFonts w:ascii="Times New Roman" w:hAnsi="Times New Roman" w:eastAsia="Times New Roman"/>
          <w:b w:val="0"/>
          <w:sz w:val="20"/>
        </w:rPr>
        <w:t>This controlled pretest-posttest study used hematologic data from a five-arm community nutrition intervention conducted in Kendari, Indonesia, from September 2023 to July 2024. Fifty stunted toddlers were included in three sea hare-papaya syrup groups (80:20, 70:30, or 60:40), a commercial Ferlyn-syrup control group, or a placebo group (n=10 each). The intervention was administered every two days for 6 weeks. Hemoglobin and serum ferritin were measured before and after the intervention.</w:t>
      </w:r>
      <w:r>
        <w:rPr>
          <w:rFonts w:ascii="Times New Roman" w:hAnsi="Times New Roman"/>
          <w:sz w:val="20"/>
        </w:rPr>
        <w:t xml:space="preserve"> </w:t>
      </w:r>
      <w:r>
        <w:rPr>
          <w:rFonts w:ascii="Times New Roman" w:hAnsi="Times New Roman" w:eastAsia="Times New Roman"/>
          <w:b/>
          <w:sz w:val="20"/>
        </w:rPr>
        <w:t xml:space="preserve">Results: </w:t>
      </w:r>
      <w:r>
        <w:rPr>
          <w:rFonts w:ascii="Times New Roman" w:hAnsi="Times New Roman" w:eastAsia="Times New Roman"/>
          <w:b w:val="0"/>
          <w:sz w:val="20"/>
        </w:rPr>
        <w:t>At baseline, 38 of 50 toddlers (76.0%) were anemic. Hemoglobin increased within the 80:20 group from 10.9±0.61 to 11.7±0.51 g/dL (P=0.002), the 70:30 group from 11.1±0.86 to 11.8±0.57 g/dL (P=0.008), and the 60:40 group from 10.8±1.23 to 11.6±0.45 g/dL (P=0.015). Changes in the two control groups were not statistically significant. Serum ferritin increased numerically in all groups, but no within-group change was significant.</w:t>
      </w:r>
      <w:r>
        <w:rPr>
          <w:rFonts w:ascii="Times New Roman" w:hAnsi="Times New Roman"/>
          <w:sz w:val="20"/>
        </w:rPr>
        <w:t xml:space="preserve"> </w:t>
      </w:r>
      <w:r>
        <w:rPr>
          <w:rFonts w:ascii="Times New Roman" w:hAnsi="Times New Roman" w:eastAsia="Times New Roman"/>
          <w:b/>
          <w:sz w:val="20"/>
        </w:rPr>
        <w:t xml:space="preserve">Conclusions: </w:t>
      </w:r>
      <w:r>
        <w:rPr>
          <w:rFonts w:ascii="Times New Roman" w:hAnsi="Times New Roman" w:eastAsia="Times New Roman"/>
          <w:b w:val="0"/>
          <w:sz w:val="20"/>
        </w:rPr>
        <w:t>Sea hare-papaya syrup was associated with short-term within-group increases in hemoglobin, whereas ferritin responses were inconclusive. Because allocation procedures, dose standardization, and comparative analyses were limited, the findings do not establish superiority over control treatment.</w:t>
      </w:r>
    </w:p>
    <w:p>
      <w:pPr>
        <w:spacing w:after="80" w:line="276" w:lineRule="auto"/>
        <w:jc w:val="left"/>
      </w:pPr>
      <w:r>
        <w:rPr>
          <w:rFonts w:ascii="Times New Roman" w:hAnsi="Times New Roman"/>
          <w:sz w:val="20"/>
        </w:rPr>
        <w:t>Trial registration: The intervention was not prospectively registered.</w:t>
      </w:r>
    </w:p>
    <w:p>
      <w:pPr>
        <w:spacing w:after="80" w:line="276" w:lineRule="auto"/>
        <w:jc w:val="left"/>
      </w:pPr>
      <w:r>
        <w:rPr>
          <w:rFonts w:ascii="Times New Roman" w:hAnsi="Times New Roman"/>
          <w:sz w:val="20"/>
        </w:rPr>
        <w:t>Keywords: Stunting; Anemia; Hemoglobin; Ferritin; Child nutrition</w:t>
      </w:r>
    </w:p>
    <w:p>
      <w:pPr>
        <w:pStyle w:val="Heading1"/>
        <w:jc w:val="left"/>
      </w:pPr>
      <w:r>
        <w:t>INTRODUCTION</w:t>
      </w:r>
    </w:p>
    <w:p>
      <w:pPr>
        <w:spacing w:after="80" w:line="276" w:lineRule="auto"/>
        <w:jc w:val="both"/>
      </w:pPr>
      <w:r>
        <w:rPr>
          <w:rFonts w:ascii="Times New Roman" w:hAnsi="Times New Roman"/>
          <w:sz w:val="20"/>
        </w:rPr>
        <w:t>Stunting in early childhood reflects chronic undernutrition and remains a major child-health problem in low- and middle-income settings [1,2]. Beyond impaired linear growth, stunting is associated with adverse developmental and health consequences that may persist later in life [2,3]. Anemia frequently coexists with childhood undernutrition, although not all anemia is attributable to iron deficiency [4,5]. Hemoglobin is a practical marker of oxygen-carrying capacity, whereas serum ferritin is commonly used to assess iron stores [6,7].</w:t>
      </w:r>
    </w:p>
    <w:p>
      <w:pPr>
        <w:spacing w:after="80" w:line="276" w:lineRule="auto"/>
        <w:jc w:val="both"/>
      </w:pPr>
      <w:r>
        <w:rPr>
          <w:rFonts w:ascii="Times New Roman" w:hAnsi="Times New Roman"/>
          <w:sz w:val="20"/>
        </w:rPr>
        <w:t>Food-based interventions using locally available ingredients may complement established strategies for improving nutritional status. Sea hare (Dolabella auricularia), locally known as sea rabbit, has been reported to contain secondary metabolites including flavonoids, alkaloids, terpenoids, saponins, and tannins [8]. Papaya may contribute micronutrients and bioactive compounds relevant to hematopoiesis and iron utilization, and papaya-containing interventions have been explored in both human and experimental anemia settings [9,10]. However, evidence on a combined sea hare-papaya preparation for hematologic outcomes in stunted toddlers remains limited.</w:t>
      </w:r>
    </w:p>
    <w:p>
      <w:pPr>
        <w:spacing w:after="80" w:line="276" w:lineRule="auto"/>
        <w:jc w:val="both"/>
      </w:pPr>
      <w:r>
        <w:rPr>
          <w:rFonts w:ascii="Times New Roman" w:hAnsi="Times New Roman"/>
          <w:sz w:val="20"/>
        </w:rPr>
        <w:t>The objective of this report was to examine pre- to post-intervention changes in hemoglobin and serum ferritin among stunted toddlers receiving three sea hare-papaya syrup formulations and two control preparations. A related publication by the research group reported growth and motor-development outcomes using the same syrup concept [18]; the present manuscript focuses on hematologic outcomes.</w:t>
      </w:r>
    </w:p>
    <w:p>
      <w:pPr>
        <w:pStyle w:val="Heading1"/>
        <w:jc w:val="left"/>
      </w:pPr>
      <w:r>
        <w:t>MATERIAL AND METHODS</w:t>
      </w:r>
    </w:p>
    <w:p>
      <w:pPr>
        <w:pStyle w:val="Heading2"/>
        <w:jc w:val="left"/>
      </w:pPr>
      <w:r>
        <w:t>Study design and setting</w:t>
      </w:r>
    </w:p>
    <w:p>
      <w:pPr>
        <w:spacing w:after="80" w:line="276" w:lineRule="auto"/>
        <w:jc w:val="both"/>
      </w:pPr>
      <w:r>
        <w:rPr>
          <w:rFonts w:ascii="Times New Roman" w:hAnsi="Times New Roman"/>
          <w:sz w:val="20"/>
        </w:rPr>
        <w:t>This report presents hematologic outcomes from a five-arm controlled pretest-posttest community nutrition intervention conducted from September 2023 to July 2024 in five integrated community health posts within the Puuwatu Health Center catchment area, Kendari, Southeast Sulawesi, Indonesia. The source manuscript described the original project as randomized and double-blind; however, documentation of random sequence generation and allocation concealment was not available in the materials provided for this report. Accordingly, the study is reported here as a controlled intervention rather than as a randomized controlled trial.</w:t>
      </w:r>
    </w:p>
    <w:p>
      <w:pPr>
        <w:pStyle w:val="Heading2"/>
        <w:jc w:val="left"/>
      </w:pPr>
      <w:r>
        <w:t>Participants</w:t>
      </w:r>
    </w:p>
    <w:p>
      <w:pPr>
        <w:spacing w:after="80" w:line="276" w:lineRule="auto"/>
        <w:jc w:val="both"/>
      </w:pPr>
      <w:r>
        <w:rPr>
          <w:rFonts w:ascii="Times New Roman" w:hAnsi="Times New Roman"/>
          <w:sz w:val="20"/>
        </w:rPr>
        <w:t>Toddlers identified as stunted and malnourished through the participating community health posts were screened. Source eligibility information included clinical stability, absence of acute respiratory infection or diarrhea at recruitment, and written parental consent. A total of 96 toddlers underwent hemoglobin screening, and 50 entered the intervention phase, with 10 participants in each of five study groups. Anemia was defined as hemoglobin &lt;11.0 g/dL. Although the source document listed this threshold among case criteria, baseline records included 12 of 50 enrolled toddlers with hemoglobin ≥11.0 g/dL; therefore, anemia was treated as a baseline characteristic rather than a universal enrollment criterion in the present report.</w:t>
      </w:r>
    </w:p>
    <w:p>
      <w:pPr>
        <w:pStyle w:val="Heading2"/>
        <w:jc w:val="left"/>
      </w:pPr>
      <w:r>
        <w:t>Intervention preparation and administration</w:t>
      </w:r>
    </w:p>
    <w:p>
      <w:pPr>
        <w:spacing w:after="80" w:line="276" w:lineRule="auto"/>
        <w:jc w:val="both"/>
      </w:pPr>
      <w:r>
        <w:rPr>
          <w:rFonts w:ascii="Times New Roman" w:hAnsi="Times New Roman"/>
          <w:sz w:val="20"/>
        </w:rPr>
        <w:t>Three experimental syrups contained sea hare extract and papaya extract in ratios of 80:20, 70:30, or 60:40, with honey used as the syrup base. The positive-control group received commercial Ferlyn syrup, and the negative-control group received placebo. All preparations were administered every two days for 6 weeks. The source records did not specify the administered volume per dose or the elemental iron content of the commercial control.</w:t>
      </w:r>
    </w:p>
    <w:p>
      <w:pPr>
        <w:spacing w:after="80" w:line="276" w:lineRule="auto"/>
        <w:jc w:val="both"/>
      </w:pPr>
      <w:r>
        <w:rPr>
          <w:rFonts w:ascii="Times New Roman" w:hAnsi="Times New Roman"/>
          <w:sz w:val="20"/>
        </w:rPr>
        <w:t>Sea hare specimens were collected from coastal areas of Wasuemba, Buton, and Sawapudo, Konawe, Southeast Sulawesi. Approximately 15 kg (about 550 specimens) were rinsed seven times with fresh water, dried below 50°C without direct sunlight, and extracted at the Faculty of Pharmacy in Kendari. Ripe papaya was cleaned, peeled, cut, and oven-dried at 40–50°C for approximately 2 weeks before extraction. The source records did not provide batch-level nutrient composition, extraction yield, or quantitative standardization of active compounds.</w:t>
      </w:r>
    </w:p>
    <w:p>
      <w:pPr>
        <w:spacing w:after="80" w:line="276" w:lineRule="auto"/>
        <w:jc w:val="both"/>
      </w:pPr>
      <w:r>
        <w:rPr>
          <w:rFonts w:ascii="Times New Roman" w:hAnsi="Times New Roman"/>
          <w:sz w:val="20"/>
        </w:rPr>
        <w:t>Laboratory personnel retained the formulation codes during the intervention, and field researchers were informed of the exact syrup composition only after completion of the intervention according to the source protocol. Because the masking procedures were not documented in greater detail, no formal claim of double-blinding is made in this report.</w:t>
      </w:r>
    </w:p>
    <w:p>
      <w:pPr>
        <w:pStyle w:val="Heading2"/>
        <w:jc w:val="left"/>
      </w:pPr>
      <w:r>
        <w:t>Outcome measures and dietary assessment</w:t>
      </w:r>
    </w:p>
    <w:p>
      <w:pPr>
        <w:spacing w:after="80" w:line="276" w:lineRule="auto"/>
        <w:jc w:val="both"/>
      </w:pPr>
      <w:r>
        <w:rPr>
          <w:rFonts w:ascii="Times New Roman" w:hAnsi="Times New Roman"/>
          <w:sz w:val="20"/>
        </w:rPr>
        <w:t>The primary outcomes for this analysis were hemoglobin concentration (g/dL) and serum ferritin concentration (ng/mL), measured before and after the 6-week intervention at Laboratory Maxima, Kendari. The source manuscript did not specify the analyzer, assay platform, or reagent manufacturer used for these laboratory measurements.</w:t>
      </w:r>
    </w:p>
    <w:p>
      <w:pPr>
        <w:spacing w:after="80" w:line="276" w:lineRule="auto"/>
        <w:jc w:val="both"/>
      </w:pPr>
      <w:r>
        <w:rPr>
          <w:rFonts w:ascii="Times New Roman" w:hAnsi="Times New Roman"/>
          <w:sz w:val="20"/>
        </w:rPr>
        <w:t>Dietary intake was assessed with a semi-quantitative food-frequency questionnaire. A TANITA digital dietary scale with 0.1-g precision was used during dietary assessment. Energy, protein, and iron intake were processed using NutriSurvey, the Indonesian Food Composition Table, and the 2019 Indonesian Recommended Dietary Allowance.</w:t>
      </w:r>
    </w:p>
    <w:p>
      <w:pPr>
        <w:pStyle w:val="Heading2"/>
        <w:jc w:val="left"/>
      </w:pPr>
      <w:r>
        <w:t>Statistical analysis</w:t>
      </w:r>
    </w:p>
    <w:p>
      <w:pPr>
        <w:spacing w:after="80" w:line="276" w:lineRule="auto"/>
        <w:jc w:val="both"/>
      </w:pPr>
      <w:r>
        <w:rPr>
          <w:rFonts w:ascii="Times New Roman" w:hAnsi="Times New Roman"/>
          <w:sz w:val="20"/>
        </w:rPr>
        <w:t>Source analyses were performed using SPSS version 20. Descriptive statistics summarized screening results and dietary intake. Paired-samples t tests were used in the source analysis to compare pre- and post-intervention hemoglobin and ferritin within each group, with P&lt;0.05 considered statistically significant. No adjustment for multiple testing was reported. Archived normality outputs included P&lt;0.05 in several study groups; consequently, assumptions for parametric testing were not consistently demonstrated and inferential P values are interpreted as exploratory. The source report also contained post-intervention independent t tests, but the exact pairwise contrasts were not clearly documented; those analyses were therefore not used to claim comparative efficacy.</w:t>
      </w:r>
    </w:p>
    <w:p>
      <w:pPr>
        <w:pStyle w:val="Heading2"/>
        <w:jc w:val="left"/>
      </w:pPr>
      <w:r>
        <w:t>Ethical considerations</w:t>
      </w:r>
    </w:p>
    <w:p>
      <w:pPr>
        <w:spacing w:after="80" w:line="276" w:lineRule="auto"/>
        <w:jc w:val="both"/>
      </w:pPr>
      <w:r>
        <w:rPr>
          <w:rFonts w:ascii="Times New Roman" w:hAnsi="Times New Roman"/>
          <w:sz w:val="20"/>
        </w:rPr>
        <w:t>The study protocol was approved on November 28, 2020 by the Health Research Ethics Committee of the Regional Board of the Indonesian Public Health Association (IAKMI), Southeast Sulawesi Province, Indonesia (Ethical Clearance No. 142/KEPK/IAKMI/XI/2020). The approved protocol concerned sea hare-papaya syrup in stunted toddlers and included hemoglobin assessment. Written informed consent was obtained from parents or legal guardians. The study was conducted in accordance with the ethical principles stated in the approval document and the Declaration of Helsinki. The intervention was not prospectively registered.</w:t>
      </w:r>
    </w:p>
    <w:p>
      <w:pPr>
        <w:pStyle w:val="Heading1"/>
        <w:jc w:val="left"/>
      </w:pPr>
      <w:r>
        <w:t>RESULTS</w:t>
      </w:r>
    </w:p>
    <w:p>
      <w:pPr>
        <w:pStyle w:val="Heading2"/>
        <w:jc w:val="left"/>
      </w:pPr>
      <w:r>
        <w:t>Participant screening and dietary intake</w:t>
      </w:r>
    </w:p>
    <w:p>
      <w:pPr>
        <w:spacing w:after="80" w:line="276" w:lineRule="auto"/>
        <w:jc w:val="both"/>
      </w:pPr>
      <w:r>
        <w:rPr>
          <w:rFonts w:ascii="Times New Roman" w:hAnsi="Times New Roman"/>
          <w:sz w:val="20"/>
        </w:rPr>
        <w:t>Among 96 toddlers screened for hemoglobin, 38 (39.6%) were anemic and 58 (60.4%) had hemoglobin values in the normal range. Fifty toddlers entered the intervention phase, with 10 participants in each of the five groups. At baseline, 38 of the 50 enrolled toddlers (76.0%) were anemic. Baseline dietary intake is summarized descriptively in Table 1. Energy intake ranged from 1,003 to 1,119 kcal, protein intake from 33.2 to 41.3 g, and iron intake from 8.6 to 10.6 mg across groups.</w:t>
      </w:r>
    </w:p>
    <w:p>
      <w:pPr>
        <w:pStyle w:val="Heading2"/>
        <w:jc w:val="left"/>
      </w:pPr>
      <w:r>
        <w:t>Hemoglobin</w:t>
      </w:r>
    </w:p>
    <w:p>
      <w:pPr>
        <w:spacing w:after="80" w:line="276" w:lineRule="auto"/>
        <w:jc w:val="both"/>
      </w:pPr>
      <w:r>
        <w:rPr>
          <w:rFonts w:ascii="Times New Roman" w:hAnsi="Times New Roman"/>
          <w:sz w:val="20"/>
        </w:rPr>
        <w:t>Hemoglobin changes are presented in Table 2. Mean hemoglobin increased from 10.9±0.61 to 11.7±0.51 g/dL in the 80:20 group (P=0.002), from 11.1±0.86 to 11.8±0.57 g/dL in the 70:30 group (P=0.008), and from 10.8±1.23 to 11.6±0.45 g/dL in the 60:40 group (P=0.015). Changes in the commercial-control group (P=0.486) and placebo group (P=0.054) were not statistically significant.</w:t>
      </w:r>
    </w:p>
    <w:p>
      <w:pPr>
        <w:pStyle w:val="Heading2"/>
        <w:jc w:val="left"/>
      </w:pPr>
      <w:r>
        <w:t>Serum ferritin</w:t>
      </w:r>
    </w:p>
    <w:p>
      <w:pPr>
        <w:spacing w:after="80" w:line="276" w:lineRule="auto"/>
        <w:jc w:val="both"/>
      </w:pPr>
      <w:r>
        <w:rPr>
          <w:rFonts w:ascii="Times New Roman" w:hAnsi="Times New Roman"/>
          <w:sz w:val="20"/>
        </w:rPr>
        <w:t>Serum ferritin changes are presented in Table 3. Mean ferritin increased numerically in all five groups, but none of the within-group changes reached statistical significance (all P&gt;0.05). The largest numerical increase occurred in the 80:20 group, from 27.54±16.82 to 43.45±28.47 ng/mL (P=0.082).</w:t>
      </w:r>
    </w:p>
    <w:p>
      <w:pPr>
        <w:pStyle w:val="Heading1"/>
        <w:jc w:val="left"/>
      </w:pPr>
      <w:r>
        <w:t>DISCUSSION</w:t>
      </w:r>
    </w:p>
    <w:p>
      <w:pPr>
        <w:spacing w:after="80" w:line="276" w:lineRule="auto"/>
        <w:jc w:val="both"/>
      </w:pPr>
      <w:r>
        <w:rPr>
          <w:rFonts w:ascii="Times New Roman" w:hAnsi="Times New Roman"/>
          <w:sz w:val="20"/>
        </w:rPr>
        <w:t>In this controlled pretest-posttest intervention, all three sea hare-papaya groups showed statistically significant within-group increases in hemoglobin after 6 weeks, whereas neither control group reached conventional statistical significance. Serum ferritin increased numerically but not significantly in any group. These findings indicate a possible short-term hematologic signal, but they do not demonstrate that the experimental syrups were superior to the controls.</w:t>
      </w:r>
    </w:p>
    <w:p>
      <w:pPr>
        <w:spacing w:after="80" w:line="276" w:lineRule="auto"/>
        <w:jc w:val="both"/>
      </w:pPr>
      <w:r>
        <w:rPr>
          <w:rFonts w:ascii="Times New Roman" w:hAnsi="Times New Roman"/>
          <w:sz w:val="20"/>
        </w:rPr>
        <w:t>Hemoglobin response to nutrition interventions depends on baseline iron status, iron bioavailability, concurrent micronutrient status, and the composition of the intervention [7,11-14]. Systematic reviews in children have shown that iron-containing and micronutrient interventions can improve hematologic indicators, although effects vary by population and formulation [11,12]. Sea hare extract has previously been reported to contain several secondary metabolites [8], while papaya-based interventions have been investigated for hematologic effects [9,10]. Nevertheless, the current study did not quantify the iron, vitamin C, protein, or bioactive-compound content of the three syrups, so a specific biological mechanism cannot be established.</w:t>
      </w:r>
    </w:p>
    <w:p>
      <w:pPr>
        <w:spacing w:after="80" w:line="276" w:lineRule="auto"/>
        <w:jc w:val="both"/>
      </w:pPr>
      <w:r>
        <w:rPr>
          <w:rFonts w:ascii="Times New Roman" w:hAnsi="Times New Roman"/>
          <w:sz w:val="20"/>
        </w:rPr>
        <w:t>The ferritin findings require particular caution. Ferritin reflects iron stores but is also an acute-phase reactant and may increase with infection or inflammation independent of iron status [6,15-17]. Inflammatory markers were not measured in this study. In addition, baseline ferritin values differed substantially across the five groups, which complicates interpretation of post-intervention ferritin values without baseline-adjusted analysis.</w:t>
      </w:r>
    </w:p>
    <w:p>
      <w:pPr>
        <w:spacing w:after="80" w:line="276" w:lineRule="auto"/>
        <w:jc w:val="both"/>
      </w:pPr>
      <w:r>
        <w:rPr>
          <w:rFonts w:ascii="Times New Roman" w:hAnsi="Times New Roman"/>
          <w:sz w:val="20"/>
        </w:rPr>
        <w:t>The present report is related to a previous publication by the research group that described growth and motor-development outcomes of a sea hare-papaya syrup intervention [18]. The current analysis focuses on hemoglobin and serum ferritin and does not use the previous publication as evidence of hematologic effectiveness.</w:t>
      </w:r>
    </w:p>
    <w:p>
      <w:pPr>
        <w:spacing w:after="80" w:line="276" w:lineRule="auto"/>
        <w:jc w:val="both"/>
      </w:pPr>
      <w:r>
        <w:rPr>
          <w:rFonts w:ascii="Times New Roman" w:hAnsi="Times New Roman"/>
          <w:sz w:val="20"/>
        </w:rPr>
        <w:t>Several limitations should be considered. Each group contained only 10 participants, limiting statistical power and precision. Allocation procedures were insufficiently documented to support a randomized-trial designation. The administered syrup volume, nutrient dose, batch-level composition, and laboratory assay platforms were not available in the source records. The original analysis relied on multiple paired t tests, while archived normality results did not consistently support parametric assumptions, and no multiplicity adjustment was reported. Inflammatory biomarkers were not measured, and the 6-week duration may have been too short to demonstrate a clear change in iron stores. These limitations mean that the findings should be considered exploratory.</w:t>
      </w:r>
    </w:p>
    <w:p>
      <w:pPr>
        <w:pStyle w:val="Heading1"/>
        <w:jc w:val="left"/>
      </w:pPr>
      <w:r>
        <w:t>CONCLUSIONS</w:t>
      </w:r>
    </w:p>
    <w:p>
      <w:pPr>
        <w:spacing w:after="80" w:line="276" w:lineRule="auto"/>
        <w:jc w:val="both"/>
      </w:pPr>
      <w:r>
        <w:rPr>
          <w:rFonts w:ascii="Times New Roman" w:hAnsi="Times New Roman"/>
          <w:sz w:val="20"/>
        </w:rPr>
        <w:t>Sea hare-papaya syrup was associated with within-group increases in hemoglobin among stunted toddlers over 6 weeks, whereas serum ferritin responses were inconclusive. Because comparative efficacy was not established and important methodological and standardization limitations remain, larger prospectively registered studies with prespecified between-group analyses, standardized dosing, and inflammation assessment are needed.</w:t>
      </w:r>
    </w:p>
    <w:p>
      <w:pPr>
        <w:pStyle w:val="Heading1"/>
        <w:jc w:val="left"/>
      </w:pPr>
      <w:r>
        <w:t>STATEMENTS AND DECLARATIONS</w:t>
      </w:r>
    </w:p>
    <w:p>
      <w:pPr>
        <w:spacing w:after="80" w:line="276" w:lineRule="auto"/>
        <w:jc w:val="left"/>
      </w:pPr>
      <w:r>
        <w:rPr>
          <w:rFonts w:ascii="Times New Roman" w:hAnsi="Times New Roman"/>
          <w:sz w:val="20"/>
        </w:rPr>
        <w:t>Funding: No funding was received for conducting this study.</w:t>
      </w:r>
    </w:p>
    <w:p>
      <w:pPr>
        <w:spacing w:after="80" w:line="276" w:lineRule="auto"/>
        <w:jc w:val="left"/>
      </w:pPr>
      <w:r>
        <w:rPr>
          <w:rFonts w:ascii="Times New Roman" w:hAnsi="Times New Roman"/>
          <w:sz w:val="20"/>
        </w:rPr>
        <w:t>Competing interests: The authors declare no relevant financial or non-financial interests related to this work.</w:t>
      </w:r>
    </w:p>
    <w:p>
      <w:pPr>
        <w:spacing w:after="80" w:line="276" w:lineRule="auto"/>
        <w:jc w:val="left"/>
      </w:pPr>
      <w:r>
        <w:rPr>
          <w:rFonts w:ascii="Times New Roman" w:hAnsi="Times New Roman"/>
          <w:sz w:val="20"/>
        </w:rPr>
        <w:t>Ethics approval: The study was approved by the Health Research Ethics Committee of the Regional Board of the Indonesian Public Health Association (IAKMI), Southeast Sulawesi Province, Indonesia, on November 28, 2020 (No. 142/KEPK/IAKMI/XI/2020).</w:t>
      </w:r>
    </w:p>
    <w:p>
      <w:pPr>
        <w:spacing w:after="80" w:line="276" w:lineRule="auto"/>
        <w:jc w:val="left"/>
      </w:pPr>
      <w:r>
        <w:rPr>
          <w:rFonts w:ascii="Times New Roman" w:hAnsi="Times New Roman"/>
          <w:sz w:val="20"/>
        </w:rPr>
        <w:t>Consent to participate: Written informed consent was obtained from the parents or legal guardians of all participating children.</w:t>
      </w:r>
    </w:p>
    <w:p>
      <w:pPr>
        <w:spacing w:after="80" w:line="276" w:lineRule="auto"/>
        <w:jc w:val="left"/>
      </w:pPr>
      <w:r>
        <w:rPr>
          <w:rFonts w:ascii="Times New Roman" w:hAnsi="Times New Roman"/>
          <w:sz w:val="20"/>
        </w:rPr>
        <w:t>Acknowledgments: None.</w:t>
      </w:r>
    </w:p>
    <w:p>
      <w:pPr>
        <w:spacing w:after="80" w:line="276" w:lineRule="auto"/>
        <w:jc w:val="left"/>
      </w:pPr>
      <w:r>
        <w:rPr>
          <w:rFonts w:ascii="Times New Roman" w:hAnsi="Times New Roman"/>
          <w:sz w:val="20"/>
        </w:rPr>
        <w:t>AI assistance: A large language model was used to assist with language editing, structural organization, and reference formatting. No study data or results were generated or altered by the tool. The authors are responsible for the final content.</w:t>
      </w:r>
    </w:p>
    <w:p>
      <w:pPr>
        <w:pStyle w:val="Heading1"/>
        <w:jc w:val="left"/>
      </w:pPr>
      <w:r>
        <w:t>REFERENCES</w:t>
      </w:r>
    </w:p>
    <w:p>
      <w:pPr>
        <w:spacing w:after="40" w:line="240" w:lineRule="auto"/>
        <w:ind w:left="340" w:hanging="340"/>
      </w:pPr>
      <w:r>
        <w:rPr>
          <w:rFonts w:ascii="Times New Roman" w:hAnsi="Times New Roman"/>
          <w:sz w:val="20"/>
        </w:rPr>
        <w:t>1. UNICEF, World Health Organization, World Bank Group. Levels and trends in child malnutrition: UNICEF/WHO/World Bank Group joint child malnutrition estimates: key findings of the 2024 edition. New York: UNICEF; 2024.</w:t>
      </w:r>
    </w:p>
    <w:p>
      <w:pPr>
        <w:spacing w:after="40" w:line="240" w:lineRule="auto"/>
        <w:ind w:left="340" w:hanging="340"/>
      </w:pPr>
      <w:r>
        <w:rPr>
          <w:rFonts w:ascii="Times New Roman" w:hAnsi="Times New Roman"/>
          <w:sz w:val="20"/>
        </w:rPr>
        <w:t>2. Black RE, Victora CG, Walker SP, et al. Maternal and child undernutrition and overweight in low-income and middle-income countries. Lancet. 2013;382:427-451. doi:10.1016/S0140-6736(13)60937-X.</w:t>
      </w:r>
    </w:p>
    <w:p>
      <w:pPr>
        <w:spacing w:after="40" w:line="240" w:lineRule="auto"/>
        <w:ind w:left="340" w:hanging="340"/>
      </w:pPr>
      <w:r>
        <w:rPr>
          <w:rFonts w:ascii="Times New Roman" w:hAnsi="Times New Roman"/>
          <w:sz w:val="20"/>
        </w:rPr>
        <w:t>3. Dewey KG, Begum K. Long-term consequences of stunting in early life. Matern Child Nutr. 2011;7 Suppl 3:5-18. doi:10.1111/j.1740-8709.2011.00349.x.</w:t>
      </w:r>
    </w:p>
    <w:p>
      <w:pPr>
        <w:spacing w:after="40" w:line="240" w:lineRule="auto"/>
        <w:ind w:left="340" w:hanging="340"/>
      </w:pPr>
      <w:r>
        <w:rPr>
          <w:rFonts w:ascii="Times New Roman" w:hAnsi="Times New Roman"/>
          <w:sz w:val="20"/>
        </w:rPr>
        <w:t>4. Rahman MS, Mushfiquee M, Masud MS, et al. Association between malnutrition and anemia in under-five children and women of reproductive age: evidence from Bangladesh Demographic and Health Survey 2011. PLoS One. 2019;14:e0219170. doi:10.1371/journal.pone.0219170.</w:t>
      </w:r>
    </w:p>
    <w:p>
      <w:pPr>
        <w:spacing w:after="40" w:line="240" w:lineRule="auto"/>
        <w:ind w:left="340" w:hanging="340"/>
      </w:pPr>
      <w:r>
        <w:rPr>
          <w:rFonts w:ascii="Times New Roman" w:hAnsi="Times New Roman"/>
          <w:sz w:val="20"/>
        </w:rPr>
        <w:t>5. Petry N, Olofin I, Hurrell RF, et al. The proportion of anemia associated with iron deficiency in low, medium, and high human development index countries: a systematic analysis of national surveys. Nutrients. 2016;8:693. doi:10.3390/nu8110693.</w:t>
      </w:r>
    </w:p>
    <w:p>
      <w:pPr>
        <w:spacing w:after="40" w:line="240" w:lineRule="auto"/>
        <w:ind w:left="340" w:hanging="340"/>
      </w:pPr>
      <w:r>
        <w:rPr>
          <w:rFonts w:ascii="Times New Roman" w:hAnsi="Times New Roman"/>
          <w:sz w:val="20"/>
        </w:rPr>
        <w:t>6. World Health Organization. WHO guideline on use of ferritin concentrations to assess iron status in individuals and populations. Geneva: World Health Organization; 2020.</w:t>
      </w:r>
    </w:p>
    <w:p>
      <w:pPr>
        <w:spacing w:after="40" w:line="240" w:lineRule="auto"/>
        <w:ind w:left="340" w:hanging="340"/>
      </w:pPr>
      <w:r>
        <w:rPr>
          <w:rFonts w:ascii="Times New Roman" w:hAnsi="Times New Roman"/>
          <w:sz w:val="20"/>
        </w:rPr>
        <w:t>7. Pasricha SR, Tye-Din J, Muckenthaler MU, et al. Iron deficiency. Lancet. 2021;397:233-248. doi:10.1016/S0140-6736(20)32594-0.</w:t>
      </w:r>
    </w:p>
    <w:p>
      <w:pPr>
        <w:spacing w:after="40" w:line="240" w:lineRule="auto"/>
        <w:ind w:left="340" w:hanging="340"/>
      </w:pPr>
      <w:r>
        <w:rPr>
          <w:rFonts w:ascii="Times New Roman" w:hAnsi="Times New Roman"/>
          <w:sz w:val="20"/>
        </w:rPr>
        <w:t>8. Toruntju SA, Banudi L, Leksono P, et al. Identification of secondary metabolite contents on marine rabbit extract (Dolabella auricularia). IOP Conf Ser Earth Environ Sci. 2020;465:012038. doi:10.1088/1755-1315/465/1/012038.</w:t>
      </w:r>
    </w:p>
    <w:p>
      <w:pPr>
        <w:spacing w:after="40" w:line="240" w:lineRule="auto"/>
        <w:ind w:left="340" w:hanging="340"/>
      </w:pPr>
      <w:r>
        <w:rPr>
          <w:rFonts w:ascii="Times New Roman" w:hAnsi="Times New Roman"/>
          <w:sz w:val="20"/>
        </w:rPr>
        <w:t>9. Yati S, Amelia R, Octaviani DA, et al. Effect of guava juice and papaya juice on increasing the hemoglobin levels among pregnant women. Int J Nurs Health Serv. 2020;3:695-699. doi:10.35654/ijnhs.v3i6.347.</w:t>
      </w:r>
    </w:p>
    <w:p>
      <w:pPr>
        <w:spacing w:after="40" w:line="240" w:lineRule="auto"/>
        <w:ind w:left="340" w:hanging="340"/>
      </w:pPr>
      <w:r>
        <w:rPr>
          <w:rFonts w:ascii="Times New Roman" w:hAnsi="Times New Roman"/>
          <w:sz w:val="20"/>
        </w:rPr>
        <w:t>10. Susanto FD, Sari LYW, Muflihah AI, et al. The effect of papaya leaf extract (Carica papaya L.) on erythrocyte values in anemia-model rats. J Med Lab Infect Degener Dis. 2025;3:1-8. doi:10.36858/jmid.v3i2.34.</w:t>
      </w:r>
    </w:p>
    <w:p>
      <w:pPr>
        <w:spacing w:after="40" w:line="240" w:lineRule="auto"/>
        <w:ind w:left="340" w:hanging="340"/>
      </w:pPr>
      <w:r>
        <w:rPr>
          <w:rFonts w:ascii="Times New Roman" w:hAnsi="Times New Roman"/>
          <w:sz w:val="20"/>
        </w:rPr>
        <w:t>11. Handiso YH, Belachew T, Abuye C, et al. A community-based randomized controlled trial providing weekly iron-folic acid supplementation increased serum ferritin, folate and hemoglobin concentration of adolescent girls in southern Ethiopia. Sci Rep. 2021;11:9646. doi:10.1038/s41598-021-89115-5.</w:t>
      </w:r>
    </w:p>
    <w:p>
      <w:pPr>
        <w:spacing w:after="40" w:line="240" w:lineRule="auto"/>
        <w:ind w:left="340" w:hanging="340"/>
      </w:pPr>
      <w:r>
        <w:rPr>
          <w:rFonts w:ascii="Times New Roman" w:hAnsi="Times New Roman"/>
          <w:sz w:val="20"/>
        </w:rPr>
        <w:t>12. Tam E, Keats EC, Rind F, et al. Micronutrient supplementation and fortification interventions on health and development outcomes among children under-five in low- and middle-income countries: a systematic review and meta-analysis. Nutrients. 2020;12:289. doi:10.3390/nu12020289.</w:t>
      </w:r>
    </w:p>
    <w:p>
      <w:pPr>
        <w:spacing w:after="40" w:line="240" w:lineRule="auto"/>
        <w:ind w:left="340" w:hanging="340"/>
      </w:pPr>
      <w:r>
        <w:rPr>
          <w:rFonts w:ascii="Times New Roman" w:hAnsi="Times New Roman"/>
          <w:sz w:val="20"/>
        </w:rPr>
        <w:t>13. Hurrell R, Egli I. Iron bioavailability and dietary reference values. Am J Clin Nutr. 2010;91:1461S-1467S. doi:10.3945/ajcn.2010.28674F.</w:t>
      </w:r>
    </w:p>
    <w:p>
      <w:pPr>
        <w:spacing w:after="40" w:line="240" w:lineRule="auto"/>
        <w:ind w:left="340" w:hanging="340"/>
      </w:pPr>
      <w:r>
        <w:rPr>
          <w:rFonts w:ascii="Times New Roman" w:hAnsi="Times New Roman"/>
          <w:sz w:val="20"/>
        </w:rPr>
        <w:t>14. Teucher B, Olivares M, Cori H. Enhancers of iron absorption: ascorbic acid and other organic acids. Int J Vitam Nutr Res. 2004;74:403-419. doi:10.1024/0300-9831.74.6.403.</w:t>
      </w:r>
    </w:p>
    <w:p>
      <w:pPr>
        <w:spacing w:after="40" w:line="240" w:lineRule="auto"/>
        <w:ind w:left="340" w:hanging="340"/>
      </w:pPr>
      <w:r>
        <w:rPr>
          <w:rFonts w:ascii="Times New Roman" w:hAnsi="Times New Roman"/>
          <w:sz w:val="20"/>
        </w:rPr>
        <w:t>15. Bahr TM, Baer VL, Ohls RK, et al. Reconciling markedly discordant values of serum ferritin versus reticulocyte hemoglobin content. J Perinatol. 2021;41:619-626. doi:10.1038/s41372-020-00845-2.</w:t>
      </w:r>
    </w:p>
    <w:p>
      <w:pPr>
        <w:spacing w:after="40" w:line="240" w:lineRule="auto"/>
        <w:ind w:left="340" w:hanging="340"/>
      </w:pPr>
      <w:r>
        <w:rPr>
          <w:rFonts w:ascii="Times New Roman" w:hAnsi="Times New Roman"/>
          <w:sz w:val="20"/>
        </w:rPr>
        <w:t>16. Namaste SML, Rohner F, Huang J, et al. Adjusting ferritin concentrations for inflammation: Biomarkers Reflecting Inflammation and Nutritional Determinants of Anemia (BRINDA) project. Am J Clin Nutr. 2017;106 Suppl 1:359S-371S. doi:10.3945/ajcn.116.141762.</w:t>
      </w:r>
    </w:p>
    <w:p>
      <w:pPr>
        <w:spacing w:after="40" w:line="240" w:lineRule="auto"/>
        <w:ind w:left="340" w:hanging="340"/>
      </w:pPr>
      <w:r>
        <w:rPr>
          <w:rFonts w:ascii="Times New Roman" w:hAnsi="Times New Roman"/>
          <w:sz w:val="20"/>
        </w:rPr>
        <w:t>17. Suchdev PS, Williams AM, Mei Z, et al. Assessment of iron status in settings of inflammation: challenges and potential approaches. Am J Clin Nutr. 2017;106 Suppl 6:1626S-1633S. doi:10.3945/ajcn.117.155937.</w:t>
      </w:r>
    </w:p>
    <w:p>
      <w:pPr>
        <w:spacing w:after="40" w:line="240" w:lineRule="auto"/>
        <w:ind w:left="340" w:hanging="340"/>
      </w:pPr>
      <w:r>
        <w:rPr>
          <w:rFonts w:ascii="Times New Roman" w:hAnsi="Times New Roman"/>
          <w:sz w:val="20"/>
        </w:rPr>
        <w:t>18. Toruntju SA, Fatmawati, Gani K, et al. Efficacy study of sea rabbit-papaya juice syrup on growth and motor development in stunted and malnourished toddlers. Res J Pharm Technol. 2025;18:2602-2608. doi:10.52711/0974-360X.2025.00372.</w:t>
      </w:r>
    </w:p>
    <w:p/>
    <w:p>
      <w:pPr>
        <w:spacing w:after="60"/>
      </w:pPr>
      <w:r>
        <w:rPr>
          <w:rFonts w:ascii="Times New Roman" w:hAnsi="Times New Roman"/>
          <w:b/>
          <w:sz w:val="20"/>
        </w:rPr>
        <w:t>Table 1. Baseline dietary intake by study group</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2340"/>
        <w:gridCol w:w="2340"/>
        <w:gridCol w:w="2340"/>
        <w:gridCol w:w="2340"/>
      </w:tblGrid>
      <w:tr>
        <w:trPr>
          <w:cantSplit/>
        </w:trPr>
        <w:tc>
          <w:tcPr>
            <w:tcW w:type="dxa" w:w="2340"/>
            <w:vAlign w:val="center"/>
            <w:tcBorders>
              <w:top w:val="single" w:sz="10" w:space="0" w:color="000000"/>
              <w:bottom w:val="single" w:sz="8" w:space="0" w:color="000000"/>
            </w:tcBorders>
          </w:tcPr>
          <w:p>
            <w:pPr>
              <w:spacing w:after="0"/>
              <w:jc w:val="center"/>
            </w:pPr>
            <w:r/>
            <w:r>
              <w:rPr>
                <w:rFonts w:ascii="Times New Roman" w:hAnsi="Times New Roman"/>
                <w:b/>
                <w:sz w:val="18"/>
              </w:rPr>
              <w:t>Group</w:t>
            </w:r>
          </w:p>
        </w:tc>
        <w:tc>
          <w:tcPr>
            <w:tcW w:type="dxa" w:w="2340"/>
            <w:vAlign w:val="center"/>
            <w:tcBorders>
              <w:top w:val="single" w:sz="10" w:space="0" w:color="000000"/>
              <w:bottom w:val="single" w:sz="8" w:space="0" w:color="000000"/>
            </w:tcBorders>
          </w:tcPr>
          <w:p>
            <w:pPr>
              <w:spacing w:after="0"/>
              <w:jc w:val="center"/>
            </w:pPr>
            <w:r/>
            <w:r>
              <w:rPr>
                <w:rFonts w:ascii="Times New Roman" w:hAnsi="Times New Roman"/>
                <w:b/>
                <w:sz w:val="18"/>
              </w:rPr>
              <w:t>Energy (kcal)</w:t>
            </w:r>
          </w:p>
        </w:tc>
        <w:tc>
          <w:tcPr>
            <w:tcW w:type="dxa" w:w="2340"/>
            <w:vAlign w:val="center"/>
            <w:tcBorders>
              <w:top w:val="single" w:sz="10" w:space="0" w:color="000000"/>
              <w:bottom w:val="single" w:sz="8" w:space="0" w:color="000000"/>
            </w:tcBorders>
          </w:tcPr>
          <w:p>
            <w:pPr>
              <w:spacing w:after="0"/>
              <w:jc w:val="center"/>
            </w:pPr>
            <w:r/>
            <w:r>
              <w:rPr>
                <w:rFonts w:ascii="Times New Roman" w:hAnsi="Times New Roman"/>
                <w:b/>
                <w:sz w:val="18"/>
              </w:rPr>
              <w:t>Protein (g)</w:t>
            </w:r>
          </w:p>
        </w:tc>
        <w:tc>
          <w:tcPr>
            <w:tcW w:type="dxa" w:w="2340"/>
            <w:vAlign w:val="center"/>
            <w:tcBorders>
              <w:top w:val="single" w:sz="10" w:space="0" w:color="000000"/>
              <w:bottom w:val="single" w:sz="8" w:space="0" w:color="000000"/>
            </w:tcBorders>
          </w:tcPr>
          <w:p>
            <w:pPr>
              <w:spacing w:after="0"/>
              <w:jc w:val="center"/>
            </w:pPr>
            <w:r/>
            <w:r>
              <w:rPr>
                <w:rFonts w:ascii="Times New Roman" w:hAnsi="Times New Roman"/>
                <w:b/>
                <w:sz w:val="18"/>
              </w:rPr>
              <w:t>Iron (mg)</w:t>
            </w:r>
          </w:p>
        </w:tc>
      </w:tr>
      <w:tr>
        <w:trPr>
          <w:cantSplit/>
        </w:trPr>
        <w:tc>
          <w:tcPr>
            <w:tcW w:type="dxa" w:w="2340"/>
            <w:vAlign w:val="center"/>
          </w:tcPr>
          <w:p>
            <w:pPr>
              <w:spacing w:after="0"/>
              <w:jc w:val="left"/>
            </w:pPr>
            <w:r/>
            <w:r>
              <w:rPr>
                <w:rFonts w:ascii="Times New Roman" w:hAnsi="Times New Roman"/>
                <w:b w:val="0"/>
                <w:sz w:val="18"/>
              </w:rPr>
              <w:t>Sea hare-papaya 80:20</w:t>
            </w:r>
          </w:p>
        </w:tc>
        <w:tc>
          <w:tcPr>
            <w:tcW w:type="dxa" w:w="2340"/>
            <w:vAlign w:val="center"/>
          </w:tcPr>
          <w:p>
            <w:pPr>
              <w:spacing w:after="0"/>
              <w:jc w:val="center"/>
            </w:pPr>
            <w:r/>
            <w:r>
              <w:rPr>
                <w:rFonts w:ascii="Times New Roman" w:hAnsi="Times New Roman"/>
                <w:b w:val="0"/>
                <w:sz w:val="18"/>
              </w:rPr>
              <w:t>1,003</w:t>
            </w:r>
          </w:p>
        </w:tc>
        <w:tc>
          <w:tcPr>
            <w:tcW w:type="dxa" w:w="2340"/>
            <w:vAlign w:val="center"/>
          </w:tcPr>
          <w:p>
            <w:pPr>
              <w:spacing w:after="0"/>
              <w:jc w:val="center"/>
            </w:pPr>
            <w:r/>
            <w:r>
              <w:rPr>
                <w:rFonts w:ascii="Times New Roman" w:hAnsi="Times New Roman"/>
                <w:b w:val="0"/>
                <w:sz w:val="18"/>
              </w:rPr>
              <w:t>37.4</w:t>
            </w:r>
          </w:p>
        </w:tc>
        <w:tc>
          <w:tcPr>
            <w:tcW w:type="dxa" w:w="2340"/>
            <w:vAlign w:val="center"/>
          </w:tcPr>
          <w:p>
            <w:pPr>
              <w:spacing w:after="0"/>
              <w:jc w:val="center"/>
            </w:pPr>
            <w:r/>
            <w:r>
              <w:rPr>
                <w:rFonts w:ascii="Times New Roman" w:hAnsi="Times New Roman"/>
                <w:b w:val="0"/>
                <w:sz w:val="18"/>
              </w:rPr>
              <w:t>9.2</w:t>
            </w:r>
          </w:p>
        </w:tc>
      </w:tr>
      <w:tr>
        <w:trPr>
          <w:cantSplit/>
        </w:trPr>
        <w:tc>
          <w:tcPr>
            <w:tcW w:type="dxa" w:w="2340"/>
            <w:vAlign w:val="center"/>
          </w:tcPr>
          <w:p>
            <w:pPr>
              <w:spacing w:after="0"/>
              <w:jc w:val="left"/>
            </w:pPr>
            <w:r/>
            <w:r>
              <w:rPr>
                <w:rFonts w:ascii="Times New Roman" w:hAnsi="Times New Roman"/>
                <w:b w:val="0"/>
                <w:sz w:val="18"/>
              </w:rPr>
              <w:t>Sea hare-papaya 70:30</w:t>
            </w:r>
          </w:p>
        </w:tc>
        <w:tc>
          <w:tcPr>
            <w:tcW w:type="dxa" w:w="2340"/>
            <w:vAlign w:val="center"/>
          </w:tcPr>
          <w:p>
            <w:pPr>
              <w:spacing w:after="0"/>
              <w:jc w:val="center"/>
            </w:pPr>
            <w:r/>
            <w:r>
              <w:rPr>
                <w:rFonts w:ascii="Times New Roman" w:hAnsi="Times New Roman"/>
                <w:b w:val="0"/>
                <w:sz w:val="18"/>
              </w:rPr>
              <w:t>1,033</w:t>
            </w:r>
          </w:p>
        </w:tc>
        <w:tc>
          <w:tcPr>
            <w:tcW w:type="dxa" w:w="2340"/>
            <w:vAlign w:val="center"/>
          </w:tcPr>
          <w:p>
            <w:pPr>
              <w:spacing w:after="0"/>
              <w:jc w:val="center"/>
            </w:pPr>
            <w:r/>
            <w:r>
              <w:rPr>
                <w:rFonts w:ascii="Times New Roman" w:hAnsi="Times New Roman"/>
                <w:b w:val="0"/>
                <w:sz w:val="18"/>
              </w:rPr>
              <w:t>39.0</w:t>
            </w:r>
          </w:p>
        </w:tc>
        <w:tc>
          <w:tcPr>
            <w:tcW w:type="dxa" w:w="2340"/>
            <w:vAlign w:val="center"/>
          </w:tcPr>
          <w:p>
            <w:pPr>
              <w:spacing w:after="0"/>
              <w:jc w:val="center"/>
            </w:pPr>
            <w:r/>
            <w:r>
              <w:rPr>
                <w:rFonts w:ascii="Times New Roman" w:hAnsi="Times New Roman"/>
                <w:b w:val="0"/>
                <w:sz w:val="18"/>
              </w:rPr>
              <w:t>10.6</w:t>
            </w:r>
          </w:p>
        </w:tc>
      </w:tr>
      <w:tr>
        <w:trPr>
          <w:cantSplit/>
        </w:trPr>
        <w:tc>
          <w:tcPr>
            <w:tcW w:type="dxa" w:w="2340"/>
            <w:vAlign w:val="center"/>
          </w:tcPr>
          <w:p>
            <w:pPr>
              <w:spacing w:after="0"/>
              <w:jc w:val="left"/>
            </w:pPr>
            <w:r/>
            <w:r>
              <w:rPr>
                <w:rFonts w:ascii="Times New Roman" w:hAnsi="Times New Roman"/>
                <w:b w:val="0"/>
                <w:sz w:val="18"/>
              </w:rPr>
              <w:t>Sea hare-papaya 60:40</w:t>
            </w:r>
          </w:p>
        </w:tc>
        <w:tc>
          <w:tcPr>
            <w:tcW w:type="dxa" w:w="2340"/>
            <w:vAlign w:val="center"/>
          </w:tcPr>
          <w:p>
            <w:pPr>
              <w:spacing w:after="0"/>
              <w:jc w:val="center"/>
            </w:pPr>
            <w:r/>
            <w:r>
              <w:rPr>
                <w:rFonts w:ascii="Times New Roman" w:hAnsi="Times New Roman"/>
                <w:b w:val="0"/>
                <w:sz w:val="18"/>
              </w:rPr>
              <w:t>1,008</w:t>
            </w:r>
          </w:p>
        </w:tc>
        <w:tc>
          <w:tcPr>
            <w:tcW w:type="dxa" w:w="2340"/>
            <w:vAlign w:val="center"/>
          </w:tcPr>
          <w:p>
            <w:pPr>
              <w:spacing w:after="0"/>
              <w:jc w:val="center"/>
            </w:pPr>
            <w:r/>
            <w:r>
              <w:rPr>
                <w:rFonts w:ascii="Times New Roman" w:hAnsi="Times New Roman"/>
                <w:b w:val="0"/>
                <w:sz w:val="18"/>
              </w:rPr>
              <w:t>37.0</w:t>
            </w:r>
          </w:p>
        </w:tc>
        <w:tc>
          <w:tcPr>
            <w:tcW w:type="dxa" w:w="2340"/>
            <w:vAlign w:val="center"/>
          </w:tcPr>
          <w:p>
            <w:pPr>
              <w:spacing w:after="0"/>
              <w:jc w:val="center"/>
            </w:pPr>
            <w:r/>
            <w:r>
              <w:rPr>
                <w:rFonts w:ascii="Times New Roman" w:hAnsi="Times New Roman"/>
                <w:b w:val="0"/>
                <w:sz w:val="18"/>
              </w:rPr>
              <w:t>10.3</w:t>
            </w:r>
          </w:p>
        </w:tc>
      </w:tr>
      <w:tr>
        <w:trPr>
          <w:cantSplit/>
        </w:trPr>
        <w:tc>
          <w:tcPr>
            <w:tcW w:type="dxa" w:w="2340"/>
            <w:vAlign w:val="center"/>
          </w:tcPr>
          <w:p>
            <w:pPr>
              <w:spacing w:after="0"/>
              <w:jc w:val="left"/>
            </w:pPr>
            <w:r/>
            <w:r>
              <w:rPr>
                <w:rFonts w:ascii="Times New Roman" w:hAnsi="Times New Roman"/>
                <w:b w:val="0"/>
                <w:sz w:val="18"/>
              </w:rPr>
              <w:t>Commercial control</w:t>
            </w:r>
          </w:p>
        </w:tc>
        <w:tc>
          <w:tcPr>
            <w:tcW w:type="dxa" w:w="2340"/>
            <w:vAlign w:val="center"/>
          </w:tcPr>
          <w:p>
            <w:pPr>
              <w:spacing w:after="0"/>
              <w:jc w:val="center"/>
            </w:pPr>
            <w:r/>
            <w:r>
              <w:rPr>
                <w:rFonts w:ascii="Times New Roman" w:hAnsi="Times New Roman"/>
                <w:b w:val="0"/>
                <w:sz w:val="18"/>
              </w:rPr>
              <w:t>1,040</w:t>
            </w:r>
          </w:p>
        </w:tc>
        <w:tc>
          <w:tcPr>
            <w:tcW w:type="dxa" w:w="2340"/>
            <w:vAlign w:val="center"/>
          </w:tcPr>
          <w:p>
            <w:pPr>
              <w:spacing w:after="0"/>
              <w:jc w:val="center"/>
            </w:pPr>
            <w:r/>
            <w:r>
              <w:rPr>
                <w:rFonts w:ascii="Times New Roman" w:hAnsi="Times New Roman"/>
                <w:b w:val="0"/>
                <w:sz w:val="18"/>
              </w:rPr>
              <w:t>33.2</w:t>
            </w:r>
          </w:p>
        </w:tc>
        <w:tc>
          <w:tcPr>
            <w:tcW w:type="dxa" w:w="2340"/>
            <w:vAlign w:val="center"/>
          </w:tcPr>
          <w:p>
            <w:pPr>
              <w:spacing w:after="0"/>
              <w:jc w:val="center"/>
            </w:pPr>
            <w:r/>
            <w:r>
              <w:rPr>
                <w:rFonts w:ascii="Times New Roman" w:hAnsi="Times New Roman"/>
                <w:b w:val="0"/>
                <w:sz w:val="18"/>
              </w:rPr>
              <w:t>8.9</w:t>
            </w:r>
          </w:p>
        </w:tc>
      </w:tr>
      <w:tr>
        <w:trPr>
          <w:cantSplit/>
        </w:trPr>
        <w:tc>
          <w:tcPr>
            <w:tcW w:type="dxa" w:w="2340"/>
            <w:vAlign w:val="center"/>
            <w:tcBorders>
              <w:bottom w:val="single" w:sz="10" w:space="0" w:color="000000"/>
            </w:tcBorders>
          </w:tcPr>
          <w:p>
            <w:pPr>
              <w:spacing w:after="0"/>
              <w:jc w:val="left"/>
            </w:pPr>
            <w:r/>
            <w:r>
              <w:rPr>
                <w:rFonts w:ascii="Times New Roman" w:hAnsi="Times New Roman"/>
                <w:b w:val="0"/>
                <w:sz w:val="18"/>
              </w:rPr>
              <w:t>Placebo</w:t>
            </w:r>
          </w:p>
        </w:tc>
        <w:tc>
          <w:tcPr>
            <w:tcW w:type="dxa" w:w="2340"/>
            <w:vAlign w:val="center"/>
            <w:tcBorders>
              <w:bottom w:val="single" w:sz="10" w:space="0" w:color="000000"/>
            </w:tcBorders>
          </w:tcPr>
          <w:p>
            <w:pPr>
              <w:spacing w:after="0"/>
              <w:jc w:val="center"/>
            </w:pPr>
            <w:r/>
            <w:r>
              <w:rPr>
                <w:rFonts w:ascii="Times New Roman" w:hAnsi="Times New Roman"/>
                <w:b w:val="0"/>
                <w:sz w:val="18"/>
              </w:rPr>
              <w:t>1,119</w:t>
            </w:r>
          </w:p>
        </w:tc>
        <w:tc>
          <w:tcPr>
            <w:tcW w:type="dxa" w:w="2340"/>
            <w:vAlign w:val="center"/>
            <w:tcBorders>
              <w:bottom w:val="single" w:sz="10" w:space="0" w:color="000000"/>
            </w:tcBorders>
          </w:tcPr>
          <w:p>
            <w:pPr>
              <w:spacing w:after="0"/>
              <w:jc w:val="center"/>
            </w:pPr>
            <w:r/>
            <w:r>
              <w:rPr>
                <w:rFonts w:ascii="Times New Roman" w:hAnsi="Times New Roman"/>
                <w:b w:val="0"/>
                <w:sz w:val="18"/>
              </w:rPr>
              <w:t>41.3</w:t>
            </w:r>
          </w:p>
        </w:tc>
        <w:tc>
          <w:tcPr>
            <w:tcW w:type="dxa" w:w="2340"/>
            <w:vAlign w:val="center"/>
            <w:tcBorders>
              <w:bottom w:val="single" w:sz="10" w:space="0" w:color="000000"/>
            </w:tcBorders>
          </w:tcPr>
          <w:p>
            <w:pPr>
              <w:spacing w:after="0"/>
              <w:jc w:val="center"/>
            </w:pPr>
            <w:r/>
            <w:r>
              <w:rPr>
                <w:rFonts w:ascii="Times New Roman" w:hAnsi="Times New Roman"/>
                <w:b w:val="0"/>
                <w:sz w:val="18"/>
              </w:rPr>
              <w:t>8.6</w:t>
            </w:r>
          </w:p>
        </w:tc>
      </w:tr>
    </w:tbl>
    <w:p>
      <w:pPr>
        <w:spacing w:before="40" w:after="100"/>
      </w:pPr>
      <w:r>
        <w:rPr>
          <w:rFonts w:ascii="Times New Roman" w:hAnsi="Times New Roman"/>
          <w:sz w:val="18"/>
        </w:rPr>
        <w:t>Values are descriptive baseline estimates from the source dietary assessment.</w:t>
      </w:r>
    </w:p>
    <w:p/>
    <w:p>
      <w:pPr>
        <w:spacing w:after="60"/>
      </w:pPr>
      <w:r>
        <w:rPr>
          <w:rFonts w:ascii="Times New Roman" w:hAnsi="Times New Roman"/>
          <w:b/>
          <w:sz w:val="20"/>
        </w:rPr>
        <w:t>Table 2. Hemoglobin before and after the 6-week intervention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rPr>
          <w:cantSplit/>
        </w:trPr>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Group</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Before, mean±SD</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After, mean±SD</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t</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P value</w:t>
            </w:r>
          </w:p>
        </w:tc>
      </w:tr>
      <w:tr>
        <w:trPr>
          <w:cantSplit/>
        </w:trPr>
        <w:tc>
          <w:tcPr>
            <w:tcW w:type="dxa" w:w="1872"/>
            <w:vAlign w:val="center"/>
          </w:tcPr>
          <w:p>
            <w:pPr>
              <w:spacing w:after="0"/>
              <w:jc w:val="left"/>
            </w:pPr>
            <w:r/>
            <w:r>
              <w:rPr>
                <w:rFonts w:ascii="Times New Roman" w:hAnsi="Times New Roman"/>
                <w:b w:val="0"/>
                <w:sz w:val="18"/>
              </w:rPr>
              <w:t>Sea hare-papaya 80:20</w:t>
            </w:r>
          </w:p>
        </w:tc>
        <w:tc>
          <w:tcPr>
            <w:tcW w:type="dxa" w:w="1872"/>
            <w:vAlign w:val="center"/>
          </w:tcPr>
          <w:p>
            <w:pPr>
              <w:spacing w:after="0"/>
              <w:jc w:val="center"/>
            </w:pPr>
            <w:r/>
            <w:r>
              <w:rPr>
                <w:rFonts w:ascii="Times New Roman" w:hAnsi="Times New Roman"/>
                <w:b w:val="0"/>
                <w:sz w:val="18"/>
              </w:rPr>
              <w:t>10.9±0.61</w:t>
            </w:r>
          </w:p>
        </w:tc>
        <w:tc>
          <w:tcPr>
            <w:tcW w:type="dxa" w:w="1872"/>
            <w:vAlign w:val="center"/>
          </w:tcPr>
          <w:p>
            <w:pPr>
              <w:spacing w:after="0"/>
              <w:jc w:val="center"/>
            </w:pPr>
            <w:r/>
            <w:r>
              <w:rPr>
                <w:rFonts w:ascii="Times New Roman" w:hAnsi="Times New Roman"/>
                <w:b w:val="0"/>
                <w:sz w:val="18"/>
              </w:rPr>
              <w:t>11.7±0.51</w:t>
            </w:r>
          </w:p>
        </w:tc>
        <w:tc>
          <w:tcPr>
            <w:tcW w:type="dxa" w:w="1872"/>
            <w:vAlign w:val="center"/>
          </w:tcPr>
          <w:p>
            <w:pPr>
              <w:spacing w:after="0"/>
              <w:jc w:val="center"/>
            </w:pPr>
            <w:r/>
            <w:r>
              <w:rPr>
                <w:rFonts w:ascii="Times New Roman" w:hAnsi="Times New Roman"/>
                <w:b w:val="0"/>
                <w:sz w:val="18"/>
              </w:rPr>
              <w:t>-4.43</w:t>
            </w:r>
          </w:p>
        </w:tc>
        <w:tc>
          <w:tcPr>
            <w:tcW w:type="dxa" w:w="1872"/>
            <w:vAlign w:val="center"/>
          </w:tcPr>
          <w:p>
            <w:pPr>
              <w:spacing w:after="0"/>
              <w:jc w:val="center"/>
            </w:pPr>
            <w:r/>
            <w:r>
              <w:rPr>
                <w:rFonts w:ascii="Times New Roman" w:hAnsi="Times New Roman"/>
                <w:b w:val="0"/>
                <w:sz w:val="18"/>
              </w:rPr>
              <w:t>0.002</w:t>
            </w:r>
          </w:p>
        </w:tc>
      </w:tr>
      <w:tr>
        <w:trPr>
          <w:cantSplit/>
        </w:trPr>
        <w:tc>
          <w:tcPr>
            <w:tcW w:type="dxa" w:w="1872"/>
            <w:vAlign w:val="center"/>
          </w:tcPr>
          <w:p>
            <w:pPr>
              <w:spacing w:after="0"/>
              <w:jc w:val="left"/>
            </w:pPr>
            <w:r/>
            <w:r>
              <w:rPr>
                <w:rFonts w:ascii="Times New Roman" w:hAnsi="Times New Roman"/>
                <w:b w:val="0"/>
                <w:sz w:val="18"/>
              </w:rPr>
              <w:t>Sea hare-papaya 70:30</w:t>
            </w:r>
          </w:p>
        </w:tc>
        <w:tc>
          <w:tcPr>
            <w:tcW w:type="dxa" w:w="1872"/>
            <w:vAlign w:val="center"/>
          </w:tcPr>
          <w:p>
            <w:pPr>
              <w:spacing w:after="0"/>
              <w:jc w:val="center"/>
            </w:pPr>
            <w:r/>
            <w:r>
              <w:rPr>
                <w:rFonts w:ascii="Times New Roman" w:hAnsi="Times New Roman"/>
                <w:b w:val="0"/>
                <w:sz w:val="18"/>
              </w:rPr>
              <w:t>11.1±0.86</w:t>
            </w:r>
          </w:p>
        </w:tc>
        <w:tc>
          <w:tcPr>
            <w:tcW w:type="dxa" w:w="1872"/>
            <w:vAlign w:val="center"/>
          </w:tcPr>
          <w:p>
            <w:pPr>
              <w:spacing w:after="0"/>
              <w:jc w:val="center"/>
            </w:pPr>
            <w:r/>
            <w:r>
              <w:rPr>
                <w:rFonts w:ascii="Times New Roman" w:hAnsi="Times New Roman"/>
                <w:b w:val="0"/>
                <w:sz w:val="18"/>
              </w:rPr>
              <w:t>11.8±0.57</w:t>
            </w:r>
          </w:p>
        </w:tc>
        <w:tc>
          <w:tcPr>
            <w:tcW w:type="dxa" w:w="1872"/>
            <w:vAlign w:val="center"/>
          </w:tcPr>
          <w:p>
            <w:pPr>
              <w:spacing w:after="0"/>
              <w:jc w:val="center"/>
            </w:pPr>
            <w:r/>
            <w:r>
              <w:rPr>
                <w:rFonts w:ascii="Times New Roman" w:hAnsi="Times New Roman"/>
                <w:b w:val="0"/>
                <w:sz w:val="18"/>
              </w:rPr>
              <w:t>-3.55</w:t>
            </w:r>
          </w:p>
        </w:tc>
        <w:tc>
          <w:tcPr>
            <w:tcW w:type="dxa" w:w="1872"/>
            <w:vAlign w:val="center"/>
          </w:tcPr>
          <w:p>
            <w:pPr>
              <w:spacing w:after="0"/>
              <w:jc w:val="center"/>
            </w:pPr>
            <w:r/>
            <w:r>
              <w:rPr>
                <w:rFonts w:ascii="Times New Roman" w:hAnsi="Times New Roman"/>
                <w:b w:val="0"/>
                <w:sz w:val="18"/>
              </w:rPr>
              <w:t>0.008</w:t>
            </w:r>
          </w:p>
        </w:tc>
      </w:tr>
      <w:tr>
        <w:trPr>
          <w:cantSplit/>
        </w:trPr>
        <w:tc>
          <w:tcPr>
            <w:tcW w:type="dxa" w:w="1872"/>
            <w:vAlign w:val="center"/>
          </w:tcPr>
          <w:p>
            <w:pPr>
              <w:spacing w:after="0"/>
              <w:jc w:val="left"/>
            </w:pPr>
            <w:r/>
            <w:r>
              <w:rPr>
                <w:rFonts w:ascii="Times New Roman" w:hAnsi="Times New Roman"/>
                <w:b w:val="0"/>
                <w:sz w:val="18"/>
              </w:rPr>
              <w:t>Sea hare-papaya 60:40</w:t>
            </w:r>
          </w:p>
        </w:tc>
        <w:tc>
          <w:tcPr>
            <w:tcW w:type="dxa" w:w="1872"/>
            <w:vAlign w:val="center"/>
          </w:tcPr>
          <w:p>
            <w:pPr>
              <w:spacing w:after="0"/>
              <w:jc w:val="center"/>
            </w:pPr>
            <w:r/>
            <w:r>
              <w:rPr>
                <w:rFonts w:ascii="Times New Roman" w:hAnsi="Times New Roman"/>
                <w:b w:val="0"/>
                <w:sz w:val="18"/>
              </w:rPr>
              <w:t>10.8±1.23</w:t>
            </w:r>
          </w:p>
        </w:tc>
        <w:tc>
          <w:tcPr>
            <w:tcW w:type="dxa" w:w="1872"/>
            <w:vAlign w:val="center"/>
          </w:tcPr>
          <w:p>
            <w:pPr>
              <w:spacing w:after="0"/>
              <w:jc w:val="center"/>
            </w:pPr>
            <w:r/>
            <w:r>
              <w:rPr>
                <w:rFonts w:ascii="Times New Roman" w:hAnsi="Times New Roman"/>
                <w:b w:val="0"/>
                <w:sz w:val="18"/>
              </w:rPr>
              <w:t>11.6±0.45</w:t>
            </w:r>
          </w:p>
        </w:tc>
        <w:tc>
          <w:tcPr>
            <w:tcW w:type="dxa" w:w="1872"/>
            <w:vAlign w:val="center"/>
          </w:tcPr>
          <w:p>
            <w:pPr>
              <w:spacing w:after="0"/>
              <w:jc w:val="center"/>
            </w:pPr>
            <w:r/>
            <w:r>
              <w:rPr>
                <w:rFonts w:ascii="Times New Roman" w:hAnsi="Times New Roman"/>
                <w:b w:val="0"/>
                <w:sz w:val="18"/>
              </w:rPr>
              <w:t>-3.10</w:t>
            </w:r>
          </w:p>
        </w:tc>
        <w:tc>
          <w:tcPr>
            <w:tcW w:type="dxa" w:w="1872"/>
            <w:vAlign w:val="center"/>
          </w:tcPr>
          <w:p>
            <w:pPr>
              <w:spacing w:after="0"/>
              <w:jc w:val="center"/>
            </w:pPr>
            <w:r/>
            <w:r>
              <w:rPr>
                <w:rFonts w:ascii="Times New Roman" w:hAnsi="Times New Roman"/>
                <w:b w:val="0"/>
                <w:sz w:val="18"/>
              </w:rPr>
              <w:t>0.015</w:t>
            </w:r>
          </w:p>
        </w:tc>
      </w:tr>
      <w:tr>
        <w:trPr>
          <w:cantSplit/>
        </w:trPr>
        <w:tc>
          <w:tcPr>
            <w:tcW w:type="dxa" w:w="1872"/>
            <w:vAlign w:val="center"/>
          </w:tcPr>
          <w:p>
            <w:pPr>
              <w:spacing w:after="0"/>
              <w:jc w:val="left"/>
            </w:pPr>
            <w:r/>
            <w:r>
              <w:rPr>
                <w:rFonts w:ascii="Times New Roman" w:hAnsi="Times New Roman"/>
                <w:b w:val="0"/>
                <w:sz w:val="18"/>
              </w:rPr>
              <w:t>Commercial control</w:t>
            </w:r>
          </w:p>
        </w:tc>
        <w:tc>
          <w:tcPr>
            <w:tcW w:type="dxa" w:w="1872"/>
            <w:vAlign w:val="center"/>
          </w:tcPr>
          <w:p>
            <w:pPr>
              <w:spacing w:after="0"/>
              <w:jc w:val="center"/>
            </w:pPr>
            <w:r/>
            <w:r>
              <w:rPr>
                <w:rFonts w:ascii="Times New Roman" w:hAnsi="Times New Roman"/>
                <w:b w:val="0"/>
                <w:sz w:val="18"/>
              </w:rPr>
              <w:t>10.9±1.02</w:t>
            </w:r>
          </w:p>
        </w:tc>
        <w:tc>
          <w:tcPr>
            <w:tcW w:type="dxa" w:w="1872"/>
            <w:vAlign w:val="center"/>
          </w:tcPr>
          <w:p>
            <w:pPr>
              <w:spacing w:after="0"/>
              <w:jc w:val="center"/>
            </w:pPr>
            <w:r/>
            <w:r>
              <w:rPr>
                <w:rFonts w:ascii="Times New Roman" w:hAnsi="Times New Roman"/>
                <w:b w:val="0"/>
                <w:sz w:val="18"/>
              </w:rPr>
              <w:t>10.9±0.90</w:t>
            </w:r>
          </w:p>
        </w:tc>
        <w:tc>
          <w:tcPr>
            <w:tcW w:type="dxa" w:w="1872"/>
            <w:vAlign w:val="center"/>
          </w:tcPr>
          <w:p>
            <w:pPr>
              <w:spacing w:after="0"/>
              <w:jc w:val="center"/>
            </w:pPr>
            <w:r/>
            <w:r>
              <w:rPr>
                <w:rFonts w:ascii="Times New Roman" w:hAnsi="Times New Roman"/>
                <w:b w:val="0"/>
                <w:sz w:val="18"/>
              </w:rPr>
              <w:t>-0.73</w:t>
            </w:r>
          </w:p>
        </w:tc>
        <w:tc>
          <w:tcPr>
            <w:tcW w:type="dxa" w:w="1872"/>
            <w:vAlign w:val="center"/>
          </w:tcPr>
          <w:p>
            <w:pPr>
              <w:spacing w:after="0"/>
              <w:jc w:val="center"/>
            </w:pPr>
            <w:r/>
            <w:r>
              <w:rPr>
                <w:rFonts w:ascii="Times New Roman" w:hAnsi="Times New Roman"/>
                <w:b w:val="0"/>
                <w:sz w:val="18"/>
              </w:rPr>
              <w:t>0.486</w:t>
            </w:r>
          </w:p>
        </w:tc>
      </w:tr>
      <w:tr>
        <w:trPr>
          <w:cantSplit/>
        </w:trPr>
        <w:tc>
          <w:tcPr>
            <w:tcW w:type="dxa" w:w="1872"/>
            <w:vAlign w:val="center"/>
            <w:tcBorders>
              <w:bottom w:val="single" w:sz="10" w:space="0" w:color="000000"/>
            </w:tcBorders>
          </w:tcPr>
          <w:p>
            <w:pPr>
              <w:spacing w:after="0"/>
              <w:jc w:val="left"/>
            </w:pPr>
            <w:r/>
            <w:r>
              <w:rPr>
                <w:rFonts w:ascii="Times New Roman" w:hAnsi="Times New Roman"/>
                <w:b w:val="0"/>
                <w:sz w:val="18"/>
              </w:rPr>
              <w:t>Placebo</w:t>
            </w:r>
          </w:p>
        </w:tc>
        <w:tc>
          <w:tcPr>
            <w:tcW w:type="dxa" w:w="1872"/>
            <w:vAlign w:val="center"/>
            <w:tcBorders>
              <w:bottom w:val="single" w:sz="10" w:space="0" w:color="000000"/>
            </w:tcBorders>
          </w:tcPr>
          <w:p>
            <w:pPr>
              <w:spacing w:after="0"/>
              <w:jc w:val="center"/>
            </w:pPr>
            <w:r/>
            <w:r>
              <w:rPr>
                <w:rFonts w:ascii="Times New Roman" w:hAnsi="Times New Roman"/>
                <w:b w:val="0"/>
                <w:sz w:val="18"/>
              </w:rPr>
              <w:t>10.7±0.68</w:t>
            </w:r>
          </w:p>
        </w:tc>
        <w:tc>
          <w:tcPr>
            <w:tcW w:type="dxa" w:w="1872"/>
            <w:vAlign w:val="center"/>
            <w:tcBorders>
              <w:bottom w:val="single" w:sz="10" w:space="0" w:color="000000"/>
            </w:tcBorders>
          </w:tcPr>
          <w:p>
            <w:pPr>
              <w:spacing w:after="0"/>
              <w:jc w:val="center"/>
            </w:pPr>
            <w:r/>
            <w:r>
              <w:rPr>
                <w:rFonts w:ascii="Times New Roman" w:hAnsi="Times New Roman"/>
                <w:b w:val="0"/>
                <w:sz w:val="18"/>
              </w:rPr>
              <w:t>11.2±0.38</w:t>
            </w:r>
          </w:p>
        </w:tc>
        <w:tc>
          <w:tcPr>
            <w:tcW w:type="dxa" w:w="1872"/>
            <w:vAlign w:val="center"/>
            <w:tcBorders>
              <w:bottom w:val="single" w:sz="10" w:space="0" w:color="000000"/>
            </w:tcBorders>
          </w:tcPr>
          <w:p>
            <w:pPr>
              <w:spacing w:after="0"/>
              <w:jc w:val="center"/>
            </w:pPr>
            <w:r/>
            <w:r>
              <w:rPr>
                <w:rFonts w:ascii="Times New Roman" w:hAnsi="Times New Roman"/>
                <w:b w:val="0"/>
                <w:sz w:val="18"/>
              </w:rPr>
              <w:t>-2.31</w:t>
            </w:r>
          </w:p>
        </w:tc>
        <w:tc>
          <w:tcPr>
            <w:tcW w:type="dxa" w:w="1872"/>
            <w:vAlign w:val="center"/>
            <w:tcBorders>
              <w:bottom w:val="single" w:sz="10" w:space="0" w:color="000000"/>
            </w:tcBorders>
          </w:tcPr>
          <w:p>
            <w:pPr>
              <w:spacing w:after="0"/>
              <w:jc w:val="center"/>
            </w:pPr>
            <w:r/>
            <w:r>
              <w:rPr>
                <w:rFonts w:ascii="Times New Roman" w:hAnsi="Times New Roman"/>
                <w:b w:val="0"/>
                <w:sz w:val="18"/>
              </w:rPr>
              <w:t>0.054</w:t>
            </w:r>
          </w:p>
        </w:tc>
      </w:tr>
    </w:tbl>
    <w:p>
      <w:pPr>
        <w:spacing w:before="40" w:after="100"/>
      </w:pPr>
      <w:r>
        <w:rPr>
          <w:rFonts w:ascii="Times New Roman" w:hAnsi="Times New Roman"/>
          <w:sz w:val="18"/>
        </w:rPr>
        <w:t>SD, standard deviation. Hemoglobin is expressed in g/dL. P values are from paired-samples t tests in the source analysis.</w:t>
      </w:r>
    </w:p>
    <w:p/>
    <w:p>
      <w:pPr>
        <w:spacing w:after="60"/>
      </w:pPr>
      <w:r>
        <w:rPr>
          <w:rFonts w:ascii="Times New Roman" w:hAnsi="Times New Roman"/>
          <w:b/>
          <w:sz w:val="20"/>
        </w:rPr>
        <w:t>Table 3. Serum ferritin before and after the 6-week intervention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1872"/>
        <w:gridCol w:w="1872"/>
        <w:gridCol w:w="1872"/>
        <w:gridCol w:w="1872"/>
        <w:gridCol w:w="1872"/>
      </w:tblGrid>
      <w:tr>
        <w:trPr>
          <w:cantSplit/>
        </w:trPr>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Group</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Before, mean±SD</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After, mean±SD</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t</w:t>
            </w:r>
          </w:p>
        </w:tc>
        <w:tc>
          <w:tcPr>
            <w:tcW w:type="dxa" w:w="1872"/>
            <w:vAlign w:val="center"/>
            <w:tcBorders>
              <w:top w:val="single" w:sz="10" w:space="0" w:color="000000"/>
              <w:bottom w:val="single" w:sz="8" w:space="0" w:color="000000"/>
            </w:tcBorders>
          </w:tcPr>
          <w:p>
            <w:pPr>
              <w:spacing w:after="0"/>
              <w:jc w:val="center"/>
            </w:pPr>
            <w:r/>
            <w:r>
              <w:rPr>
                <w:rFonts w:ascii="Times New Roman" w:hAnsi="Times New Roman"/>
                <w:b/>
                <w:sz w:val="18"/>
              </w:rPr>
              <w:t>P value</w:t>
            </w:r>
          </w:p>
        </w:tc>
      </w:tr>
      <w:tr>
        <w:trPr>
          <w:cantSplit/>
        </w:trPr>
        <w:tc>
          <w:tcPr>
            <w:tcW w:type="dxa" w:w="1872"/>
            <w:vAlign w:val="center"/>
          </w:tcPr>
          <w:p>
            <w:pPr>
              <w:spacing w:after="0"/>
              <w:jc w:val="left"/>
            </w:pPr>
            <w:r/>
            <w:r>
              <w:rPr>
                <w:rFonts w:ascii="Times New Roman" w:hAnsi="Times New Roman"/>
                <w:b w:val="0"/>
                <w:sz w:val="18"/>
              </w:rPr>
              <w:t>Sea hare-papaya 80:20</w:t>
            </w:r>
          </w:p>
        </w:tc>
        <w:tc>
          <w:tcPr>
            <w:tcW w:type="dxa" w:w="1872"/>
            <w:vAlign w:val="center"/>
          </w:tcPr>
          <w:p>
            <w:pPr>
              <w:spacing w:after="0"/>
              <w:jc w:val="center"/>
            </w:pPr>
            <w:r/>
            <w:r>
              <w:rPr>
                <w:rFonts w:ascii="Times New Roman" w:hAnsi="Times New Roman"/>
                <w:b w:val="0"/>
                <w:sz w:val="18"/>
              </w:rPr>
              <w:t>27.54±16.82</w:t>
            </w:r>
          </w:p>
        </w:tc>
        <w:tc>
          <w:tcPr>
            <w:tcW w:type="dxa" w:w="1872"/>
            <w:vAlign w:val="center"/>
          </w:tcPr>
          <w:p>
            <w:pPr>
              <w:spacing w:after="0"/>
              <w:jc w:val="center"/>
            </w:pPr>
            <w:r/>
            <w:r>
              <w:rPr>
                <w:rFonts w:ascii="Times New Roman" w:hAnsi="Times New Roman"/>
                <w:b w:val="0"/>
                <w:sz w:val="18"/>
              </w:rPr>
              <w:t>43.45±28.47</w:t>
            </w:r>
          </w:p>
        </w:tc>
        <w:tc>
          <w:tcPr>
            <w:tcW w:type="dxa" w:w="1872"/>
            <w:vAlign w:val="center"/>
          </w:tcPr>
          <w:p>
            <w:pPr>
              <w:spacing w:after="0"/>
              <w:jc w:val="center"/>
            </w:pPr>
            <w:r/>
            <w:r>
              <w:rPr>
                <w:rFonts w:ascii="Times New Roman" w:hAnsi="Times New Roman"/>
                <w:b w:val="0"/>
                <w:sz w:val="18"/>
              </w:rPr>
              <w:t>-1.95</w:t>
            </w:r>
          </w:p>
        </w:tc>
        <w:tc>
          <w:tcPr>
            <w:tcW w:type="dxa" w:w="1872"/>
            <w:vAlign w:val="center"/>
          </w:tcPr>
          <w:p>
            <w:pPr>
              <w:spacing w:after="0"/>
              <w:jc w:val="center"/>
            </w:pPr>
            <w:r/>
            <w:r>
              <w:rPr>
                <w:rFonts w:ascii="Times New Roman" w:hAnsi="Times New Roman"/>
                <w:b w:val="0"/>
                <w:sz w:val="18"/>
              </w:rPr>
              <w:t>0.082</w:t>
            </w:r>
          </w:p>
        </w:tc>
      </w:tr>
      <w:tr>
        <w:trPr>
          <w:cantSplit/>
        </w:trPr>
        <w:tc>
          <w:tcPr>
            <w:tcW w:type="dxa" w:w="1872"/>
            <w:vAlign w:val="center"/>
          </w:tcPr>
          <w:p>
            <w:pPr>
              <w:spacing w:after="0"/>
              <w:jc w:val="left"/>
            </w:pPr>
            <w:r/>
            <w:r>
              <w:rPr>
                <w:rFonts w:ascii="Times New Roman" w:hAnsi="Times New Roman"/>
                <w:b w:val="0"/>
                <w:sz w:val="18"/>
              </w:rPr>
              <w:t>Sea hare-papaya 70:30</w:t>
            </w:r>
          </w:p>
        </w:tc>
        <w:tc>
          <w:tcPr>
            <w:tcW w:type="dxa" w:w="1872"/>
            <w:vAlign w:val="center"/>
          </w:tcPr>
          <w:p>
            <w:pPr>
              <w:spacing w:after="0"/>
              <w:jc w:val="center"/>
            </w:pPr>
            <w:r/>
            <w:r>
              <w:rPr>
                <w:rFonts w:ascii="Times New Roman" w:hAnsi="Times New Roman"/>
                <w:b w:val="0"/>
                <w:sz w:val="18"/>
              </w:rPr>
              <w:t>13.83±7.17</w:t>
            </w:r>
          </w:p>
        </w:tc>
        <w:tc>
          <w:tcPr>
            <w:tcW w:type="dxa" w:w="1872"/>
            <w:vAlign w:val="center"/>
          </w:tcPr>
          <w:p>
            <w:pPr>
              <w:spacing w:after="0"/>
              <w:jc w:val="center"/>
            </w:pPr>
            <w:r/>
            <w:r>
              <w:rPr>
                <w:rFonts w:ascii="Times New Roman" w:hAnsi="Times New Roman"/>
                <w:b w:val="0"/>
                <w:sz w:val="18"/>
              </w:rPr>
              <w:t>16.75±7.75</w:t>
            </w:r>
          </w:p>
        </w:tc>
        <w:tc>
          <w:tcPr>
            <w:tcW w:type="dxa" w:w="1872"/>
            <w:vAlign w:val="center"/>
          </w:tcPr>
          <w:p>
            <w:pPr>
              <w:spacing w:after="0"/>
              <w:jc w:val="center"/>
            </w:pPr>
            <w:r/>
            <w:r>
              <w:rPr>
                <w:rFonts w:ascii="Times New Roman" w:hAnsi="Times New Roman"/>
                <w:b w:val="0"/>
                <w:sz w:val="18"/>
              </w:rPr>
              <w:t>-1.78</w:t>
            </w:r>
          </w:p>
        </w:tc>
        <w:tc>
          <w:tcPr>
            <w:tcW w:type="dxa" w:w="1872"/>
            <w:vAlign w:val="center"/>
          </w:tcPr>
          <w:p>
            <w:pPr>
              <w:spacing w:after="0"/>
              <w:jc w:val="center"/>
            </w:pPr>
            <w:r/>
            <w:r>
              <w:rPr>
                <w:rFonts w:ascii="Times New Roman" w:hAnsi="Times New Roman"/>
                <w:b w:val="0"/>
                <w:sz w:val="18"/>
              </w:rPr>
              <w:t>0.109</w:t>
            </w:r>
          </w:p>
        </w:tc>
      </w:tr>
      <w:tr>
        <w:trPr>
          <w:cantSplit/>
        </w:trPr>
        <w:tc>
          <w:tcPr>
            <w:tcW w:type="dxa" w:w="1872"/>
            <w:vAlign w:val="center"/>
          </w:tcPr>
          <w:p>
            <w:pPr>
              <w:spacing w:after="0"/>
              <w:jc w:val="left"/>
            </w:pPr>
            <w:r/>
            <w:r>
              <w:rPr>
                <w:rFonts w:ascii="Times New Roman" w:hAnsi="Times New Roman"/>
                <w:b w:val="0"/>
                <w:sz w:val="18"/>
              </w:rPr>
              <w:t>Sea hare-papaya 60:40</w:t>
            </w:r>
          </w:p>
        </w:tc>
        <w:tc>
          <w:tcPr>
            <w:tcW w:type="dxa" w:w="1872"/>
            <w:vAlign w:val="center"/>
          </w:tcPr>
          <w:p>
            <w:pPr>
              <w:spacing w:after="0"/>
              <w:jc w:val="center"/>
            </w:pPr>
            <w:r/>
            <w:r>
              <w:rPr>
                <w:rFonts w:ascii="Times New Roman" w:hAnsi="Times New Roman"/>
                <w:b w:val="0"/>
                <w:sz w:val="18"/>
              </w:rPr>
              <w:t>14.22±15.72</w:t>
            </w:r>
          </w:p>
        </w:tc>
        <w:tc>
          <w:tcPr>
            <w:tcW w:type="dxa" w:w="1872"/>
            <w:vAlign w:val="center"/>
          </w:tcPr>
          <w:p>
            <w:pPr>
              <w:spacing w:after="0"/>
              <w:jc w:val="center"/>
            </w:pPr>
            <w:r/>
            <w:r>
              <w:rPr>
                <w:rFonts w:ascii="Times New Roman" w:hAnsi="Times New Roman"/>
                <w:b w:val="0"/>
                <w:sz w:val="18"/>
              </w:rPr>
              <w:t>19.47±13.54</w:t>
            </w:r>
          </w:p>
        </w:tc>
        <w:tc>
          <w:tcPr>
            <w:tcW w:type="dxa" w:w="1872"/>
            <w:vAlign w:val="center"/>
          </w:tcPr>
          <w:p>
            <w:pPr>
              <w:spacing w:after="0"/>
              <w:jc w:val="center"/>
            </w:pPr>
            <w:r/>
            <w:r>
              <w:rPr>
                <w:rFonts w:ascii="Times New Roman" w:hAnsi="Times New Roman"/>
                <w:b w:val="0"/>
                <w:sz w:val="18"/>
              </w:rPr>
              <w:t>-1.47</w:t>
            </w:r>
          </w:p>
        </w:tc>
        <w:tc>
          <w:tcPr>
            <w:tcW w:type="dxa" w:w="1872"/>
            <w:vAlign w:val="center"/>
          </w:tcPr>
          <w:p>
            <w:pPr>
              <w:spacing w:after="0"/>
              <w:jc w:val="center"/>
            </w:pPr>
            <w:r/>
            <w:r>
              <w:rPr>
                <w:rFonts w:ascii="Times New Roman" w:hAnsi="Times New Roman"/>
                <w:b w:val="0"/>
                <w:sz w:val="18"/>
              </w:rPr>
              <w:t>0.174</w:t>
            </w:r>
          </w:p>
        </w:tc>
      </w:tr>
      <w:tr>
        <w:trPr>
          <w:cantSplit/>
        </w:trPr>
        <w:tc>
          <w:tcPr>
            <w:tcW w:type="dxa" w:w="1872"/>
            <w:vAlign w:val="center"/>
          </w:tcPr>
          <w:p>
            <w:pPr>
              <w:spacing w:after="0"/>
              <w:jc w:val="left"/>
            </w:pPr>
            <w:r/>
            <w:r>
              <w:rPr>
                <w:rFonts w:ascii="Times New Roman" w:hAnsi="Times New Roman"/>
                <w:b w:val="0"/>
                <w:sz w:val="18"/>
              </w:rPr>
              <w:t>Commercial control</w:t>
            </w:r>
          </w:p>
        </w:tc>
        <w:tc>
          <w:tcPr>
            <w:tcW w:type="dxa" w:w="1872"/>
            <w:vAlign w:val="center"/>
          </w:tcPr>
          <w:p>
            <w:pPr>
              <w:spacing w:after="0"/>
              <w:jc w:val="center"/>
            </w:pPr>
            <w:r/>
            <w:r>
              <w:rPr>
                <w:rFonts w:ascii="Times New Roman" w:hAnsi="Times New Roman"/>
                <w:b w:val="0"/>
                <w:sz w:val="18"/>
              </w:rPr>
              <w:t>6.83±4.73</w:t>
            </w:r>
          </w:p>
        </w:tc>
        <w:tc>
          <w:tcPr>
            <w:tcW w:type="dxa" w:w="1872"/>
            <w:vAlign w:val="center"/>
          </w:tcPr>
          <w:p>
            <w:pPr>
              <w:spacing w:after="0"/>
              <w:jc w:val="center"/>
            </w:pPr>
            <w:r/>
            <w:r>
              <w:rPr>
                <w:rFonts w:ascii="Times New Roman" w:hAnsi="Times New Roman"/>
                <w:b w:val="0"/>
                <w:sz w:val="18"/>
              </w:rPr>
              <w:t>8.72±5.86</w:t>
            </w:r>
          </w:p>
        </w:tc>
        <w:tc>
          <w:tcPr>
            <w:tcW w:type="dxa" w:w="1872"/>
            <w:vAlign w:val="center"/>
          </w:tcPr>
          <w:p>
            <w:pPr>
              <w:spacing w:after="0"/>
              <w:jc w:val="center"/>
            </w:pPr>
            <w:r/>
            <w:r>
              <w:rPr>
                <w:rFonts w:ascii="Times New Roman" w:hAnsi="Times New Roman"/>
                <w:b w:val="0"/>
                <w:sz w:val="18"/>
              </w:rPr>
              <w:t>-0.92</w:t>
            </w:r>
          </w:p>
        </w:tc>
        <w:tc>
          <w:tcPr>
            <w:tcW w:type="dxa" w:w="1872"/>
            <w:vAlign w:val="center"/>
          </w:tcPr>
          <w:p>
            <w:pPr>
              <w:spacing w:after="0"/>
              <w:jc w:val="center"/>
            </w:pPr>
            <w:r/>
            <w:r>
              <w:rPr>
                <w:rFonts w:ascii="Times New Roman" w:hAnsi="Times New Roman"/>
                <w:b w:val="0"/>
                <w:sz w:val="18"/>
              </w:rPr>
              <w:t>0.380</w:t>
            </w:r>
          </w:p>
        </w:tc>
      </w:tr>
      <w:tr>
        <w:trPr>
          <w:cantSplit/>
        </w:trPr>
        <w:tc>
          <w:tcPr>
            <w:tcW w:type="dxa" w:w="1872"/>
            <w:vAlign w:val="center"/>
            <w:tcBorders>
              <w:bottom w:val="single" w:sz="10" w:space="0" w:color="000000"/>
            </w:tcBorders>
          </w:tcPr>
          <w:p>
            <w:pPr>
              <w:spacing w:after="0"/>
              <w:jc w:val="left"/>
            </w:pPr>
            <w:r/>
            <w:r>
              <w:rPr>
                <w:rFonts w:ascii="Times New Roman" w:hAnsi="Times New Roman"/>
                <w:b w:val="0"/>
                <w:sz w:val="18"/>
              </w:rPr>
              <w:t>Placebo</w:t>
            </w:r>
          </w:p>
        </w:tc>
        <w:tc>
          <w:tcPr>
            <w:tcW w:type="dxa" w:w="1872"/>
            <w:vAlign w:val="center"/>
            <w:tcBorders>
              <w:bottom w:val="single" w:sz="10" w:space="0" w:color="000000"/>
            </w:tcBorders>
          </w:tcPr>
          <w:p>
            <w:pPr>
              <w:spacing w:after="0"/>
              <w:jc w:val="center"/>
            </w:pPr>
            <w:r/>
            <w:r>
              <w:rPr>
                <w:rFonts w:ascii="Times New Roman" w:hAnsi="Times New Roman"/>
                <w:b w:val="0"/>
                <w:sz w:val="18"/>
              </w:rPr>
              <w:t>9.90±8.51</w:t>
            </w:r>
          </w:p>
        </w:tc>
        <w:tc>
          <w:tcPr>
            <w:tcW w:type="dxa" w:w="1872"/>
            <w:vAlign w:val="center"/>
            <w:tcBorders>
              <w:bottom w:val="single" w:sz="10" w:space="0" w:color="000000"/>
            </w:tcBorders>
          </w:tcPr>
          <w:p>
            <w:pPr>
              <w:spacing w:after="0"/>
              <w:jc w:val="center"/>
            </w:pPr>
            <w:r/>
            <w:r>
              <w:rPr>
                <w:rFonts w:ascii="Times New Roman" w:hAnsi="Times New Roman"/>
                <w:b w:val="0"/>
                <w:sz w:val="18"/>
              </w:rPr>
              <w:t>13.89±9.72</w:t>
            </w:r>
          </w:p>
        </w:tc>
        <w:tc>
          <w:tcPr>
            <w:tcW w:type="dxa" w:w="1872"/>
            <w:vAlign w:val="center"/>
            <w:tcBorders>
              <w:bottom w:val="single" w:sz="10" w:space="0" w:color="000000"/>
            </w:tcBorders>
          </w:tcPr>
          <w:p>
            <w:pPr>
              <w:spacing w:after="0"/>
              <w:jc w:val="center"/>
            </w:pPr>
            <w:r/>
            <w:r>
              <w:rPr>
                <w:rFonts w:ascii="Times New Roman" w:hAnsi="Times New Roman"/>
                <w:b w:val="0"/>
                <w:sz w:val="18"/>
              </w:rPr>
              <w:t>-1.34</w:t>
            </w:r>
          </w:p>
        </w:tc>
        <w:tc>
          <w:tcPr>
            <w:tcW w:type="dxa" w:w="1872"/>
            <w:vAlign w:val="center"/>
            <w:tcBorders>
              <w:bottom w:val="single" w:sz="10" w:space="0" w:color="000000"/>
            </w:tcBorders>
          </w:tcPr>
          <w:p>
            <w:pPr>
              <w:spacing w:after="0"/>
              <w:jc w:val="center"/>
            </w:pPr>
            <w:r/>
            <w:r>
              <w:rPr>
                <w:rFonts w:ascii="Times New Roman" w:hAnsi="Times New Roman"/>
                <w:b w:val="0"/>
                <w:sz w:val="18"/>
              </w:rPr>
              <w:t>0.213</w:t>
            </w:r>
          </w:p>
        </w:tc>
      </w:tr>
    </w:tbl>
    <w:p>
      <w:pPr>
        <w:spacing w:before="40" w:after="100"/>
      </w:pPr>
      <w:r>
        <w:rPr>
          <w:rFonts w:ascii="Times New Roman" w:hAnsi="Times New Roman"/>
          <w:sz w:val="18"/>
        </w:rPr>
        <w:t>SD, standard deviation. Ferritin is expressed in ng/mL. P values are from paired-samples t tests in the source analysis.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365F91" w:themeColor="accent1" w:themeShade="BF"/>
      <w:sz w:val="2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Blinded main manuscript for Indian Journal of Pediatrics</dc:subject>
  <dc:creator/>
  <cp:keywords/>
  <dc:description/>
  <cp:lastModifiedBy/>
  <cp:revision>1</cp:revision>
  <dcterms:created xsi:type="dcterms:W3CDTF">2013-12-23T23:15:00Z</dcterms:created>
  <dcterms:modified xsi:type="dcterms:W3CDTF">2013-12-23T23:15:00Z</dcterms:modified>
  <cp:category/>
</cp:coreProperties>
</file>