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MJMS Submission Readiness and Manuscript Improvement Notes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/>
          <w:sz w:val="24"/>
        </w:rPr>
        <w:t>Main weaknesses identified</w:t>
      </w:r>
    </w:p>
    <w:p>
      <w:pPr>
        <w:spacing w:line="360" w:lineRule="auto" w:after="60"/>
      </w:pPr>
      <w:r>
        <w:t>• Original wording was too strong for a small non-randomised quasi-experimental study.</w:t>
      </w:r>
    </w:p>
    <w:p>
      <w:pPr>
        <w:spacing w:line="360" w:lineRule="auto" w:after="60"/>
      </w:pPr>
      <w:r>
        <w:t>• Trial registration was absent; the manuscript needed transparent wording that this was not a randomised clinical trial.</w:t>
      </w:r>
    </w:p>
    <w:p>
      <w:pPr>
        <w:spacing w:line="360" w:lineRule="auto" w:after="60"/>
      </w:pPr>
      <w:r>
        <w:t>• Methods needed clearer reporting of allocation, intervention delivery, timing of blood glucose measurement, ethical approval, and statistical precision.</w:t>
      </w:r>
    </w:p>
    <w:p>
      <w:pPr>
        <w:spacing w:line="360" w:lineRule="auto" w:after="60"/>
      </w:pPr>
      <w:r>
        <w:t>• Results reported P-values and effect size but did not include confidence intervals for key estimates.</w:t>
      </w:r>
    </w:p>
    <w:p>
      <w:pPr>
        <w:spacing w:line="360" w:lineRule="auto" w:after="60"/>
      </w:pPr>
      <w:r>
        <w:t>• Discussion needed stronger public health/primary-care relevance and clearer limitations to avoid overclaiming.</w:t>
      </w:r>
    </w:p>
    <w:p>
      <w:pPr>
        <w:spacing w:line="360" w:lineRule="auto" w:after="60"/>
      </w:pPr>
      <w:r>
        <w:t>• MJMS requires double-blind review, so identifying author information must be separated from the main manuscript.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/>
          <w:sz w:val="24"/>
        </w:rPr>
        <w:t>Revisions completed</w:t>
      </w:r>
    </w:p>
    <w:p>
      <w:pPr>
        <w:spacing w:line="360" w:lineRule="auto" w:after="60"/>
      </w:pPr>
      <w:r>
        <w:t>• Prepared a blinded main manuscript in MJMS-ready Word format using Times New Roman 12 pt and double spacing.</w:t>
      </w:r>
    </w:p>
    <w:p>
      <w:pPr>
        <w:spacing w:line="360" w:lineRule="auto" w:after="60"/>
      </w:pPr>
      <w:r>
        <w:t>• Reframed the conclusion and discussion to use cautious language appropriate for quasi-experimental evidence.</w:t>
      </w:r>
    </w:p>
    <w:p>
      <w:pPr>
        <w:spacing w:line="360" w:lineRule="auto" w:after="60"/>
      </w:pPr>
      <w:r>
        <w:t>• Added disclosure that the study was non-randomised and not prospectively registered, without claiming RCT status.</w:t>
      </w:r>
    </w:p>
    <w:p>
      <w:pPr>
        <w:spacing w:line="360" w:lineRule="auto" w:after="60"/>
      </w:pPr>
      <w:r>
        <w:t>• Added 95% confidence intervals for the mean reductions and between-group difference using the reported mean, SD, and sample size.</w:t>
      </w:r>
    </w:p>
    <w:p>
      <w:pPr>
        <w:spacing w:line="360" w:lineRule="auto" w:after="60"/>
      </w:pPr>
      <w:r>
        <w:t>• Strengthened the introduction and discussion around practical primary-care and public-health relevance.</w:t>
      </w:r>
    </w:p>
    <w:p>
      <w:pPr>
        <w:spacing w:line="360" w:lineRule="auto" w:after="60"/>
      </w:pPr>
      <w:r>
        <w:t>• Prepared separate title page, tables file, cover letter, and MJMS authorship agreement form with author names inserted.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/>
          <w:sz w:val="24"/>
        </w:rPr>
        <w:t>Items that still require author confirmation before submission</w:t>
      </w:r>
    </w:p>
    <w:p>
      <w:pPr>
        <w:spacing w:line="360" w:lineRule="auto" w:after="60"/>
      </w:pPr>
      <w:r>
        <w:t>• Academic degrees and mailing address of the corresponding author were not provided in the author data.</w:t>
      </w:r>
    </w:p>
    <w:p>
      <w:pPr>
        <w:spacing w:line="360" w:lineRule="auto" w:after="60"/>
      </w:pPr>
      <w:r>
        <w:t>• Author contribution codes and signatures were not provided; the authorship form contains author names but the codes/signatures must be completed by the authors.</w:t>
      </w:r>
    </w:p>
    <w:p>
      <w:pPr>
        <w:spacing w:line="360" w:lineRule="auto" w:after="60"/>
      </w:pPr>
      <w:r>
        <w:t>• Funding and conflict-of-interest statements should be confirmed by the corresponding author before final upload.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