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Times New Roman" w:hAnsi="Times New Roman"/>
          <w:b/>
          <w:sz w:val="20"/>
        </w:rPr>
        <w:t>Table 1.</w:t>
      </w:r>
      <w:r>
        <w:rPr>
          <w:rFonts w:ascii="Times New Roman" w:hAnsi="Times New Roman"/>
          <w:sz w:val="20"/>
        </w:rPr>
        <w:t xml:space="preserve"> Participant characteristics during the 2006 earthquake.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Participant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Age (years)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Occupation / socioeconomic role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>Living children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Reproductive phase / dominant caregiving role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Contraceptive status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I1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44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Teacher / educator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Perimenopause; care of adolescents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applicable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I2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40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Housewife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Care of toddler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used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I3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41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Market vendor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Care of school-age children and adolescents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IUD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I4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29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Farmer / farm worker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Third-trimester pregnancy; high-risk pregnancy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applicable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I5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33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Housewife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Menstruation; breastfeeding; care of toddlers and school-age children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used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I6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43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Housewife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Care of school-age children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3-month injectable contraceptive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I7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38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Farmer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Breastfeeding; care of infant, toddler, and school-age children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3-month injectable contraceptive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I8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38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Housewife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Breastfeeding; care of toddlers and school-age children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used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I9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33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Merchant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Care of toddlers and school-age children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Oral contraceptive</w:t>
            </w:r>
          </w:p>
        </w:tc>
      </w:tr>
      <w:tr>
        <w:tc>
          <w:tcPr>
            <w:tcW w:type="dxa" w:w="10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I10</w:t>
            </w:r>
          </w:p>
        </w:tc>
        <w:tc>
          <w:tcPr>
            <w:tcW w:type="dxa" w:w="10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43</w:t>
            </w:r>
          </w:p>
        </w:tc>
        <w:tc>
          <w:tcPr>
            <w:tcW w:type="dxa" w:w="2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Teacher / educator</w:t>
            </w:r>
          </w:p>
        </w:tc>
        <w:tc>
          <w:tcPr>
            <w:tcW w:type="dxa" w:w="12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2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Care of school-age children and adolescents</w:t>
            </w:r>
          </w:p>
        </w:tc>
        <w:tc>
          <w:tcPr>
            <w:tcW w:type="dxa" w:w="266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Not used; husband had vasectomy</w:t>
            </w:r>
          </w:p>
        </w:tc>
      </w:tr>
    </w:tbl>
    <w:p>
      <w:pPr>
        <w:spacing w:before="100" w:after="0"/>
      </w:pPr>
      <w:r>
        <w:rPr>
          <w:rFonts w:ascii="Times New Roman" w:hAnsi="Times New Roman"/>
          <w:i w:val="0"/>
          <w:sz w:val="18"/>
        </w:rPr>
        <w:t>Source: Primary data. IUD: intrauterine device.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