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Times New Roman" w:hAnsi="Times New Roman"/>
          <w:b/>
          <w:sz w:val="20"/>
        </w:rPr>
        <w:t>Table 2.</w:t>
      </w:r>
      <w:r>
        <w:rPr>
          <w:rFonts w:ascii="Times New Roman" w:hAnsi="Times New Roman"/>
          <w:sz w:val="20"/>
        </w:rPr>
        <w:t xml:space="preserve"> Summary of overarching themes and key findings.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rPr>
          <w:tblHeader w:val="true"/>
        </w:trPr>
        <w:tc>
          <w:tcPr>
            <w:tcW w:type="dxa" w:w="34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Overarching theme</w:t>
            </w:r>
          </w:p>
        </w:tc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Dimension</w:t>
            </w:r>
          </w:p>
        </w:tc>
        <w:tc>
          <w:tcPr>
            <w:tcW w:type="dxa" w:w="727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Key categories / findings</w:t>
            </w:r>
          </w:p>
        </w:tc>
      </w:tr>
      <w:tr>
        <w:tc>
          <w:tcPr>
            <w:tcW w:type="dxa" w:w="34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Layered reproductive health vulnerabilities</w:t>
            </w:r>
          </w:p>
        </w:tc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Socioeconomic</w:t>
            </w:r>
          </w:p>
        </w:tc>
        <w:tc>
          <w:tcPr>
            <w:tcW w:type="dxa" w:w="727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Menstrual hygiene and clean-water difficulties; loss of infant supplies; food and nutrition insecurity; self-neglect while prioritizing family needs.</w:t>
            </w:r>
          </w:p>
        </w:tc>
      </w:tr>
      <w:tr>
        <w:tc>
          <w:tcPr>
            <w:tcW w:type="dxa" w:w="34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Layered reproductive health vulnerabilities</w:t>
            </w:r>
          </w:p>
        </w:tc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Social roles</w:t>
            </w:r>
          </w:p>
        </w:tc>
        <w:tc>
          <w:tcPr>
            <w:tcW w:type="dxa" w:w="727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Caregiving while injured or postpartum; breastfeeding-related constraints during evacuation; persistent trauma-related symptoms; reduced privacy for postpartum care and family life.</w:t>
            </w:r>
          </w:p>
        </w:tc>
      </w:tr>
      <w:tr>
        <w:tc>
          <w:tcPr>
            <w:tcW w:type="dxa" w:w="34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Layered reproductive health vulnerabilities</w:t>
            </w:r>
          </w:p>
        </w:tc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Security / health services</w:t>
            </w:r>
          </w:p>
        </w:tc>
        <w:tc>
          <w:tcPr>
            <w:tcW w:type="dxa" w:w="727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Blocked evacuation routes; overloaded health facilities; delayed treatment; misinformation; disrupted or uncertain access to contraception and preventive services.</w:t>
            </w:r>
          </w:p>
        </w:tc>
      </w:tr>
      <w:tr>
        <w:tc>
          <w:tcPr>
            <w:tcW w:type="dxa" w:w="34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Gendered roles and structural barriers</w:t>
            </w:r>
          </w:p>
        </w:tc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Socioeconomic</w:t>
            </w:r>
          </w:p>
        </w:tc>
        <w:tc>
          <w:tcPr>
            <w:tcW w:type="dxa" w:w="727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Domestic exposure during early-morning household work; exclusion or delay in housing assistance for some young households; reconstruction shortfalls and informal borrowing; disrupted market access.</w:t>
            </w:r>
          </w:p>
        </w:tc>
      </w:tr>
      <w:tr>
        <w:tc>
          <w:tcPr>
            <w:tcW w:type="dxa" w:w="34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Gendered roles and structural barriers</w:t>
            </w:r>
          </w:p>
        </w:tc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Social roles</w:t>
            </w:r>
          </w:p>
        </w:tc>
        <w:tc>
          <w:tcPr>
            <w:tcW w:type="dxa" w:w="727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Expectation of maternal self-sacrifice; continued unpaid care work during injury or postpartum recovery; intergenerational caregiving responsibilities; dual public and domestic roles.</w:t>
            </w:r>
          </w:p>
        </w:tc>
      </w:tr>
      <w:tr>
        <w:tc>
          <w:tcPr>
            <w:tcW w:type="dxa" w:w="34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Gendered roles and structural barriers</w:t>
            </w:r>
          </w:p>
        </w:tc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Security / administration</w:t>
            </w:r>
          </w:p>
        </w:tc>
        <w:tc>
          <w:tcPr>
            <w:tcW w:type="dxa" w:w="727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Reported irregularities in aid distribution; congestion and delays in formal services; limited privacy in communal shelters; dependence on local intermediaries when formal response was delayed.</w:t>
            </w:r>
          </w:p>
        </w:tc>
      </w:tr>
      <w:tr>
        <w:tc>
          <w:tcPr>
            <w:tcW w:type="dxa" w:w="34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Women’s agency and community-based self-reliance</w:t>
            </w:r>
          </w:p>
        </w:tc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Socioeconomic</w:t>
            </w:r>
          </w:p>
        </w:tc>
        <w:tc>
          <w:tcPr>
            <w:tcW w:type="dxa" w:w="727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Restarting trade and household food production; sharing farm produce; improvising cooking facilities; mobilizing household and family resources; maintaining reproductive decision-making where possible.</w:t>
            </w:r>
          </w:p>
        </w:tc>
      </w:tr>
      <w:tr>
        <w:tc>
          <w:tcPr>
            <w:tcW w:type="dxa" w:w="34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Women’s agency and community-based self-reliance</w:t>
            </w:r>
          </w:p>
        </w:tc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Social roles</w:t>
            </w:r>
          </w:p>
        </w:tc>
        <w:tc>
          <w:tcPr>
            <w:tcW w:type="dxa" w:w="727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Use of extended-family networks; informal childcare arrangements; collective humor and social gatherings; adaptive relocation; modification of sleeping and household arrangements for safer evacuation.</w:t>
            </w:r>
          </w:p>
        </w:tc>
      </w:tr>
      <w:tr>
        <w:tc>
          <w:tcPr>
            <w:tcW w:type="dxa" w:w="34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Women’s agency and community-based self-reliance</w:t>
            </w:r>
          </w:p>
        </w:tc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Security / community leadership</w:t>
            </w:r>
          </w:p>
        </w:tc>
        <w:tc>
          <w:tcPr>
            <w:tcW w:type="dxa" w:w="727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Participation in local aid negotiations; organization of sanitation and logistics; women’s community and religious groups as psychosocial support; household redesign with multiple evacuation exits.</w:t>
            </w:r>
          </w:p>
        </w:tc>
      </w:tr>
    </w:tbl>
    <w:p>
      <w:pPr>
        <w:spacing w:before="100" w:after="0"/>
      </w:pPr>
      <w:r>
        <w:rPr>
          <w:rFonts w:ascii="Times New Roman" w:hAnsi="Times New Roman"/>
          <w:i w:val="0"/>
          <w:sz w:val="18"/>
        </w:rPr>
        <w:t>Source: Primary data; categories condensed from the full thematic coding matrix.</w:t>
      </w:r>
    </w:p>
    <w:sectPr w:rsidR="00FC693F" w:rsidRPr="0006063C" w:rsidSect="00034616"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