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22D6" w14:textId="77777777" w:rsidR="00BA5C80" w:rsidRDefault="00BA5C80">
      <w:pPr>
        <w:pBdr>
          <w:top w:val="nil"/>
          <w:left w:val="nil"/>
          <w:bottom w:val="nil"/>
          <w:right w:val="nil"/>
          <w:between w:val="nil"/>
        </w:pBdr>
        <w:tabs>
          <w:tab w:val="center" w:pos="4513"/>
          <w:tab w:val="right" w:pos="9026"/>
        </w:tabs>
        <w:spacing w:after="0" w:line="240" w:lineRule="auto"/>
        <w:rPr>
          <w:rFonts w:ascii="Arial" w:eastAsia="Arial" w:hAnsi="Arial" w:cs="Arial"/>
          <w:color w:val="1F497D"/>
          <w:sz w:val="20"/>
          <w:szCs w:val="20"/>
        </w:rPr>
      </w:pPr>
    </w:p>
    <w:tbl>
      <w:tblPr>
        <w:tblStyle w:val="a2"/>
        <w:tblW w:w="990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9900"/>
      </w:tblGrid>
      <w:tr w:rsidR="00BA5C80" w:rsidRPr="00352ED4" w14:paraId="1F072403" w14:textId="77777777">
        <w:trPr>
          <w:trHeight w:val="361"/>
        </w:trPr>
        <w:tc>
          <w:tcPr>
            <w:tcW w:w="9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3518D9" w14:textId="77777777" w:rsidR="00BA5C80" w:rsidRPr="00352ED4" w:rsidRDefault="00000000">
            <w:pPr>
              <w:pBdr>
                <w:top w:val="nil"/>
                <w:left w:val="nil"/>
                <w:bottom w:val="nil"/>
                <w:right w:val="nil"/>
                <w:between w:val="nil"/>
              </w:pBdr>
              <w:tabs>
                <w:tab w:val="center" w:pos="4513"/>
                <w:tab w:val="right" w:pos="9026"/>
              </w:tabs>
              <w:spacing w:after="0" w:line="230" w:lineRule="auto"/>
              <w:rPr>
                <w:rFonts w:ascii="Times New Roman" w:eastAsia="Times New Roman" w:hAnsi="Times New Roman" w:cs="Times New Roman"/>
                <w:b/>
                <w:i/>
                <w:color w:val="17365D"/>
                <w:sz w:val="20"/>
                <w:szCs w:val="20"/>
              </w:rPr>
            </w:pPr>
            <w:r w:rsidRPr="00352ED4">
              <w:rPr>
                <w:rFonts w:ascii="Times New Roman" w:eastAsia="Times New Roman" w:hAnsi="Times New Roman" w:cs="Times New Roman"/>
                <w:b/>
                <w:i/>
                <w:color w:val="17365D"/>
                <w:sz w:val="20"/>
                <w:szCs w:val="20"/>
              </w:rPr>
              <w:t xml:space="preserve">REVIEW ARTICLE  </w:t>
            </w:r>
            <w:r w:rsidRPr="00352ED4">
              <w:rPr>
                <w:rFonts w:ascii="Times New Roman" w:eastAsia="Times New Roman" w:hAnsi="Times New Roman" w:cs="Times New Roman"/>
                <w:b/>
                <w:i/>
                <w:color w:val="17365D"/>
                <w:sz w:val="20"/>
                <w:szCs w:val="20"/>
              </w:rPr>
              <w:tab/>
              <w:t xml:space="preserve">                                                                                                                             OPEN ACCESS</w:t>
            </w:r>
          </w:p>
        </w:tc>
      </w:tr>
    </w:tbl>
    <w:p w14:paraId="6FFD3F22" w14:textId="77777777" w:rsidR="00BA5C80" w:rsidRPr="00352ED4" w:rsidRDefault="00BA5C80">
      <w:pPr>
        <w:pBdr>
          <w:top w:val="nil"/>
          <w:left w:val="nil"/>
          <w:bottom w:val="nil"/>
          <w:right w:val="nil"/>
          <w:between w:val="nil"/>
        </w:pBdr>
        <w:spacing w:after="0" w:line="240" w:lineRule="auto"/>
        <w:rPr>
          <w:rFonts w:ascii="Arial" w:eastAsia="Arial" w:hAnsi="Arial" w:cs="Arial"/>
          <w:b/>
          <w:color w:val="000000"/>
          <w:sz w:val="16"/>
          <w:szCs w:val="16"/>
        </w:rPr>
      </w:pPr>
    </w:p>
    <w:p w14:paraId="616BF675" w14:textId="77777777" w:rsidR="00BA5C80" w:rsidRPr="00352ED4" w:rsidRDefault="009369D2">
      <w:pPr>
        <w:pBdr>
          <w:top w:val="nil"/>
          <w:left w:val="nil"/>
          <w:bottom w:val="nil"/>
          <w:right w:val="nil"/>
          <w:between w:val="nil"/>
        </w:pBdr>
        <w:spacing w:after="0" w:line="240" w:lineRule="auto"/>
        <w:jc w:val="center"/>
        <w:rPr>
          <w:rFonts w:ascii="Times New Roman" w:eastAsia="Times New Roman" w:hAnsi="Times New Roman" w:cs="Times New Roman"/>
          <w:b/>
          <w:bCs/>
          <w:color w:val="17365D"/>
          <w:sz w:val="28"/>
          <w:szCs w:val="28"/>
        </w:rPr>
      </w:pPr>
      <w:r w:rsidRPr="00352ED4">
        <w:rPr>
          <w:rFonts w:ascii="Times New Roman" w:hAnsi="Times New Roman" w:cs="Times New Roman"/>
          <w:b/>
          <w:bCs/>
          <w:color w:val="000000"/>
          <w:sz w:val="28"/>
          <w:szCs w:val="28"/>
        </w:rPr>
        <w:t>Nutritional and Economic Status of Mothers in Cleft Lip and Palate Cases</w:t>
      </w:r>
    </w:p>
    <w:p w14:paraId="05DAD121" w14:textId="77777777" w:rsidR="00BA5C80" w:rsidRPr="00352ED4" w:rsidRDefault="00BA5C80" w:rsidP="00FB42D1">
      <w:pPr>
        <w:pBdr>
          <w:top w:val="nil"/>
          <w:left w:val="nil"/>
          <w:bottom w:val="nil"/>
          <w:right w:val="nil"/>
          <w:between w:val="nil"/>
        </w:pBdr>
        <w:rPr>
          <w:rFonts w:ascii="Times New Roman" w:hAnsi="Times New Roman" w:cs="Times New Roman"/>
          <w:i/>
          <w:color w:val="0080FF"/>
        </w:rPr>
      </w:pPr>
    </w:p>
    <w:p w14:paraId="3695A4AC" w14:textId="77777777" w:rsidR="009369D2" w:rsidRPr="00352ED4" w:rsidRDefault="009369D2">
      <w:pPr>
        <w:pBdr>
          <w:top w:val="nil"/>
          <w:left w:val="nil"/>
          <w:bottom w:val="nil"/>
          <w:right w:val="nil"/>
          <w:between w:val="nil"/>
        </w:pBdr>
        <w:spacing w:after="0" w:line="240" w:lineRule="auto"/>
        <w:jc w:val="center"/>
        <w:rPr>
          <w:rFonts w:ascii="Times New Roman" w:hAnsi="Times New Roman" w:cs="Times New Roman"/>
          <w:b/>
          <w:bCs/>
          <w:i/>
          <w:color w:val="0080FF"/>
          <w:sz w:val="24"/>
          <w:szCs w:val="24"/>
        </w:rPr>
      </w:pPr>
      <w:r w:rsidRPr="00352ED4">
        <w:rPr>
          <w:rFonts w:ascii="Times New Roman" w:hAnsi="Times New Roman" w:cs="Times New Roman"/>
          <w:b/>
          <w:bCs/>
          <w:color w:val="000000"/>
          <w:sz w:val="24"/>
          <w:szCs w:val="24"/>
        </w:rPr>
        <w:t>Status Gizi dan Ekonomi Ibu pada Kasus Celah Bibir dan Langit-langit</w:t>
      </w:r>
      <w:r w:rsidRPr="00352ED4">
        <w:rPr>
          <w:rFonts w:ascii="Times New Roman" w:hAnsi="Times New Roman" w:cs="Times New Roman"/>
          <w:b/>
          <w:bCs/>
          <w:i/>
          <w:color w:val="0080FF"/>
          <w:sz w:val="24"/>
          <w:szCs w:val="24"/>
        </w:rPr>
        <w:t xml:space="preserve"> </w:t>
      </w:r>
    </w:p>
    <w:p w14:paraId="25DB317A" w14:textId="77777777" w:rsidR="00BA5C80" w:rsidRPr="00352ED4" w:rsidRDefault="00BA5C80">
      <w:pPr>
        <w:pBdr>
          <w:top w:val="nil"/>
          <w:left w:val="nil"/>
          <w:bottom w:val="nil"/>
          <w:right w:val="nil"/>
          <w:between w:val="nil"/>
        </w:pBdr>
        <w:spacing w:after="0" w:line="231" w:lineRule="auto"/>
        <w:ind w:left="20"/>
        <w:jc w:val="center"/>
        <w:rPr>
          <w:rFonts w:ascii="Times New Roman" w:eastAsia="Times New Roman" w:hAnsi="Times New Roman" w:cs="Times New Roman"/>
          <w:color w:val="000000"/>
          <w:sz w:val="20"/>
          <w:szCs w:val="20"/>
        </w:rPr>
      </w:pPr>
    </w:p>
    <w:p w14:paraId="6505EABD" w14:textId="77777777" w:rsidR="00BA5C80" w:rsidRPr="00352ED4" w:rsidRDefault="00FB42D1">
      <w:pPr>
        <w:pBdr>
          <w:top w:val="nil"/>
          <w:left w:val="nil"/>
          <w:bottom w:val="nil"/>
          <w:right w:val="nil"/>
          <w:between w:val="nil"/>
        </w:pBdr>
        <w:spacing w:after="0" w:line="231" w:lineRule="auto"/>
        <w:ind w:left="20"/>
        <w:jc w:val="center"/>
        <w:rPr>
          <w:rFonts w:ascii="Times New Roman" w:eastAsia="Times New Roman" w:hAnsi="Times New Roman" w:cs="Times New Roman"/>
          <w:bCs/>
          <w:color w:val="000000"/>
          <w:sz w:val="20"/>
          <w:szCs w:val="20"/>
          <w:vertAlign w:val="superscript"/>
        </w:rPr>
      </w:pPr>
      <w:r w:rsidRPr="00352ED4">
        <w:rPr>
          <w:rFonts w:ascii="Times New Roman" w:hAnsi="Times New Roman" w:cs="Times New Roman"/>
          <w:bCs/>
          <w:color w:val="000000" w:themeColor="text1"/>
          <w:spacing w:val="-1"/>
          <w:sz w:val="20"/>
          <w:szCs w:val="20"/>
        </w:rPr>
        <w:t>Ruby</w:t>
      </w:r>
      <w:r w:rsidRPr="00352ED4">
        <w:rPr>
          <w:rFonts w:ascii="Times New Roman" w:hAnsi="Times New Roman" w:cs="Times New Roman"/>
          <w:bCs/>
          <w:color w:val="000000" w:themeColor="text1"/>
          <w:sz w:val="20"/>
          <w:szCs w:val="20"/>
        </w:rPr>
        <w:t xml:space="preserve"> </w:t>
      </w:r>
      <w:r w:rsidRPr="00352ED4">
        <w:rPr>
          <w:rFonts w:ascii="Times New Roman" w:hAnsi="Times New Roman" w:cs="Times New Roman"/>
          <w:bCs/>
          <w:color w:val="000000" w:themeColor="text1"/>
          <w:spacing w:val="-1"/>
          <w:sz w:val="20"/>
          <w:szCs w:val="20"/>
        </w:rPr>
        <w:t>Riana</w:t>
      </w:r>
      <w:r w:rsidRPr="00352ED4">
        <w:rPr>
          <w:rFonts w:ascii="Times New Roman" w:hAnsi="Times New Roman" w:cs="Times New Roman"/>
          <w:bCs/>
          <w:color w:val="000000" w:themeColor="text1"/>
          <w:spacing w:val="-10"/>
          <w:sz w:val="20"/>
          <w:szCs w:val="20"/>
        </w:rPr>
        <w:t xml:space="preserve"> </w:t>
      </w:r>
      <w:r w:rsidRPr="00352ED4">
        <w:rPr>
          <w:rFonts w:ascii="Times New Roman" w:hAnsi="Times New Roman" w:cs="Times New Roman"/>
          <w:bCs/>
          <w:color w:val="000000" w:themeColor="text1"/>
          <w:spacing w:val="-1"/>
          <w:sz w:val="20"/>
          <w:szCs w:val="20"/>
        </w:rPr>
        <w:t>Asparini</w:t>
      </w:r>
      <w:r w:rsidRPr="00352ED4">
        <w:rPr>
          <w:rFonts w:ascii="Times New Roman" w:hAnsi="Times New Roman" w:cs="Times New Roman"/>
          <w:bCs/>
          <w:color w:val="000000" w:themeColor="text1"/>
          <w:spacing w:val="-1"/>
          <w:sz w:val="20"/>
          <w:szCs w:val="20"/>
          <w:vertAlign w:val="superscript"/>
        </w:rPr>
        <w:t>1</w:t>
      </w:r>
      <w:r w:rsidRPr="00352ED4">
        <w:rPr>
          <w:rFonts w:ascii="Times New Roman" w:hAnsi="Times New Roman" w:cs="Times New Roman"/>
          <w:bCs/>
          <w:color w:val="000000" w:themeColor="text1"/>
          <w:spacing w:val="-1"/>
          <w:sz w:val="20"/>
          <w:szCs w:val="20"/>
        </w:rPr>
        <w:t>,</w:t>
      </w:r>
      <w:r w:rsidRPr="00352ED4">
        <w:rPr>
          <w:rFonts w:ascii="Times New Roman" w:hAnsi="Times New Roman" w:cs="Times New Roman"/>
          <w:bCs/>
          <w:color w:val="000000" w:themeColor="text1"/>
          <w:spacing w:val="-10"/>
          <w:sz w:val="20"/>
          <w:szCs w:val="20"/>
        </w:rPr>
        <w:t xml:space="preserve"> </w:t>
      </w:r>
      <w:r w:rsidRPr="00352ED4">
        <w:rPr>
          <w:rFonts w:ascii="Times New Roman" w:hAnsi="Times New Roman" w:cs="Times New Roman"/>
          <w:bCs/>
          <w:color w:val="000000" w:themeColor="text1"/>
          <w:sz w:val="20"/>
          <w:szCs w:val="20"/>
          <w:lang w:val="en-ID"/>
        </w:rPr>
        <w:t>Aida Musyarrofah</w:t>
      </w:r>
      <w:r w:rsidRPr="00352ED4">
        <w:rPr>
          <w:rFonts w:ascii="Times New Roman" w:hAnsi="Times New Roman" w:cs="Times New Roman"/>
          <w:bCs/>
          <w:color w:val="000000" w:themeColor="text1"/>
          <w:spacing w:val="-1"/>
          <w:sz w:val="20"/>
          <w:szCs w:val="20"/>
          <w:vertAlign w:val="superscript"/>
        </w:rPr>
        <w:t>2</w:t>
      </w:r>
      <w:r w:rsidRPr="00352ED4">
        <w:rPr>
          <w:rFonts w:ascii="Times New Roman" w:hAnsi="Times New Roman" w:cs="Times New Roman"/>
          <w:bCs/>
          <w:color w:val="000000" w:themeColor="text1"/>
          <w:sz w:val="20"/>
          <w:szCs w:val="20"/>
          <w:lang w:val="en-ID"/>
        </w:rPr>
        <w:t xml:space="preserve">, </w:t>
      </w:r>
      <w:r w:rsidRPr="00352ED4">
        <w:rPr>
          <w:rFonts w:ascii="Times New Roman" w:hAnsi="Times New Roman" w:cs="Times New Roman"/>
          <w:bCs/>
          <w:color w:val="000000" w:themeColor="text1"/>
          <w:spacing w:val="-1"/>
          <w:sz w:val="20"/>
          <w:szCs w:val="20"/>
        </w:rPr>
        <w:t>Haura Tsabitah Kuswoyo</w:t>
      </w:r>
      <w:r w:rsidRPr="00352ED4">
        <w:rPr>
          <w:rFonts w:ascii="Times New Roman" w:hAnsi="Times New Roman" w:cs="Times New Roman"/>
          <w:bCs/>
          <w:color w:val="000000" w:themeColor="text1"/>
          <w:spacing w:val="-1"/>
          <w:sz w:val="20"/>
          <w:szCs w:val="20"/>
          <w:vertAlign w:val="superscript"/>
        </w:rPr>
        <w:t>3</w:t>
      </w:r>
    </w:p>
    <w:p w14:paraId="2F0B3133" w14:textId="77777777" w:rsidR="00BA5C80" w:rsidRPr="00352ED4" w:rsidRDefault="00BA5C80">
      <w:pPr>
        <w:pBdr>
          <w:top w:val="nil"/>
          <w:left w:val="nil"/>
          <w:bottom w:val="nil"/>
          <w:right w:val="nil"/>
          <w:between w:val="nil"/>
        </w:pBdr>
        <w:spacing w:after="0" w:line="231" w:lineRule="auto"/>
        <w:ind w:left="20"/>
        <w:jc w:val="center"/>
        <w:rPr>
          <w:rFonts w:ascii="Times New Roman" w:eastAsia="Times New Roman" w:hAnsi="Times New Roman" w:cs="Times New Roman"/>
          <w:color w:val="000000"/>
          <w:sz w:val="20"/>
          <w:szCs w:val="20"/>
        </w:rPr>
      </w:pPr>
    </w:p>
    <w:p w14:paraId="5B6B3184" w14:textId="77777777" w:rsidR="00BA5C80" w:rsidRPr="00352ED4" w:rsidRDefault="00000000">
      <w:pPr>
        <w:pBdr>
          <w:top w:val="nil"/>
          <w:left w:val="nil"/>
          <w:bottom w:val="nil"/>
          <w:right w:val="nil"/>
          <w:between w:val="nil"/>
        </w:pBdr>
        <w:spacing w:after="0" w:line="240" w:lineRule="auto"/>
        <w:jc w:val="center"/>
        <w:rPr>
          <w:rFonts w:ascii="Times New Roman" w:eastAsia="Times New Roman" w:hAnsi="Times New Roman" w:cs="Times New Roman"/>
          <w:i/>
          <w:color w:val="000000"/>
          <w:sz w:val="18"/>
          <w:szCs w:val="18"/>
        </w:rPr>
      </w:pPr>
      <w:r w:rsidRPr="00352ED4">
        <w:rPr>
          <w:rFonts w:ascii="Times New Roman" w:eastAsia="Times New Roman" w:hAnsi="Times New Roman" w:cs="Times New Roman"/>
          <w:b/>
          <w:i/>
          <w:color w:val="000000"/>
          <w:sz w:val="18"/>
          <w:szCs w:val="18"/>
        </w:rPr>
        <w:t>Correspondence:</w:t>
      </w:r>
      <w:r w:rsidRPr="00352ED4">
        <w:rPr>
          <w:rFonts w:ascii="Times New Roman" w:eastAsia="Times New Roman" w:hAnsi="Times New Roman" w:cs="Times New Roman"/>
          <w:i/>
          <w:color w:val="000000"/>
          <w:sz w:val="18"/>
          <w:szCs w:val="18"/>
        </w:rPr>
        <w:t xml:space="preserve"> </w:t>
      </w:r>
    </w:p>
    <w:p w14:paraId="3A577370" w14:textId="77777777" w:rsidR="00FF0D80" w:rsidRPr="00352ED4" w:rsidRDefault="00FF0D80" w:rsidP="00FF0D80">
      <w:pPr>
        <w:pStyle w:val="BodyText"/>
        <w:spacing w:before="1"/>
        <w:ind w:left="0" w:right="111" w:hanging="142"/>
        <w:jc w:val="center"/>
        <w:rPr>
          <w:color w:val="000000" w:themeColor="text1"/>
          <w:sz w:val="18"/>
          <w:szCs w:val="18"/>
          <w:vertAlign w:val="superscript"/>
          <w:lang w:val="sv-SE"/>
        </w:rPr>
      </w:pPr>
      <w:r w:rsidRPr="00352ED4">
        <w:rPr>
          <w:color w:val="000000" w:themeColor="text1"/>
          <w:sz w:val="18"/>
          <w:szCs w:val="18"/>
          <w:vertAlign w:val="superscript"/>
          <w:lang w:val="sv-SE"/>
        </w:rPr>
        <w:t>1</w:t>
      </w:r>
      <w:r w:rsidRPr="00352ED4">
        <w:rPr>
          <w:color w:val="000000" w:themeColor="text1"/>
          <w:spacing w:val="1"/>
          <w:sz w:val="18"/>
          <w:szCs w:val="18"/>
          <w:lang w:val="id-ID"/>
        </w:rPr>
        <w:t xml:space="preserve">Lecturer, Department of Surgery, Faculty of Medicine, </w:t>
      </w:r>
      <w:r w:rsidRPr="00352ED4">
        <w:rPr>
          <w:color w:val="000000" w:themeColor="text1"/>
          <w:sz w:val="18"/>
          <w:szCs w:val="18"/>
          <w:lang w:val="id-ID"/>
        </w:rPr>
        <w:t>University of Muhammadiyah Malang.</w:t>
      </w:r>
    </w:p>
    <w:p w14:paraId="47F46B66" w14:textId="77777777" w:rsidR="00FF0D80" w:rsidRPr="00352ED4" w:rsidRDefault="00FF0D80" w:rsidP="00FF0D80">
      <w:pPr>
        <w:pStyle w:val="BodyText"/>
        <w:spacing w:before="1"/>
        <w:ind w:left="0" w:right="111" w:hanging="142"/>
        <w:jc w:val="center"/>
        <w:rPr>
          <w:color w:val="000000" w:themeColor="text1"/>
          <w:sz w:val="18"/>
          <w:szCs w:val="18"/>
          <w:lang w:val="id-ID"/>
        </w:rPr>
      </w:pPr>
      <w:r w:rsidRPr="00352ED4">
        <w:rPr>
          <w:color w:val="000000" w:themeColor="text1"/>
          <w:sz w:val="18"/>
          <w:szCs w:val="18"/>
          <w:vertAlign w:val="superscript"/>
          <w:lang w:val="sv-SE"/>
        </w:rPr>
        <w:t>2</w:t>
      </w:r>
      <w:r w:rsidRPr="00352ED4">
        <w:rPr>
          <w:color w:val="000000" w:themeColor="text1"/>
          <w:sz w:val="18"/>
          <w:szCs w:val="18"/>
          <w:lang w:val="id-ID"/>
        </w:rPr>
        <w:t>Lecturer, Department of Obstetrics and Gynecology, Faculty of Medicine,</w:t>
      </w:r>
    </w:p>
    <w:p w14:paraId="06C90E7C" w14:textId="77777777" w:rsidR="00FF0D80" w:rsidRPr="00352ED4" w:rsidRDefault="00FF0D80" w:rsidP="00FF0D80">
      <w:pPr>
        <w:pStyle w:val="BodyText"/>
        <w:spacing w:before="1"/>
        <w:ind w:left="0" w:right="111" w:hanging="142"/>
        <w:jc w:val="center"/>
        <w:rPr>
          <w:color w:val="000000" w:themeColor="text1"/>
          <w:sz w:val="18"/>
          <w:szCs w:val="18"/>
          <w:vertAlign w:val="superscript"/>
          <w:lang w:val="sv-SE"/>
        </w:rPr>
      </w:pPr>
      <w:r w:rsidRPr="00352ED4">
        <w:rPr>
          <w:color w:val="000000" w:themeColor="text1"/>
          <w:sz w:val="18"/>
          <w:szCs w:val="18"/>
          <w:lang w:val="id-ID"/>
        </w:rPr>
        <w:t>University of Muhammadiyah Malang.</w:t>
      </w:r>
    </w:p>
    <w:p w14:paraId="6A3D6A22" w14:textId="77777777" w:rsidR="00FF0D80" w:rsidRPr="00352ED4" w:rsidRDefault="00FF0D80" w:rsidP="00FF0D80">
      <w:pPr>
        <w:pStyle w:val="BodyText"/>
        <w:spacing w:before="1"/>
        <w:ind w:left="0" w:right="111" w:hanging="142"/>
        <w:jc w:val="center"/>
        <w:rPr>
          <w:color w:val="000000" w:themeColor="text1"/>
          <w:sz w:val="18"/>
          <w:szCs w:val="18"/>
          <w:lang w:val="id-ID"/>
        </w:rPr>
      </w:pPr>
      <w:r w:rsidRPr="00352ED4">
        <w:rPr>
          <w:color w:val="000000" w:themeColor="text1"/>
          <w:sz w:val="18"/>
          <w:szCs w:val="18"/>
          <w:vertAlign w:val="superscript"/>
          <w:lang w:val="sv-SE"/>
        </w:rPr>
        <w:t>3</w:t>
      </w:r>
      <w:r w:rsidRPr="00352ED4">
        <w:rPr>
          <w:color w:val="000000" w:themeColor="text1"/>
          <w:sz w:val="18"/>
          <w:szCs w:val="18"/>
          <w:lang w:val="id-ID"/>
        </w:rPr>
        <w:t>Undergraduate Student, Faculty of Medicine, University of Muhammadiyah Malang.</w:t>
      </w:r>
    </w:p>
    <w:p w14:paraId="511D984E" w14:textId="77777777" w:rsidR="00BA5C80" w:rsidRPr="00352ED4" w:rsidRDefault="00BA5C8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p>
    <w:tbl>
      <w:tblPr>
        <w:tblStyle w:val="a3"/>
        <w:tblW w:w="10025"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7615"/>
      </w:tblGrid>
      <w:tr w:rsidR="00BA5C80" w:rsidRPr="00352ED4" w14:paraId="1F03A904" w14:textId="77777777">
        <w:trPr>
          <w:trHeight w:val="1029"/>
        </w:trPr>
        <w:tc>
          <w:tcPr>
            <w:tcW w:w="2410" w:type="dxa"/>
          </w:tcPr>
          <w:p w14:paraId="7768CF22" w14:textId="77777777" w:rsidR="00BA5C80" w:rsidRPr="00352ED4" w:rsidRDefault="00000000">
            <w:pPr>
              <w:spacing w:before="120" w:after="0" w:line="240" w:lineRule="auto"/>
              <w:rPr>
                <w:rFonts w:ascii="Times" w:eastAsia="Times" w:hAnsi="Times" w:cs="Times"/>
                <w:sz w:val="20"/>
                <w:szCs w:val="20"/>
              </w:rPr>
            </w:pPr>
            <w:r w:rsidRPr="00352ED4">
              <w:rPr>
                <w:rFonts w:ascii="Times New Roman" w:eastAsia="Times New Roman" w:hAnsi="Times New Roman" w:cs="Times New Roman"/>
                <w:b/>
                <w:i/>
                <w:color w:val="000000"/>
                <w:sz w:val="16"/>
                <w:szCs w:val="16"/>
              </w:rPr>
              <w:t>Article History: (filled by Editor)</w:t>
            </w:r>
          </w:p>
          <w:p w14:paraId="0ADF53A6" w14:textId="77777777" w:rsidR="00BA5C80" w:rsidRPr="00352ED4" w:rsidRDefault="00000000">
            <w:pPr>
              <w:spacing w:after="0" w:line="240" w:lineRule="auto"/>
              <w:rPr>
                <w:rFonts w:ascii="Times" w:eastAsia="Times" w:hAnsi="Times" w:cs="Times"/>
                <w:sz w:val="20"/>
                <w:szCs w:val="20"/>
              </w:rPr>
            </w:pPr>
            <w:r w:rsidRPr="00352ED4">
              <w:rPr>
                <w:rFonts w:ascii="Times New Roman" w:eastAsia="Times New Roman" w:hAnsi="Times New Roman" w:cs="Times New Roman"/>
                <w:i/>
                <w:color w:val="000000"/>
                <w:sz w:val="16"/>
                <w:szCs w:val="16"/>
              </w:rPr>
              <w:t>Received: xx x, xxxx</w:t>
            </w:r>
          </w:p>
          <w:p w14:paraId="3498CA5E" w14:textId="77777777" w:rsidR="00BA5C80" w:rsidRPr="00352ED4" w:rsidRDefault="00000000">
            <w:pPr>
              <w:spacing w:after="0" w:line="240" w:lineRule="auto"/>
              <w:rPr>
                <w:rFonts w:ascii="Times" w:eastAsia="Times" w:hAnsi="Times" w:cs="Times"/>
                <w:sz w:val="20"/>
                <w:szCs w:val="20"/>
              </w:rPr>
            </w:pPr>
            <w:r w:rsidRPr="00352ED4">
              <w:rPr>
                <w:rFonts w:ascii="Times New Roman" w:eastAsia="Times New Roman" w:hAnsi="Times New Roman" w:cs="Times New Roman"/>
                <w:i/>
                <w:color w:val="000000"/>
                <w:sz w:val="16"/>
                <w:szCs w:val="16"/>
              </w:rPr>
              <w:t>Accepted: xx x, xxxx</w:t>
            </w:r>
          </w:p>
          <w:p w14:paraId="6498416D" w14:textId="77777777" w:rsidR="00BA5C80" w:rsidRPr="00352ED4" w:rsidRDefault="00000000">
            <w:pPr>
              <w:pBdr>
                <w:top w:val="nil"/>
                <w:left w:val="nil"/>
                <w:bottom w:val="nil"/>
                <w:right w:val="nil"/>
                <w:between w:val="nil"/>
              </w:pBdr>
              <w:spacing w:after="0" w:line="240" w:lineRule="auto"/>
              <w:rPr>
                <w:rFonts w:ascii="Times New Roman" w:eastAsia="Times New Roman" w:hAnsi="Times New Roman" w:cs="Times New Roman"/>
                <w:b/>
                <w:i/>
                <w:color w:val="FFFFFF"/>
                <w:sz w:val="16"/>
                <w:szCs w:val="16"/>
              </w:rPr>
            </w:pPr>
            <w:r w:rsidRPr="00352ED4">
              <w:rPr>
                <w:rFonts w:ascii="Times New Roman" w:eastAsia="Times New Roman" w:hAnsi="Times New Roman" w:cs="Times New Roman"/>
                <w:i/>
                <w:color w:val="000000"/>
                <w:sz w:val="16"/>
                <w:szCs w:val="16"/>
              </w:rPr>
              <w:t>Published: xx x, xxxx</w:t>
            </w:r>
            <w:r w:rsidRPr="00352ED4">
              <w:rPr>
                <w:rFonts w:ascii="Times New Roman" w:eastAsia="Times New Roman" w:hAnsi="Times New Roman" w:cs="Times New Roman"/>
                <w:i/>
                <w:color w:val="FFFFFF"/>
                <w:sz w:val="16"/>
                <w:szCs w:val="16"/>
              </w:rPr>
              <w:t>d: 22-08-2022</w:t>
            </w:r>
          </w:p>
        </w:tc>
        <w:tc>
          <w:tcPr>
            <w:tcW w:w="7615" w:type="dxa"/>
            <w:vMerge w:val="restart"/>
          </w:tcPr>
          <w:p w14:paraId="4012E52A" w14:textId="77777777" w:rsidR="00BA5C80" w:rsidRPr="00352ED4" w:rsidRDefault="00000000">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18"/>
                <w:szCs w:val="18"/>
              </w:rPr>
            </w:pPr>
            <w:r w:rsidRPr="00352ED4">
              <w:rPr>
                <w:rFonts w:ascii="Times New Roman" w:eastAsia="Times New Roman" w:hAnsi="Times New Roman" w:cs="Times New Roman"/>
                <w:b/>
                <w:i/>
                <w:color w:val="000000"/>
                <w:sz w:val="18"/>
                <w:szCs w:val="18"/>
              </w:rPr>
              <w:t xml:space="preserve">Abstract </w:t>
            </w:r>
          </w:p>
          <w:p w14:paraId="2FEE4BAF" w14:textId="77777777" w:rsidR="00FF0D80" w:rsidRPr="00352ED4" w:rsidRDefault="00FF0D80" w:rsidP="00FF0D80">
            <w:pPr>
              <w:pStyle w:val="ABSTRAK-Isi"/>
              <w:rPr>
                <w:sz w:val="18"/>
                <w:szCs w:val="18"/>
                <w:lang w:val="en-US"/>
              </w:rPr>
            </w:pPr>
            <w:r w:rsidRPr="00352ED4">
              <w:rPr>
                <w:b/>
                <w:bCs w:val="0"/>
                <w:sz w:val="18"/>
                <w:szCs w:val="18"/>
                <w:lang w:val="en-US"/>
              </w:rPr>
              <w:t>Background</w:t>
            </w:r>
            <w:r w:rsidRPr="00352ED4">
              <w:rPr>
                <w:sz w:val="18"/>
                <w:szCs w:val="18"/>
                <w:lang w:val="en-US"/>
              </w:rPr>
              <w:t>: Cleft lip and palate (CLP) is one of the most common congenital anomalies with multifactorial etiology. Maternal nutrition, particularly vitamins B9, B12, and B6, contribute in the formation of the lip, palate, and craniofacial structures during the preconception and early pregnancy period. Low economic status affects the mother’s ability to get , including adequate nutrition and healthcare. </w:t>
            </w:r>
            <w:r w:rsidRPr="00352ED4">
              <w:rPr>
                <w:b/>
                <w:bCs w:val="0"/>
                <w:sz w:val="18"/>
                <w:szCs w:val="18"/>
                <w:lang w:val="en-US"/>
              </w:rPr>
              <w:t>Objective</w:t>
            </w:r>
            <w:r w:rsidRPr="00352ED4">
              <w:rPr>
                <w:sz w:val="18"/>
                <w:szCs w:val="18"/>
                <w:lang w:val="en-US"/>
              </w:rPr>
              <w:t xml:space="preserve">: </w:t>
            </w:r>
            <w:r w:rsidRPr="00352ED4">
              <w:rPr>
                <w:sz w:val="18"/>
                <w:szCs w:val="18"/>
                <w:lang w:val="en-US" w:eastAsia="id-ID"/>
              </w:rPr>
              <w:t>This study aims to identify maternal nutritional status and economic status in relation to the occurrence of cleft lip and palate.</w:t>
            </w:r>
            <w:r w:rsidRPr="00352ED4">
              <w:rPr>
                <w:sz w:val="18"/>
                <w:szCs w:val="18"/>
                <w:lang w:val="en-US"/>
              </w:rPr>
              <w:t xml:space="preserve"> </w:t>
            </w:r>
            <w:r w:rsidRPr="00352ED4">
              <w:rPr>
                <w:b/>
                <w:bCs w:val="0"/>
                <w:sz w:val="18"/>
                <w:szCs w:val="18"/>
                <w:lang w:val="en-US"/>
              </w:rPr>
              <w:t>Method</w:t>
            </w:r>
            <w:r w:rsidRPr="00352ED4">
              <w:rPr>
                <w:sz w:val="18"/>
                <w:szCs w:val="18"/>
                <w:lang w:val="en-US"/>
              </w:rPr>
              <w:t xml:space="preserve">: This study used a PRISMA-based scoping review, screening 3,437 articles from major databases and selecting 15 eligible studies, which were then extracted and summarized in a concise. </w:t>
            </w:r>
            <w:r w:rsidRPr="00352ED4">
              <w:rPr>
                <w:b/>
                <w:bCs w:val="0"/>
                <w:sz w:val="18"/>
                <w:szCs w:val="18"/>
                <w:lang w:val="en-US"/>
              </w:rPr>
              <w:t>Result</w:t>
            </w:r>
            <w:r w:rsidRPr="00352ED4">
              <w:rPr>
                <w:sz w:val="18"/>
                <w:szCs w:val="18"/>
                <w:lang w:val="en-US"/>
              </w:rPr>
              <w:t>: F</w:t>
            </w:r>
            <w:r w:rsidRPr="00352ED4">
              <w:rPr>
                <w:sz w:val="18"/>
                <w:szCs w:val="18"/>
                <w:lang w:val="en-ID"/>
              </w:rPr>
              <w:t>ifteen</w:t>
            </w:r>
            <w:r w:rsidRPr="00352ED4">
              <w:rPr>
                <w:sz w:val="18"/>
                <w:szCs w:val="18"/>
                <w:lang w:val="en-US"/>
              </w:rPr>
              <w:t xml:space="preserve"> articles in this scoping review showed that deficiency in vitamins B9, B12, and B6 increase the risk of CLP, while adequate intake has a protective effect. Low economic status is associate with lower education, lack of access to information, and difficulty obtaining nutritious food, while higher economic status shows a protective effect.  </w:t>
            </w:r>
            <w:r w:rsidRPr="00352ED4">
              <w:rPr>
                <w:b/>
                <w:bCs w:val="0"/>
                <w:sz w:val="18"/>
                <w:szCs w:val="18"/>
                <w:lang w:val="en-US"/>
              </w:rPr>
              <w:t>Conclusion</w:t>
            </w:r>
            <w:r w:rsidRPr="00352ED4">
              <w:rPr>
                <w:sz w:val="18"/>
                <w:szCs w:val="18"/>
                <w:lang w:val="en-US"/>
              </w:rPr>
              <w:t>: Maternal with deficiency in vitamins B9, B12, and B6 increase the risk of CLP. Low economic status further elevates the risk through limited nutrition, antenatal care, health education, and financial stress during pregnancy</w:t>
            </w:r>
            <w:r w:rsidRPr="00352ED4">
              <w:rPr>
                <w:rFonts w:cs="Times New Roman"/>
                <w:sz w:val="18"/>
                <w:szCs w:val="18"/>
                <w:lang w:val="en-US"/>
              </w:rPr>
              <w:t>.</w:t>
            </w:r>
          </w:p>
          <w:p w14:paraId="63DA40BA" w14:textId="77777777" w:rsidR="00BA5C80" w:rsidRPr="00352ED4" w:rsidRDefault="00BA5C80">
            <w:pPr>
              <w:pBdr>
                <w:top w:val="nil"/>
                <w:left w:val="nil"/>
                <w:bottom w:val="nil"/>
                <w:right w:val="nil"/>
                <w:between w:val="nil"/>
              </w:pBdr>
              <w:spacing w:after="0" w:line="240" w:lineRule="auto"/>
              <w:jc w:val="both"/>
              <w:rPr>
                <w:rFonts w:ascii="Times New Roman" w:eastAsia="Times New Roman" w:hAnsi="Times New Roman" w:cs="Times New Roman"/>
                <w:b/>
                <w:color w:val="000000"/>
                <w:sz w:val="18"/>
                <w:szCs w:val="18"/>
              </w:rPr>
            </w:pPr>
          </w:p>
          <w:p w14:paraId="46F21CB3" w14:textId="77777777" w:rsidR="00BA5C80" w:rsidRPr="00352ED4" w:rsidRDefault="00000000">
            <w:pPr>
              <w:pBdr>
                <w:top w:val="nil"/>
                <w:left w:val="nil"/>
                <w:bottom w:val="nil"/>
                <w:right w:val="nil"/>
                <w:between w:val="nil"/>
              </w:pBdr>
              <w:spacing w:after="0" w:line="240" w:lineRule="auto"/>
              <w:jc w:val="both"/>
              <w:rPr>
                <w:rFonts w:cs="Times New Roman"/>
                <w:lang w:val="en-US"/>
              </w:rPr>
            </w:pPr>
            <w:r w:rsidRPr="00352ED4">
              <w:rPr>
                <w:rFonts w:ascii="Times New Roman" w:eastAsia="Times New Roman" w:hAnsi="Times New Roman" w:cs="Times New Roman"/>
                <w:b/>
                <w:i/>
                <w:color w:val="000000"/>
                <w:sz w:val="18"/>
                <w:szCs w:val="18"/>
              </w:rPr>
              <w:t>Keywords</w:t>
            </w:r>
            <w:r w:rsidRPr="00352ED4">
              <w:rPr>
                <w:rFonts w:ascii="Times New Roman" w:eastAsia="Times New Roman" w:hAnsi="Times New Roman" w:cs="Times New Roman"/>
                <w:i/>
                <w:color w:val="000000"/>
                <w:sz w:val="18"/>
                <w:szCs w:val="18"/>
              </w:rPr>
              <w:t xml:space="preserve">: </w:t>
            </w:r>
            <w:r w:rsidR="00FF0D80" w:rsidRPr="00352ED4">
              <w:rPr>
                <w:rFonts w:ascii="Times New Roman" w:hAnsi="Times New Roman" w:cs="Times New Roman"/>
                <w:sz w:val="18"/>
                <w:szCs w:val="18"/>
                <w:lang w:val="en-US"/>
              </w:rPr>
              <w:t>Cleft Lip and Palate, Nutritional Status, Economic Status.</w:t>
            </w:r>
            <w:r w:rsidR="00FF0D80" w:rsidRPr="00352ED4">
              <w:rPr>
                <w:rFonts w:cs="Times New Roman"/>
                <w:lang w:val="en-US"/>
              </w:rPr>
              <w:t xml:space="preserve"> </w:t>
            </w:r>
          </w:p>
          <w:p w14:paraId="5143E5E7" w14:textId="77777777" w:rsidR="00FF0D80" w:rsidRPr="00352ED4" w:rsidRDefault="00FF0D80">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p>
          <w:p w14:paraId="34D7B7D2" w14:textId="77777777" w:rsidR="00BA5C80" w:rsidRPr="00352ED4" w:rsidRDefault="00000000">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18"/>
                <w:szCs w:val="18"/>
              </w:rPr>
            </w:pPr>
            <w:r w:rsidRPr="00352ED4">
              <w:rPr>
                <w:rFonts w:ascii="Times New Roman" w:eastAsia="Times New Roman" w:hAnsi="Times New Roman" w:cs="Times New Roman"/>
                <w:b/>
                <w:i/>
                <w:color w:val="000000"/>
                <w:sz w:val="18"/>
                <w:szCs w:val="18"/>
              </w:rPr>
              <w:t>Abstrak (Indonesian Language)</w:t>
            </w:r>
          </w:p>
          <w:p w14:paraId="52B3B227" w14:textId="77777777" w:rsidR="00FF0D80" w:rsidRPr="00352ED4" w:rsidRDefault="00FF0D80" w:rsidP="00FF0D80">
            <w:pPr>
              <w:pStyle w:val="Heading3"/>
              <w:spacing w:before="100"/>
              <w:jc w:val="both"/>
              <w:rPr>
                <w:rFonts w:ascii="Times New Roman" w:eastAsiaTheme="majorEastAsia" w:hAnsi="Times New Roman" w:cs="Times New Roman"/>
                <w:b w:val="0"/>
                <w:bCs/>
                <w:color w:val="000000" w:themeColor="text1"/>
                <w:sz w:val="18"/>
                <w:szCs w:val="18"/>
              </w:rPr>
            </w:pPr>
            <w:bookmarkStart w:id="0" w:name="_Hlk178306314"/>
            <w:r w:rsidRPr="00352ED4">
              <w:rPr>
                <w:rFonts w:ascii="Times New Roman" w:hAnsi="Times New Roman" w:cs="Times New Roman"/>
                <w:color w:val="000000" w:themeColor="text1"/>
                <w:sz w:val="18"/>
                <w:szCs w:val="18"/>
              </w:rPr>
              <w:t xml:space="preserve">Latar Belakang: </w:t>
            </w:r>
            <w:bookmarkEnd w:id="0"/>
            <w:r w:rsidRPr="00352ED4">
              <w:rPr>
                <w:rFonts w:ascii="Times New Roman" w:hAnsi="Times New Roman" w:cs="Times New Roman"/>
                <w:b w:val="0"/>
                <w:color w:val="000000" w:themeColor="text1"/>
                <w:sz w:val="18"/>
                <w:szCs w:val="18"/>
              </w:rPr>
              <w:t xml:space="preserve">Celah bibir dan langit-langit (CBL) merupakan kelainan kongenital umum dengan etiologi multifaktorial. Nutrisi ibu, khususnya vitamin B9, B12, dan B6, berperan penting dalam pembentukan bibir, langit-langit, dan struktur kraniofasial janin pada masa prekonsepsi hingga awal kehamilan. Status ekonomi rendah memengaruhi kemampuan ibu memenuhi kebutuhan dasar, termasuk nutrisi dan layanan kesehatan. </w:t>
            </w:r>
            <w:r w:rsidRPr="00352ED4">
              <w:rPr>
                <w:rFonts w:ascii="Times New Roman" w:hAnsi="Times New Roman" w:cs="Times New Roman"/>
                <w:color w:val="000000" w:themeColor="text1"/>
                <w:sz w:val="18"/>
                <w:szCs w:val="18"/>
              </w:rPr>
              <w:t xml:space="preserve">Tujuan: </w:t>
            </w:r>
            <w:r w:rsidRPr="00352ED4">
              <w:rPr>
                <w:rFonts w:ascii="Times New Roman" w:hAnsi="Times New Roman" w:cs="Times New Roman"/>
                <w:b w:val="0"/>
                <w:color w:val="000000" w:themeColor="text1"/>
                <w:sz w:val="18"/>
                <w:szCs w:val="18"/>
              </w:rPr>
              <w:t>Penelitian ini bertujuan untuk mengidentifikasi status nutrisi dan status ekonomi ibu pada kejadian celah bibir dan langit-langit. </w:t>
            </w:r>
            <w:r w:rsidRPr="00352ED4">
              <w:rPr>
                <w:rFonts w:ascii="Times New Roman" w:hAnsi="Times New Roman" w:cs="Times New Roman"/>
                <w:color w:val="000000" w:themeColor="text1"/>
                <w:sz w:val="18"/>
                <w:szCs w:val="18"/>
              </w:rPr>
              <w:t xml:space="preserve">Metode: </w:t>
            </w:r>
            <w:r w:rsidRPr="00352ED4">
              <w:rPr>
                <w:rFonts w:ascii="Times New Roman" w:hAnsi="Times New Roman" w:cs="Times New Roman"/>
                <w:b w:val="0"/>
                <w:color w:val="000000" w:themeColor="text1"/>
                <w:sz w:val="18"/>
                <w:szCs w:val="18"/>
              </w:rPr>
              <w:t xml:space="preserve">Penelitian ini merupakan </w:t>
            </w:r>
            <w:r w:rsidRPr="00352ED4">
              <w:rPr>
                <w:rFonts w:ascii="Times New Roman" w:hAnsi="Times New Roman" w:cs="Times New Roman"/>
                <w:b w:val="0"/>
                <w:i/>
                <w:iCs/>
                <w:color w:val="000000" w:themeColor="text1"/>
                <w:sz w:val="18"/>
                <w:szCs w:val="18"/>
              </w:rPr>
              <w:t>scoping review</w:t>
            </w:r>
            <w:r w:rsidRPr="00352ED4">
              <w:rPr>
                <w:rFonts w:ascii="Times New Roman" w:hAnsi="Times New Roman" w:cs="Times New Roman"/>
                <w:b w:val="0"/>
                <w:color w:val="000000" w:themeColor="text1"/>
                <w:sz w:val="18"/>
                <w:szCs w:val="18"/>
              </w:rPr>
              <w:t xml:space="preserve"> berbasis PRISMA yang menyeleksi 3.437 artikel dari berbagai </w:t>
            </w:r>
            <w:r w:rsidRPr="00352ED4">
              <w:rPr>
                <w:rFonts w:ascii="Times New Roman" w:hAnsi="Times New Roman" w:cs="Times New Roman"/>
                <w:b w:val="0"/>
                <w:i/>
                <w:iCs/>
                <w:color w:val="000000" w:themeColor="text1"/>
                <w:sz w:val="18"/>
                <w:szCs w:val="18"/>
              </w:rPr>
              <w:t>database</w:t>
            </w:r>
            <w:r w:rsidRPr="00352ED4">
              <w:rPr>
                <w:rFonts w:ascii="Times New Roman" w:hAnsi="Times New Roman" w:cs="Times New Roman"/>
                <w:b w:val="0"/>
                <w:color w:val="000000" w:themeColor="text1"/>
                <w:sz w:val="18"/>
                <w:szCs w:val="18"/>
              </w:rPr>
              <w:t xml:space="preserve"> hingga menghasilkan 15 artikel terpilih yang kemudian diekstraksi dan dirangkum secara sistematis. </w:t>
            </w:r>
            <w:r w:rsidRPr="00352ED4">
              <w:rPr>
                <w:rFonts w:ascii="Times New Roman" w:hAnsi="Times New Roman" w:cs="Times New Roman"/>
                <w:color w:val="000000" w:themeColor="text1"/>
                <w:sz w:val="18"/>
                <w:szCs w:val="18"/>
              </w:rPr>
              <w:t>Hasil:</w:t>
            </w:r>
            <w:r w:rsidRPr="00352ED4">
              <w:rPr>
                <w:rFonts w:ascii="Times New Roman" w:hAnsi="Times New Roman" w:cs="Times New Roman"/>
                <w:b w:val="0"/>
                <w:color w:val="000000" w:themeColor="text1"/>
                <w:sz w:val="18"/>
                <w:szCs w:val="18"/>
              </w:rPr>
              <w:t xml:space="preserve"> Lima belas artikel pada </w:t>
            </w:r>
            <w:r w:rsidRPr="00352ED4">
              <w:rPr>
                <w:rFonts w:ascii="Times New Roman" w:hAnsi="Times New Roman" w:cs="Times New Roman"/>
                <w:b w:val="0"/>
                <w:i/>
                <w:iCs/>
                <w:color w:val="000000" w:themeColor="text1"/>
                <w:sz w:val="18"/>
                <w:szCs w:val="18"/>
              </w:rPr>
              <w:t>scoping review</w:t>
            </w:r>
            <w:r w:rsidRPr="00352ED4">
              <w:rPr>
                <w:rFonts w:ascii="Times New Roman" w:hAnsi="Times New Roman" w:cs="Times New Roman"/>
                <w:b w:val="0"/>
                <w:color w:val="000000" w:themeColor="text1"/>
                <w:sz w:val="18"/>
                <w:szCs w:val="18"/>
              </w:rPr>
              <w:t xml:space="preserve"> ini menunjukkan defisiensi vitamin B9, B12, dan B6 meningkatkan risiko CBL, sedangkan kecukupan nutrisi tersebut bersifat protektif. Status ekonomi rendah sering disertai pendidikan rendah, keterbatasan akses informasi, dan kesulitan memperoleh makanan bernutrisi, sedangkan status ekonomi lebih baik memberi efek protektif. </w:t>
            </w:r>
            <w:r w:rsidRPr="00352ED4">
              <w:rPr>
                <w:rFonts w:ascii="Times New Roman" w:hAnsi="Times New Roman" w:cs="Times New Roman"/>
                <w:color w:val="000000" w:themeColor="text1"/>
                <w:sz w:val="18"/>
                <w:szCs w:val="18"/>
              </w:rPr>
              <w:t>Kesimpulan:</w:t>
            </w:r>
            <w:r w:rsidRPr="00352ED4">
              <w:rPr>
                <w:rFonts w:ascii="Times New Roman" w:hAnsi="Times New Roman" w:cs="Times New Roman"/>
                <w:b w:val="0"/>
                <w:color w:val="000000" w:themeColor="text1"/>
                <w:sz w:val="18"/>
                <w:szCs w:val="18"/>
              </w:rPr>
              <w:t xml:space="preserve"> Defisiensi vitamin B9, B12, dan B6 meningkatkan risiko CBL. Status ekonomi rendah memperbesar risiko CBL melalui keterbatasan nutrisi, layanan antenatal, edukasi kesehatan, dan stres finansial selama kehamilan.</w:t>
            </w:r>
          </w:p>
          <w:p w14:paraId="52C66B37" w14:textId="77777777" w:rsidR="00BA5C80" w:rsidRPr="00352ED4" w:rsidRDefault="00BA5C80">
            <w:pPr>
              <w:pBdr>
                <w:top w:val="nil"/>
                <w:left w:val="nil"/>
                <w:bottom w:val="nil"/>
                <w:right w:val="nil"/>
                <w:between w:val="nil"/>
              </w:pBdr>
              <w:spacing w:after="0" w:line="240" w:lineRule="auto"/>
              <w:jc w:val="both"/>
              <w:rPr>
                <w:rFonts w:ascii="Times New Roman" w:eastAsia="Times New Roman" w:hAnsi="Times New Roman" w:cs="Times New Roman"/>
                <w:b/>
                <w:color w:val="000000"/>
                <w:sz w:val="18"/>
                <w:szCs w:val="18"/>
              </w:rPr>
            </w:pPr>
          </w:p>
          <w:p w14:paraId="210C1026" w14:textId="77777777" w:rsidR="00BA5C80" w:rsidRDefault="00000000">
            <w:pPr>
              <w:pBdr>
                <w:top w:val="nil"/>
                <w:left w:val="nil"/>
                <w:bottom w:val="nil"/>
                <w:right w:val="nil"/>
                <w:between w:val="nil"/>
              </w:pBdr>
              <w:spacing w:after="0" w:line="240" w:lineRule="auto"/>
              <w:jc w:val="both"/>
              <w:rPr>
                <w:color w:val="000000" w:themeColor="text1"/>
              </w:rPr>
            </w:pPr>
            <w:r w:rsidRPr="00352ED4">
              <w:rPr>
                <w:rFonts w:ascii="Times New Roman" w:eastAsia="Times New Roman" w:hAnsi="Times New Roman" w:cs="Times New Roman"/>
                <w:b/>
                <w:i/>
                <w:color w:val="000000"/>
                <w:sz w:val="18"/>
                <w:szCs w:val="18"/>
              </w:rPr>
              <w:t>Kata Kunci</w:t>
            </w:r>
            <w:r w:rsidRPr="00352ED4">
              <w:rPr>
                <w:rFonts w:ascii="Times New Roman" w:eastAsia="Times New Roman" w:hAnsi="Times New Roman" w:cs="Times New Roman"/>
                <w:i/>
                <w:color w:val="000000"/>
                <w:sz w:val="18"/>
                <w:szCs w:val="18"/>
              </w:rPr>
              <w:t xml:space="preserve">: </w:t>
            </w:r>
            <w:r w:rsidR="00FF0D80" w:rsidRPr="00352ED4">
              <w:rPr>
                <w:rFonts w:ascii="Times New Roman" w:eastAsia="Times New Roman" w:hAnsi="Times New Roman" w:cs="Times New Roman"/>
                <w:iCs/>
                <w:color w:val="000000"/>
                <w:sz w:val="18"/>
                <w:szCs w:val="18"/>
              </w:rPr>
              <w:t>C</w:t>
            </w:r>
            <w:r w:rsidR="00FF0D80" w:rsidRPr="00352ED4">
              <w:rPr>
                <w:rFonts w:ascii="Times New Roman" w:hAnsi="Times New Roman" w:cs="Times New Roman"/>
                <w:iCs/>
                <w:color w:val="000000" w:themeColor="text1"/>
                <w:sz w:val="18"/>
                <w:szCs w:val="18"/>
              </w:rPr>
              <w:t>e</w:t>
            </w:r>
            <w:r w:rsidR="00FF0D80" w:rsidRPr="00352ED4">
              <w:rPr>
                <w:rFonts w:ascii="Times New Roman" w:hAnsi="Times New Roman" w:cs="Times New Roman"/>
                <w:color w:val="000000" w:themeColor="text1"/>
                <w:sz w:val="18"/>
                <w:szCs w:val="18"/>
              </w:rPr>
              <w:t>lah Bibir dan Langit-langit, Status Nutrisi, Status Ekonomi.</w:t>
            </w:r>
            <w:r w:rsidR="00FF0D80" w:rsidRPr="00352ED4">
              <w:rPr>
                <w:color w:val="000000" w:themeColor="text1"/>
              </w:rPr>
              <w:t xml:space="preserve"> </w:t>
            </w:r>
          </w:p>
          <w:p w14:paraId="66D43C3F" w14:textId="77777777" w:rsidR="00123844" w:rsidRDefault="00123844">
            <w:pPr>
              <w:pBdr>
                <w:top w:val="nil"/>
                <w:left w:val="nil"/>
                <w:bottom w:val="nil"/>
                <w:right w:val="nil"/>
                <w:between w:val="nil"/>
              </w:pBdr>
              <w:spacing w:after="0" w:line="240" w:lineRule="auto"/>
              <w:jc w:val="both"/>
              <w:rPr>
                <w:color w:val="000000" w:themeColor="text1"/>
              </w:rPr>
            </w:pPr>
          </w:p>
          <w:p w14:paraId="771830CC" w14:textId="77777777" w:rsidR="00123844" w:rsidRDefault="00123844">
            <w:pPr>
              <w:pBdr>
                <w:top w:val="nil"/>
                <w:left w:val="nil"/>
                <w:bottom w:val="nil"/>
                <w:right w:val="nil"/>
                <w:between w:val="nil"/>
              </w:pBdr>
              <w:spacing w:after="0" w:line="240" w:lineRule="auto"/>
              <w:jc w:val="both"/>
              <w:rPr>
                <w:color w:val="000000" w:themeColor="text1"/>
              </w:rPr>
            </w:pPr>
          </w:p>
          <w:p w14:paraId="7615023C" w14:textId="77777777" w:rsidR="00123844" w:rsidRPr="00123844" w:rsidRDefault="00123844">
            <w:pPr>
              <w:pBdr>
                <w:top w:val="nil"/>
                <w:left w:val="nil"/>
                <w:bottom w:val="nil"/>
                <w:right w:val="nil"/>
                <w:between w:val="nil"/>
              </w:pBdr>
              <w:spacing w:after="0" w:line="240" w:lineRule="auto"/>
              <w:jc w:val="both"/>
              <w:rPr>
                <w:rFonts w:ascii="Times New Roman" w:eastAsia="Times New Roman" w:hAnsi="Times New Roman" w:cs="Times New Roman"/>
                <w:i/>
                <w:color w:val="000000"/>
                <w:sz w:val="18"/>
                <w:szCs w:val="18"/>
              </w:rPr>
            </w:pPr>
          </w:p>
        </w:tc>
      </w:tr>
      <w:tr w:rsidR="00BA5C80" w:rsidRPr="00352ED4" w14:paraId="70E02442" w14:textId="77777777">
        <w:trPr>
          <w:trHeight w:val="1844"/>
        </w:trPr>
        <w:tc>
          <w:tcPr>
            <w:tcW w:w="2410" w:type="dxa"/>
          </w:tcPr>
          <w:p w14:paraId="6A77C39C" w14:textId="77777777" w:rsidR="00BA5C80" w:rsidRPr="00352ED4" w:rsidRDefault="00000000">
            <w:pPr>
              <w:pBdr>
                <w:top w:val="nil"/>
                <w:left w:val="nil"/>
                <w:bottom w:val="nil"/>
                <w:right w:val="nil"/>
                <w:between w:val="nil"/>
              </w:pBdr>
              <w:spacing w:before="120" w:after="0" w:line="240" w:lineRule="auto"/>
              <w:rPr>
                <w:rFonts w:ascii="Times New Roman" w:eastAsia="Times New Roman" w:hAnsi="Times New Roman" w:cs="Times New Roman"/>
                <w:b/>
                <w:i/>
                <w:color w:val="000000"/>
                <w:sz w:val="16"/>
                <w:szCs w:val="16"/>
              </w:rPr>
            </w:pPr>
            <w:r w:rsidRPr="00352ED4">
              <w:rPr>
                <w:rFonts w:ascii="Times New Roman" w:eastAsia="Times New Roman" w:hAnsi="Times New Roman" w:cs="Times New Roman"/>
                <w:b/>
                <w:i/>
                <w:color w:val="000000"/>
                <w:sz w:val="16"/>
                <w:szCs w:val="16"/>
              </w:rPr>
              <w:t>Cite this as: Vancouver style</w:t>
            </w:r>
          </w:p>
          <w:p w14:paraId="0F982A9D" w14:textId="77777777" w:rsidR="00BA5C80" w:rsidRPr="00352ED4" w:rsidRDefault="00000000">
            <w:pPr>
              <w:spacing w:after="120" w:line="240" w:lineRule="auto"/>
              <w:rPr>
                <w:rFonts w:ascii="Times" w:eastAsia="Times" w:hAnsi="Times" w:cs="Times"/>
                <w:sz w:val="20"/>
                <w:szCs w:val="20"/>
              </w:rPr>
            </w:pPr>
            <w:r w:rsidRPr="00352ED4">
              <w:rPr>
                <w:rFonts w:ascii="Times New Roman" w:eastAsia="Times New Roman" w:hAnsi="Times New Roman" w:cs="Times New Roman"/>
                <w:i/>
                <w:color w:val="000000"/>
                <w:sz w:val="16"/>
                <w:szCs w:val="16"/>
              </w:rPr>
              <w:t>First Author’s last name followed by the initials of first and/or second name, Second Author’s last name followed by the initials of first and/or second name, Third Author’s last name followed by the initials of first and/or second name. Article’s title. Publisher. Time of published; Volume(Issue);page. DOI</w:t>
            </w:r>
          </w:p>
          <w:p w14:paraId="5BA794F0" w14:textId="77777777" w:rsidR="00BA5C80" w:rsidRPr="00352ED4" w:rsidRDefault="00BA5C80">
            <w:pPr>
              <w:spacing w:after="0" w:line="240" w:lineRule="auto"/>
              <w:rPr>
                <w:rFonts w:ascii="Times" w:eastAsia="Times" w:hAnsi="Times" w:cs="Times"/>
                <w:sz w:val="20"/>
                <w:szCs w:val="20"/>
              </w:rPr>
            </w:pPr>
          </w:p>
          <w:p w14:paraId="4709951A" w14:textId="77777777" w:rsidR="00BA5C80" w:rsidRPr="00352ED4" w:rsidRDefault="00BA5C80">
            <w:pPr>
              <w:pBdr>
                <w:top w:val="nil"/>
                <w:left w:val="nil"/>
                <w:bottom w:val="nil"/>
                <w:right w:val="nil"/>
                <w:between w:val="nil"/>
              </w:pBdr>
              <w:spacing w:after="120" w:line="240" w:lineRule="auto"/>
              <w:rPr>
                <w:rFonts w:ascii="Times New Roman" w:eastAsia="Times New Roman" w:hAnsi="Times New Roman" w:cs="Times New Roman"/>
                <w:i/>
                <w:color w:val="000000"/>
                <w:sz w:val="16"/>
                <w:szCs w:val="16"/>
              </w:rPr>
            </w:pPr>
          </w:p>
        </w:tc>
        <w:tc>
          <w:tcPr>
            <w:tcW w:w="7615" w:type="dxa"/>
            <w:vMerge/>
          </w:tcPr>
          <w:p w14:paraId="55A9DF16" w14:textId="77777777" w:rsidR="00BA5C80" w:rsidRPr="00352ED4" w:rsidRDefault="00BA5C80">
            <w:pPr>
              <w:widowControl w:val="0"/>
              <w:pBdr>
                <w:top w:val="nil"/>
                <w:left w:val="nil"/>
                <w:bottom w:val="nil"/>
                <w:right w:val="nil"/>
                <w:between w:val="nil"/>
              </w:pBdr>
              <w:spacing w:after="0"/>
              <w:rPr>
                <w:rFonts w:ascii="Times New Roman" w:eastAsia="Times New Roman" w:hAnsi="Times New Roman" w:cs="Times New Roman"/>
                <w:i/>
                <w:color w:val="000000"/>
                <w:sz w:val="16"/>
                <w:szCs w:val="16"/>
              </w:rPr>
            </w:pPr>
          </w:p>
        </w:tc>
      </w:tr>
    </w:tbl>
    <w:p w14:paraId="61DBECF0" w14:textId="77777777" w:rsidR="00BA5C80" w:rsidRDefault="00BA5C80">
      <w:pPr>
        <w:pBdr>
          <w:top w:val="nil"/>
          <w:left w:val="nil"/>
          <w:bottom w:val="nil"/>
          <w:right w:val="nil"/>
          <w:between w:val="nil"/>
        </w:pBdr>
        <w:spacing w:after="0" w:line="240" w:lineRule="auto"/>
        <w:rPr>
          <w:rFonts w:ascii="Arial" w:eastAsia="Arial" w:hAnsi="Arial" w:cs="Arial"/>
          <w:i/>
          <w:color w:val="000000"/>
          <w:sz w:val="18"/>
          <w:szCs w:val="18"/>
        </w:rPr>
      </w:pPr>
    </w:p>
    <w:p w14:paraId="4D1DA1DB" w14:textId="77777777" w:rsidR="00123844" w:rsidRPr="00352ED4" w:rsidRDefault="00123844">
      <w:pPr>
        <w:pBdr>
          <w:top w:val="nil"/>
          <w:left w:val="nil"/>
          <w:bottom w:val="nil"/>
          <w:right w:val="nil"/>
          <w:between w:val="nil"/>
        </w:pBdr>
        <w:spacing w:after="0" w:line="240" w:lineRule="auto"/>
        <w:rPr>
          <w:rFonts w:ascii="Arial" w:eastAsia="Arial" w:hAnsi="Arial" w:cs="Arial"/>
          <w:i/>
          <w:color w:val="000000"/>
          <w:sz w:val="18"/>
          <w:szCs w:val="18"/>
        </w:rPr>
        <w:sectPr w:rsidR="00123844" w:rsidRPr="00352ED4">
          <w:headerReference w:type="even" r:id="rId9"/>
          <w:headerReference w:type="default" r:id="rId10"/>
          <w:footerReference w:type="even" r:id="rId11"/>
          <w:footerReference w:type="default" r:id="rId12"/>
          <w:headerReference w:type="first" r:id="rId13"/>
          <w:footerReference w:type="first" r:id="rId14"/>
          <w:pgSz w:w="11906" w:h="16838"/>
          <w:pgMar w:top="851" w:right="851" w:bottom="851" w:left="1021" w:header="708" w:footer="1148" w:gutter="0"/>
          <w:pgNumType w:start="1"/>
          <w:cols w:space="720"/>
          <w:titlePg/>
        </w:sectPr>
      </w:pPr>
    </w:p>
    <w:p w14:paraId="04D73344" w14:textId="77777777" w:rsidR="00BA5C80" w:rsidRPr="00352ED4" w:rsidRDefault="00000000">
      <w:pPr>
        <w:pBdr>
          <w:top w:val="nil"/>
          <w:left w:val="nil"/>
          <w:bottom w:val="nil"/>
          <w:right w:val="nil"/>
          <w:between w:val="nil"/>
        </w:pBdr>
        <w:spacing w:after="120" w:line="240" w:lineRule="auto"/>
        <w:jc w:val="both"/>
        <w:rPr>
          <w:rFonts w:ascii="Times New Roman" w:eastAsia="Times New Roman" w:hAnsi="Times New Roman" w:cs="Times New Roman"/>
          <w:b/>
          <w:color w:val="17365D"/>
          <w:sz w:val="28"/>
          <w:szCs w:val="28"/>
        </w:rPr>
      </w:pPr>
      <w:r w:rsidRPr="00352ED4">
        <w:rPr>
          <w:rFonts w:ascii="Times New Roman" w:eastAsia="Times New Roman" w:hAnsi="Times New Roman" w:cs="Times New Roman"/>
          <w:b/>
          <w:color w:val="17365D"/>
          <w:sz w:val="28"/>
          <w:szCs w:val="28"/>
        </w:rPr>
        <w:lastRenderedPageBreak/>
        <w:t xml:space="preserve">Introduction </w:t>
      </w:r>
    </w:p>
    <w:p w14:paraId="4ED66FF9" w14:textId="77777777" w:rsidR="0066133A" w:rsidRPr="00352ED4" w:rsidRDefault="0066133A" w:rsidP="00AE17E5">
      <w:pPr>
        <w:pStyle w:val="ISITEKS"/>
        <w:spacing w:line="360" w:lineRule="auto"/>
        <w:rPr>
          <w:bCs/>
          <w:sz w:val="20"/>
          <w:szCs w:val="20"/>
        </w:rPr>
      </w:pPr>
      <w:r w:rsidRPr="00352ED4">
        <w:rPr>
          <w:sz w:val="20"/>
          <w:szCs w:val="20"/>
        </w:rPr>
        <w:t xml:space="preserve">Congenital anomalies are abnormalities or functional disorders that occur during the intrauterine period and can be identified before or after birth [1]. One of the most common forms of congenital anomalies is cleft lip and palate (CLP) </w:t>
      </w:r>
      <w:r w:rsidRPr="00352ED4">
        <w:rPr>
          <w:rFonts w:eastAsia="Times New Roman"/>
          <w:sz w:val="20"/>
          <w:szCs w:val="20"/>
        </w:rPr>
        <w:t xml:space="preserve">[2]. </w:t>
      </w:r>
      <w:r w:rsidRPr="00352ED4">
        <w:rPr>
          <w:bCs/>
          <w:sz w:val="20"/>
          <w:szCs w:val="20"/>
        </w:rPr>
        <w:t xml:space="preserve">The prevalence of CLP worldwide is 0.3 per 1,000 births or 9.92 per 10,000 births, based on a systematic review and meta-analysis involving 57 studies and 17,907,569 individuals [3]. The highest prevalence of CLP in Indonesia is in the Capital Region Jakarta, at 13.9 per 1,000 births, far above the national rate of 2.4 per 1,000 births [4]. </w:t>
      </w:r>
    </w:p>
    <w:p w14:paraId="13928D1C" w14:textId="77777777" w:rsidR="0066133A" w:rsidRPr="00352ED4" w:rsidRDefault="0066133A" w:rsidP="00AE17E5">
      <w:pPr>
        <w:pStyle w:val="ISITEKS"/>
        <w:spacing w:line="360" w:lineRule="auto"/>
        <w:rPr>
          <w:bCs/>
          <w:sz w:val="20"/>
          <w:szCs w:val="20"/>
        </w:rPr>
      </w:pPr>
      <w:r w:rsidRPr="00352ED4">
        <w:rPr>
          <w:bCs/>
          <w:sz w:val="20"/>
          <w:szCs w:val="20"/>
        </w:rPr>
        <w:t xml:space="preserve">The multifactorial etiology of most CLP remains poorly understood </w:t>
      </w:r>
      <w:r w:rsidRPr="00352ED4">
        <w:rPr>
          <w:rFonts w:eastAsia="Times New Roman"/>
          <w:sz w:val="20"/>
          <w:szCs w:val="20"/>
        </w:rPr>
        <w:t xml:space="preserve">[5]. </w:t>
      </w:r>
      <w:r w:rsidRPr="00352ED4">
        <w:rPr>
          <w:bCs/>
          <w:sz w:val="20"/>
          <w:szCs w:val="20"/>
        </w:rPr>
        <w:t xml:space="preserve">The preconception and early pregnancy periods, as well as the mother's nutritional status, play an important role in the development of the lips and palate, as well as other craniofacial structures in the fetus. During this critical stage, several important nutrients, such as vitamins B6, B9, and B12, are involved in the development of CLP </w:t>
      </w:r>
      <w:r w:rsidRPr="00352ED4">
        <w:rPr>
          <w:rFonts w:eastAsia="Times New Roman"/>
          <w:sz w:val="20"/>
          <w:szCs w:val="20"/>
        </w:rPr>
        <w:t xml:space="preserve">[6]. </w:t>
      </w:r>
      <w:r w:rsidRPr="00352ED4">
        <w:rPr>
          <w:bCs/>
          <w:sz w:val="20"/>
          <w:szCs w:val="20"/>
        </w:rPr>
        <w:t>Communities with low economic status are often unable to meet basic needs such as nutritious food, a clean environment, adequate housing, and access to adequate health services [</w:t>
      </w:r>
      <w:r w:rsidR="00B41E4B" w:rsidRPr="00352ED4">
        <w:rPr>
          <w:bCs/>
          <w:sz w:val="20"/>
          <w:szCs w:val="20"/>
        </w:rPr>
        <w:t>6,7</w:t>
      </w:r>
      <w:r w:rsidRPr="00352ED4">
        <w:rPr>
          <w:bCs/>
          <w:sz w:val="20"/>
          <w:szCs w:val="20"/>
        </w:rPr>
        <w:t>]. These conditions can increase the risk for pregnant women, disrupting the important process of fetal organogenesis and resulting in congenital abnormalities such as CLP [</w:t>
      </w:r>
      <w:r w:rsidR="00B41E4B" w:rsidRPr="00352ED4">
        <w:rPr>
          <w:bCs/>
          <w:sz w:val="20"/>
          <w:szCs w:val="20"/>
        </w:rPr>
        <w:t>8</w:t>
      </w:r>
      <w:r w:rsidRPr="00352ED4">
        <w:rPr>
          <w:bCs/>
          <w:sz w:val="20"/>
          <w:szCs w:val="20"/>
        </w:rPr>
        <w:t>].</w:t>
      </w:r>
    </w:p>
    <w:p w14:paraId="783C22FE" w14:textId="77777777" w:rsidR="00BA5C80" w:rsidRPr="00352ED4" w:rsidRDefault="0066133A" w:rsidP="00AE17E5">
      <w:pPr>
        <w:pStyle w:val="ISITEKS"/>
        <w:spacing w:line="360" w:lineRule="auto"/>
        <w:rPr>
          <w:bCs/>
          <w:sz w:val="20"/>
          <w:szCs w:val="20"/>
        </w:rPr>
      </w:pPr>
      <w:r w:rsidRPr="00352ED4">
        <w:rPr>
          <w:bCs/>
          <w:sz w:val="20"/>
          <w:szCs w:val="20"/>
        </w:rPr>
        <w:t xml:space="preserve">Research on the nutritional and economic status of mothers in relation to CLP has been conducted in various countries, but the results vary. Based on the background mentioned above, this scoping review aims to map the evidence related to the influence of maternal nutritional and economic status on CLP. This study is expected to provide a clearer of the importance of nutritional intervention and economic support for mothers to prevent CLP. </w:t>
      </w:r>
    </w:p>
    <w:p w14:paraId="3617507A" w14:textId="77777777" w:rsidR="00BA5C80" w:rsidRPr="00352ED4" w:rsidRDefault="00BA5C80">
      <w:pPr>
        <w:pBdr>
          <w:top w:val="nil"/>
          <w:left w:val="nil"/>
          <w:bottom w:val="nil"/>
          <w:right w:val="nil"/>
          <w:between w:val="nil"/>
        </w:pBdr>
        <w:spacing w:after="120" w:line="240" w:lineRule="auto"/>
        <w:jc w:val="both"/>
        <w:rPr>
          <w:rFonts w:ascii="Times New Roman" w:eastAsia="Times New Roman" w:hAnsi="Times New Roman" w:cs="Times New Roman"/>
          <w:b/>
          <w:color w:val="17365D"/>
          <w:sz w:val="28"/>
          <w:szCs w:val="28"/>
        </w:rPr>
      </w:pPr>
    </w:p>
    <w:p w14:paraId="377728DE" w14:textId="77777777" w:rsidR="00BA5C80" w:rsidRPr="00352ED4" w:rsidRDefault="00000000" w:rsidP="00AE17E5">
      <w:pPr>
        <w:pBdr>
          <w:top w:val="nil"/>
          <w:left w:val="nil"/>
          <w:bottom w:val="nil"/>
          <w:right w:val="nil"/>
          <w:between w:val="nil"/>
        </w:pBdr>
        <w:spacing w:after="120" w:line="240" w:lineRule="auto"/>
        <w:jc w:val="both"/>
        <w:rPr>
          <w:rFonts w:ascii="Times New Roman" w:eastAsia="Times New Roman" w:hAnsi="Times New Roman" w:cs="Times New Roman"/>
          <w:b/>
          <w:color w:val="17365D"/>
          <w:sz w:val="28"/>
          <w:szCs w:val="28"/>
        </w:rPr>
      </w:pPr>
      <w:r w:rsidRPr="00352ED4">
        <w:rPr>
          <w:rFonts w:ascii="Times New Roman" w:eastAsia="Times New Roman" w:hAnsi="Times New Roman" w:cs="Times New Roman"/>
          <w:b/>
          <w:color w:val="17365D"/>
          <w:sz w:val="28"/>
          <w:szCs w:val="28"/>
        </w:rPr>
        <w:t>Method</w:t>
      </w:r>
    </w:p>
    <w:p w14:paraId="7167B09A" w14:textId="77777777" w:rsidR="00BA5C80" w:rsidRPr="00352ED4" w:rsidRDefault="00AE17E5" w:rsidP="00B03289">
      <w:pPr>
        <w:spacing w:line="360" w:lineRule="auto"/>
        <w:ind w:firstLine="720"/>
        <w:jc w:val="both"/>
        <w:rPr>
          <w:rFonts w:ascii="Times New Roman" w:hAnsi="Times New Roman" w:cs="Times New Roman"/>
          <w:color w:val="000000" w:themeColor="text1"/>
          <w:spacing w:val="-1"/>
          <w:sz w:val="20"/>
          <w:szCs w:val="20"/>
        </w:rPr>
      </w:pPr>
      <w:r w:rsidRPr="00352ED4">
        <w:rPr>
          <w:rFonts w:ascii="Times New Roman" w:hAnsi="Times New Roman" w:cs="Times New Roman"/>
          <w:color w:val="000000" w:themeColor="text1"/>
          <w:sz w:val="20"/>
          <w:szCs w:val="20"/>
        </w:rPr>
        <w:t xml:space="preserve">This study used a scoping review design with the Preferred Reporting Items for Systematic Reviews and Meta-Analyses (PRISMA) approach to identify the stages </w:t>
      </w:r>
      <w:r w:rsidRPr="00352ED4">
        <w:rPr>
          <w:rFonts w:ascii="Times New Roman" w:hAnsi="Times New Roman" w:cs="Times New Roman"/>
          <w:color w:val="000000" w:themeColor="text1"/>
          <w:sz w:val="20"/>
          <w:szCs w:val="20"/>
        </w:rPr>
        <w:t>of research protocol development. The scoping review design was chosen because the references used by researchers varied and came from various scientific articles.</w:t>
      </w:r>
      <w:r w:rsidR="00B03289" w:rsidRPr="00352ED4">
        <w:rPr>
          <w:rFonts w:ascii="Times New Roman" w:hAnsi="Times New Roman" w:cs="Times New Roman"/>
          <w:color w:val="000000" w:themeColor="text1"/>
          <w:sz w:val="20"/>
          <w:szCs w:val="20"/>
        </w:rPr>
        <w:t xml:space="preserve"> </w:t>
      </w:r>
      <w:r w:rsidRPr="00352ED4">
        <w:rPr>
          <w:rFonts w:ascii="Times New Roman" w:hAnsi="Times New Roman" w:cs="Times New Roman"/>
          <w:color w:val="000000" w:themeColor="text1"/>
          <w:sz w:val="20"/>
          <w:szCs w:val="20"/>
        </w:rPr>
        <w:t xml:space="preserve">The inclusion criteria used in this study were articles obtained from the PubMed, Science Direct, Cochrane, and Google Scholar databases, using the following keywords:  </w:t>
      </w:r>
    </w:p>
    <w:p w14:paraId="31EEE9A0" w14:textId="77777777" w:rsidR="00BA5C80" w:rsidRPr="00352ED4" w:rsidRDefault="00000000">
      <w:pPr>
        <w:pBdr>
          <w:top w:val="nil"/>
          <w:left w:val="nil"/>
          <w:bottom w:val="nil"/>
          <w:right w:val="nil"/>
          <w:between w:val="nil"/>
        </w:pBdr>
        <w:spacing w:after="0" w:line="240" w:lineRule="auto"/>
        <w:jc w:val="center"/>
        <w:rPr>
          <w:rFonts w:ascii="Times New Roman" w:hAnsi="Times New Roman" w:cs="Times New Roman"/>
          <w:b/>
          <w:color w:val="000000"/>
          <w:sz w:val="18"/>
          <w:szCs w:val="18"/>
        </w:rPr>
      </w:pPr>
      <w:r w:rsidRPr="00352ED4">
        <w:rPr>
          <w:rFonts w:ascii="Times New Roman" w:hAnsi="Times New Roman" w:cs="Times New Roman"/>
          <w:b/>
          <w:color w:val="000000"/>
          <w:sz w:val="18"/>
          <w:szCs w:val="18"/>
        </w:rPr>
        <w:t xml:space="preserve">Table 1. Table </w:t>
      </w:r>
      <w:r w:rsidR="00BE2EBD" w:rsidRPr="00352ED4">
        <w:rPr>
          <w:rFonts w:ascii="Times New Roman" w:hAnsi="Times New Roman" w:cs="Times New Roman"/>
          <w:b/>
          <w:color w:val="000000"/>
          <w:sz w:val="18"/>
          <w:szCs w:val="18"/>
        </w:rPr>
        <w:t xml:space="preserve">of </w:t>
      </w:r>
      <w:r w:rsidR="00B03289" w:rsidRPr="00352ED4">
        <w:rPr>
          <w:rFonts w:ascii="Times New Roman" w:hAnsi="Times New Roman" w:cs="Times New Roman"/>
          <w:b/>
          <w:color w:val="000000"/>
          <w:sz w:val="18"/>
          <w:szCs w:val="18"/>
        </w:rPr>
        <w:t>K</w:t>
      </w:r>
      <w:r w:rsidR="00BE2EBD" w:rsidRPr="00352ED4">
        <w:rPr>
          <w:rFonts w:ascii="Times New Roman" w:hAnsi="Times New Roman" w:cs="Times New Roman"/>
          <w:b/>
          <w:color w:val="000000"/>
          <w:sz w:val="18"/>
          <w:szCs w:val="18"/>
        </w:rPr>
        <w:t xml:space="preserve">eyword </w:t>
      </w:r>
    </w:p>
    <w:tbl>
      <w:tblPr>
        <w:tblStyle w:val="PlainTable2"/>
        <w:tblW w:w="0" w:type="auto"/>
        <w:tblLook w:val="04A0" w:firstRow="1" w:lastRow="0" w:firstColumn="1" w:lastColumn="0" w:noHBand="0" w:noVBand="1"/>
      </w:tblPr>
      <w:tblGrid>
        <w:gridCol w:w="848"/>
        <w:gridCol w:w="3801"/>
      </w:tblGrid>
      <w:tr w:rsidR="00AE17E5" w:rsidRPr="00352ED4" w14:paraId="1D278275" w14:textId="77777777" w:rsidTr="00BE2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5856555" w14:textId="77777777" w:rsidR="00AE17E5" w:rsidRPr="00352ED4" w:rsidRDefault="00AE17E5" w:rsidP="00BA0276">
            <w:pPr>
              <w:spacing w:line="360" w:lineRule="auto"/>
              <w:jc w:val="center"/>
              <w:rPr>
                <w:rFonts w:ascii="Times New Roman" w:hAnsi="Times New Roman" w:cs="Times New Roman"/>
                <w:bCs w:val="0"/>
                <w:color w:val="000000"/>
                <w:sz w:val="16"/>
                <w:szCs w:val="16"/>
              </w:rPr>
            </w:pPr>
            <w:r w:rsidRPr="00352ED4">
              <w:rPr>
                <w:rFonts w:ascii="Times New Roman" w:hAnsi="Times New Roman" w:cs="Times New Roman"/>
                <w:bCs w:val="0"/>
                <w:color w:val="000000"/>
                <w:sz w:val="16"/>
                <w:szCs w:val="16"/>
              </w:rPr>
              <w:t>Database</w:t>
            </w:r>
          </w:p>
        </w:tc>
        <w:tc>
          <w:tcPr>
            <w:tcW w:w="3801" w:type="dxa"/>
          </w:tcPr>
          <w:p w14:paraId="598D4F49" w14:textId="77777777" w:rsidR="00AE17E5" w:rsidRPr="00352ED4" w:rsidRDefault="00AE17E5" w:rsidP="00BA027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sz w:val="16"/>
                <w:szCs w:val="16"/>
              </w:rPr>
            </w:pPr>
            <w:r w:rsidRPr="00352ED4">
              <w:rPr>
                <w:rFonts w:ascii="Times New Roman" w:hAnsi="Times New Roman" w:cs="Times New Roman"/>
                <w:bCs w:val="0"/>
                <w:color w:val="000000"/>
                <w:sz w:val="16"/>
                <w:szCs w:val="16"/>
              </w:rPr>
              <w:t>Keyword</w:t>
            </w:r>
          </w:p>
        </w:tc>
      </w:tr>
      <w:tr w:rsidR="00AE17E5" w:rsidRPr="00352ED4" w14:paraId="44FBDC2F" w14:textId="77777777" w:rsidTr="00BE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FC47B4E" w14:textId="77777777" w:rsidR="00AE17E5" w:rsidRPr="00352ED4" w:rsidRDefault="00AE17E5"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Pubmed</w:t>
            </w:r>
          </w:p>
        </w:tc>
        <w:tc>
          <w:tcPr>
            <w:tcW w:w="3801" w:type="dxa"/>
          </w:tcPr>
          <w:p w14:paraId="7FBB06AB" w14:textId="77777777" w:rsidR="00AE17E5" w:rsidRPr="00352ED4" w:rsidRDefault="00AE17E5" w:rsidP="00BA02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6"/>
                <w:szCs w:val="16"/>
              </w:rPr>
            </w:pPr>
            <w:r w:rsidRPr="00352ED4">
              <w:rPr>
                <w:rFonts w:ascii="Times New Roman" w:eastAsia="Times New Roman" w:hAnsi="Times New Roman" w:cs="Times New Roman"/>
                <w:color w:val="000000" w:themeColor="text1"/>
                <w:sz w:val="16"/>
                <w:szCs w:val="16"/>
              </w:rPr>
              <w:t>(((((((((((Maternal nutrition[Text Word]) OR (Maternal nutrition[MeSH Terms])) OR (Nutritional status[Text Word])) OR (Nutritional status[MeSH Terms])) AND (Economic Status[Text Word])) OR (Economic Status[MeSH Terms])) OR (Socioeconomic status[Text Word])) OR (Socioeconomic status[MeSH Terms])) AND (Cleft Lip[Text Word] AND Palate[Text Word])) OR (Cleft Lip and Palate[MeSH Terms])) OR (Orofacial cleft[Text Word])) OR (Orofacial cleft[MeSH Terms])</w:t>
            </w:r>
          </w:p>
        </w:tc>
      </w:tr>
      <w:tr w:rsidR="00AE17E5" w:rsidRPr="00352ED4" w14:paraId="3CD810BC" w14:textId="77777777" w:rsidTr="00BE2EBD">
        <w:tc>
          <w:tcPr>
            <w:cnfStyle w:val="001000000000" w:firstRow="0" w:lastRow="0" w:firstColumn="1" w:lastColumn="0" w:oddVBand="0" w:evenVBand="0" w:oddHBand="0" w:evenHBand="0" w:firstRowFirstColumn="0" w:firstRowLastColumn="0" w:lastRowFirstColumn="0" w:lastRowLastColumn="0"/>
            <w:tcW w:w="846" w:type="dxa"/>
          </w:tcPr>
          <w:p w14:paraId="0D3ADFE7" w14:textId="77777777" w:rsidR="00AE17E5" w:rsidRPr="00352ED4" w:rsidRDefault="00BE2EBD"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Cochrane</w:t>
            </w:r>
          </w:p>
        </w:tc>
        <w:tc>
          <w:tcPr>
            <w:tcW w:w="3801" w:type="dxa"/>
          </w:tcPr>
          <w:p w14:paraId="26AC58D1" w14:textId="77777777" w:rsidR="00AE17E5" w:rsidRPr="00352ED4" w:rsidRDefault="00BE2EBD" w:rsidP="00BA02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16"/>
                <w:szCs w:val="16"/>
              </w:rPr>
            </w:pPr>
            <w:r w:rsidRPr="00352ED4">
              <w:rPr>
                <w:rFonts w:ascii="Times New Roman" w:eastAsia="Times New Roman" w:hAnsi="Times New Roman" w:cs="Times New Roman"/>
                <w:color w:val="000000" w:themeColor="text1"/>
                <w:sz w:val="16"/>
                <w:szCs w:val="16"/>
              </w:rPr>
              <w:t>“Maternal nutrition” OR “Nutritional Status” AND “Economic Status” OR “Socioeconomic Status”  AND  “Cleft Lip and Palate” OR “Orofacial cleft”</w:t>
            </w:r>
          </w:p>
        </w:tc>
      </w:tr>
      <w:tr w:rsidR="00AE17E5" w:rsidRPr="00352ED4" w14:paraId="472B7AED" w14:textId="77777777" w:rsidTr="00BE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06C8B9" w14:textId="77777777" w:rsidR="00AE17E5" w:rsidRPr="00352ED4" w:rsidRDefault="00BE2EBD"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Science Direct</w:t>
            </w:r>
          </w:p>
        </w:tc>
        <w:tc>
          <w:tcPr>
            <w:tcW w:w="3801" w:type="dxa"/>
          </w:tcPr>
          <w:p w14:paraId="474F4589" w14:textId="77777777" w:rsidR="00AE17E5" w:rsidRPr="00352ED4" w:rsidRDefault="00BE2EBD" w:rsidP="00BA02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sz w:val="16"/>
                <w:szCs w:val="16"/>
              </w:rPr>
            </w:pPr>
            <w:r w:rsidRPr="00352ED4">
              <w:rPr>
                <w:rFonts w:ascii="Times New Roman" w:eastAsia="Times New Roman" w:hAnsi="Times New Roman" w:cs="Times New Roman"/>
                <w:color w:val="000000" w:themeColor="text1"/>
                <w:sz w:val="16"/>
                <w:szCs w:val="16"/>
              </w:rPr>
              <w:t>“Maternal nutrition” OR “Nutritional Status” AND “Economic Status” OR “Socioeconomic Status”  AND “Cleft Lip and Palate” OR  “Orofacial cleft”</w:t>
            </w:r>
          </w:p>
        </w:tc>
      </w:tr>
      <w:tr w:rsidR="00BE2EBD" w:rsidRPr="00352ED4" w14:paraId="603B1F27" w14:textId="77777777" w:rsidTr="00BE2EBD">
        <w:tc>
          <w:tcPr>
            <w:cnfStyle w:val="001000000000" w:firstRow="0" w:lastRow="0" w:firstColumn="1" w:lastColumn="0" w:oddVBand="0" w:evenVBand="0" w:oddHBand="0" w:evenHBand="0" w:firstRowFirstColumn="0" w:firstRowLastColumn="0" w:lastRowFirstColumn="0" w:lastRowLastColumn="0"/>
            <w:tcW w:w="846" w:type="dxa"/>
          </w:tcPr>
          <w:p w14:paraId="6A17ADFC" w14:textId="77777777" w:rsidR="00BE2EBD" w:rsidRPr="00352ED4" w:rsidRDefault="00BE2EBD"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Google Schoolar</w:t>
            </w:r>
          </w:p>
        </w:tc>
        <w:tc>
          <w:tcPr>
            <w:tcW w:w="3801" w:type="dxa"/>
          </w:tcPr>
          <w:p w14:paraId="297A9F39" w14:textId="77777777" w:rsidR="00BE2EBD" w:rsidRPr="00352ED4" w:rsidRDefault="00BE2EBD" w:rsidP="00BA02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00352ED4">
              <w:rPr>
                <w:rFonts w:ascii="Times New Roman" w:eastAsia="Times New Roman" w:hAnsi="Times New Roman" w:cs="Times New Roman"/>
                <w:color w:val="000000" w:themeColor="text1"/>
                <w:sz w:val="16"/>
                <w:szCs w:val="16"/>
              </w:rPr>
              <w:t>“Maternal nutrition” OR “Nutritional Status” AND “Economic Status” OR “Socioeconomic Status”  AND “Cleft Lip and Palate” OR “Orofacial cleft”</w:t>
            </w:r>
          </w:p>
        </w:tc>
      </w:tr>
    </w:tbl>
    <w:p w14:paraId="57270604" w14:textId="77777777" w:rsidR="00AE17E5" w:rsidRPr="00352ED4" w:rsidRDefault="00AE17E5" w:rsidP="00AE17E5">
      <w:pPr>
        <w:pBdr>
          <w:top w:val="nil"/>
          <w:left w:val="nil"/>
          <w:bottom w:val="nil"/>
          <w:right w:val="nil"/>
          <w:between w:val="nil"/>
        </w:pBdr>
        <w:spacing w:after="0" w:line="240" w:lineRule="auto"/>
        <w:rPr>
          <w:rFonts w:ascii="Times New Roman" w:hAnsi="Times New Roman" w:cs="Times New Roman"/>
          <w:b/>
          <w:color w:val="000000"/>
          <w:sz w:val="18"/>
          <w:szCs w:val="18"/>
        </w:rPr>
      </w:pPr>
    </w:p>
    <w:p w14:paraId="0F1EA20B" w14:textId="77777777" w:rsidR="00B03289" w:rsidRPr="00352ED4" w:rsidRDefault="00BE2EBD" w:rsidP="00B03289">
      <w:pPr>
        <w:pBdr>
          <w:top w:val="nil"/>
          <w:left w:val="nil"/>
          <w:bottom w:val="nil"/>
          <w:right w:val="nil"/>
          <w:between w:val="nil"/>
        </w:pBdr>
        <w:spacing w:after="0" w:line="360" w:lineRule="auto"/>
        <w:jc w:val="both"/>
        <w:rPr>
          <w:rFonts w:ascii="Times New Roman" w:hAnsi="Times New Roman" w:cs="Times New Roman"/>
          <w:color w:val="000000"/>
          <w:sz w:val="20"/>
          <w:szCs w:val="20"/>
        </w:rPr>
      </w:pPr>
      <w:r w:rsidRPr="00352ED4">
        <w:rPr>
          <w:rFonts w:ascii="Times New Roman" w:hAnsi="Times New Roman" w:cs="Times New Roman"/>
          <w:color w:val="000000"/>
          <w:sz w:val="20"/>
          <w:szCs w:val="20"/>
        </w:rPr>
        <w:t>published within the last ten years (2015–2025), written in either Indonesian or English, and met all PECO criteria. The exclusion criteria included literature in the form of editorials, abstracts, letters to the editor, advertisements, case reports, comments, and tutorials.</w:t>
      </w:r>
      <w:r w:rsidR="00B03289" w:rsidRPr="00352ED4">
        <w:rPr>
          <w:rFonts w:ascii="Times New Roman" w:hAnsi="Times New Roman" w:cs="Times New Roman"/>
          <w:color w:val="000000"/>
          <w:sz w:val="20"/>
          <w:szCs w:val="20"/>
        </w:rPr>
        <w:t xml:space="preserve"> The eligibility criteria in this study were determined using the PICO framework (Population, Intervention, Comparison, and Outcome).</w:t>
      </w:r>
    </w:p>
    <w:p w14:paraId="253B4AA0" w14:textId="77777777" w:rsidR="00B03289" w:rsidRPr="00352ED4" w:rsidRDefault="00B03289" w:rsidP="00B03289">
      <w:pPr>
        <w:pBdr>
          <w:top w:val="nil"/>
          <w:left w:val="nil"/>
          <w:bottom w:val="nil"/>
          <w:right w:val="nil"/>
          <w:between w:val="nil"/>
        </w:pBdr>
        <w:spacing w:after="0" w:line="240" w:lineRule="auto"/>
        <w:jc w:val="both"/>
        <w:rPr>
          <w:color w:val="000000" w:themeColor="text1"/>
        </w:rPr>
      </w:pPr>
      <w:r w:rsidRPr="00352ED4">
        <w:rPr>
          <w:color w:val="000000" w:themeColor="text1"/>
        </w:rPr>
        <w:t xml:space="preserve"> </w:t>
      </w:r>
    </w:p>
    <w:p w14:paraId="6EAAB2AA" w14:textId="77777777" w:rsidR="00B03289" w:rsidRPr="00352ED4" w:rsidRDefault="00B03289" w:rsidP="00B03289">
      <w:pPr>
        <w:pBdr>
          <w:top w:val="nil"/>
          <w:left w:val="nil"/>
          <w:bottom w:val="nil"/>
          <w:right w:val="nil"/>
          <w:between w:val="nil"/>
        </w:pBdr>
        <w:spacing w:after="0" w:line="240" w:lineRule="auto"/>
        <w:jc w:val="center"/>
        <w:rPr>
          <w:rFonts w:ascii="Times New Roman" w:hAnsi="Times New Roman" w:cs="Times New Roman"/>
          <w:b/>
          <w:color w:val="000000"/>
          <w:sz w:val="18"/>
          <w:szCs w:val="18"/>
        </w:rPr>
      </w:pPr>
      <w:r w:rsidRPr="00352ED4">
        <w:rPr>
          <w:rFonts w:ascii="Times New Roman" w:hAnsi="Times New Roman" w:cs="Times New Roman"/>
          <w:b/>
          <w:color w:val="000000"/>
          <w:sz w:val="18"/>
          <w:szCs w:val="18"/>
        </w:rPr>
        <w:t>Table 2. Table of PECO</w:t>
      </w:r>
    </w:p>
    <w:tbl>
      <w:tblPr>
        <w:tblStyle w:val="PlainTable2"/>
        <w:tblW w:w="0" w:type="auto"/>
        <w:tblLook w:val="04A0" w:firstRow="1" w:lastRow="0" w:firstColumn="1" w:lastColumn="0" w:noHBand="0" w:noVBand="1"/>
      </w:tblPr>
      <w:tblGrid>
        <w:gridCol w:w="999"/>
        <w:gridCol w:w="3658"/>
      </w:tblGrid>
      <w:tr w:rsidR="00B03289" w:rsidRPr="00352ED4" w14:paraId="5B28B83E" w14:textId="77777777" w:rsidTr="008B2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5951C18" w14:textId="77777777" w:rsidR="00B03289" w:rsidRPr="00352ED4" w:rsidRDefault="00B03289" w:rsidP="00BA0276">
            <w:pPr>
              <w:spacing w:line="360" w:lineRule="auto"/>
              <w:jc w:val="center"/>
              <w:rPr>
                <w:rFonts w:ascii="Times New Roman" w:hAnsi="Times New Roman" w:cs="Times New Roman"/>
                <w:bCs w:val="0"/>
                <w:color w:val="000000"/>
                <w:sz w:val="16"/>
                <w:szCs w:val="16"/>
              </w:rPr>
            </w:pPr>
            <w:r w:rsidRPr="00352ED4">
              <w:rPr>
                <w:rFonts w:ascii="Times New Roman" w:hAnsi="Times New Roman" w:cs="Times New Roman"/>
                <w:bCs w:val="0"/>
                <w:color w:val="000000"/>
                <w:sz w:val="16"/>
                <w:szCs w:val="16"/>
              </w:rPr>
              <w:t xml:space="preserve">PECO </w:t>
            </w:r>
          </w:p>
        </w:tc>
        <w:tc>
          <w:tcPr>
            <w:tcW w:w="3801" w:type="dxa"/>
          </w:tcPr>
          <w:p w14:paraId="646393C4" w14:textId="77777777" w:rsidR="00B03289" w:rsidRPr="00352ED4" w:rsidRDefault="00B03289" w:rsidP="00BA027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sz w:val="16"/>
                <w:szCs w:val="16"/>
              </w:rPr>
            </w:pPr>
            <w:r w:rsidRPr="00352ED4">
              <w:rPr>
                <w:rFonts w:ascii="Times New Roman" w:hAnsi="Times New Roman" w:cs="Times New Roman"/>
                <w:bCs w:val="0"/>
                <w:color w:val="000000"/>
                <w:sz w:val="16"/>
                <w:szCs w:val="16"/>
              </w:rPr>
              <w:t>Keyword</w:t>
            </w:r>
          </w:p>
        </w:tc>
      </w:tr>
      <w:tr w:rsidR="00B03289" w:rsidRPr="00352ED4" w14:paraId="715B254E" w14:textId="77777777" w:rsidTr="008B2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4310DE5" w14:textId="77777777" w:rsidR="00B03289" w:rsidRPr="00352ED4" w:rsidRDefault="00B03289"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Population</w:t>
            </w:r>
          </w:p>
        </w:tc>
        <w:tc>
          <w:tcPr>
            <w:tcW w:w="3801" w:type="dxa"/>
          </w:tcPr>
          <w:p w14:paraId="28EEEF32" w14:textId="77777777" w:rsidR="00B03289" w:rsidRPr="00352ED4" w:rsidRDefault="00B03289" w:rsidP="00BA02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6"/>
                <w:szCs w:val="16"/>
              </w:rPr>
            </w:pPr>
            <w:r w:rsidRPr="00352ED4">
              <w:rPr>
                <w:rFonts w:ascii="Times New Roman" w:eastAsia="Times New Roman" w:hAnsi="Times New Roman" w:cs="Times New Roman"/>
                <w:i/>
                <w:iCs/>
                <w:color w:val="000000" w:themeColor="text1"/>
                <w:sz w:val="16"/>
                <w:szCs w:val="16"/>
              </w:rPr>
              <w:t>Mother with child cleft lip and palate</w:t>
            </w:r>
          </w:p>
        </w:tc>
      </w:tr>
      <w:tr w:rsidR="00B03289" w:rsidRPr="00352ED4" w14:paraId="49BECAF3" w14:textId="77777777" w:rsidTr="008B277F">
        <w:tc>
          <w:tcPr>
            <w:cnfStyle w:val="001000000000" w:firstRow="0" w:lastRow="0" w:firstColumn="1" w:lastColumn="0" w:oddVBand="0" w:evenVBand="0" w:oddHBand="0" w:evenHBand="0" w:firstRowFirstColumn="0" w:firstRowLastColumn="0" w:lastRowFirstColumn="0" w:lastRowLastColumn="0"/>
            <w:tcW w:w="846" w:type="dxa"/>
          </w:tcPr>
          <w:p w14:paraId="50B320DD" w14:textId="77777777" w:rsidR="00B03289" w:rsidRPr="00352ED4" w:rsidRDefault="00B03289"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Intervention</w:t>
            </w:r>
          </w:p>
        </w:tc>
        <w:tc>
          <w:tcPr>
            <w:tcW w:w="3801" w:type="dxa"/>
          </w:tcPr>
          <w:p w14:paraId="03009E1F" w14:textId="77777777" w:rsidR="00B03289" w:rsidRPr="00352ED4" w:rsidRDefault="00B03289" w:rsidP="00BA02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themeColor="text1"/>
                <w:sz w:val="16"/>
                <w:szCs w:val="16"/>
              </w:rPr>
            </w:pPr>
            <w:r w:rsidRPr="00352ED4">
              <w:rPr>
                <w:rFonts w:ascii="Times New Roman" w:eastAsia="Times New Roman" w:hAnsi="Times New Roman" w:cs="Times New Roman"/>
                <w:color w:val="000000" w:themeColor="text1"/>
                <w:sz w:val="16"/>
                <w:szCs w:val="16"/>
              </w:rPr>
              <w:t>“</w:t>
            </w:r>
            <w:r w:rsidRPr="00352ED4">
              <w:rPr>
                <w:rFonts w:ascii="Times New Roman" w:eastAsia="Times New Roman" w:hAnsi="Times New Roman" w:cs="Times New Roman"/>
                <w:i/>
                <w:iCs/>
                <w:color w:val="000000" w:themeColor="text1"/>
                <w:sz w:val="16"/>
                <w:szCs w:val="16"/>
              </w:rPr>
              <w:t>Maternal nutrition</w:t>
            </w:r>
            <w:r w:rsidRPr="00352ED4">
              <w:rPr>
                <w:rFonts w:ascii="Times New Roman" w:eastAsia="Times New Roman" w:hAnsi="Times New Roman" w:cs="Times New Roman"/>
                <w:color w:val="000000" w:themeColor="text1"/>
                <w:sz w:val="16"/>
                <w:szCs w:val="16"/>
              </w:rPr>
              <w:t xml:space="preserve">” </w:t>
            </w:r>
            <w:r w:rsidRPr="00352ED4">
              <w:rPr>
                <w:rFonts w:ascii="Times New Roman" w:eastAsia="Times New Roman" w:hAnsi="Times New Roman" w:cs="Times New Roman"/>
                <w:i/>
                <w:iCs/>
                <w:color w:val="000000" w:themeColor="text1"/>
                <w:sz w:val="16"/>
                <w:szCs w:val="16"/>
              </w:rPr>
              <w:t>OR</w:t>
            </w:r>
            <w:r w:rsidRPr="00352ED4">
              <w:rPr>
                <w:rFonts w:ascii="Times New Roman" w:eastAsia="Times New Roman" w:hAnsi="Times New Roman" w:cs="Times New Roman"/>
                <w:color w:val="000000" w:themeColor="text1"/>
                <w:sz w:val="16"/>
                <w:szCs w:val="16"/>
              </w:rPr>
              <w:t xml:space="preserve"> “</w:t>
            </w:r>
            <w:r w:rsidRPr="00352ED4">
              <w:rPr>
                <w:rFonts w:ascii="Times New Roman" w:eastAsia="Times New Roman" w:hAnsi="Times New Roman" w:cs="Times New Roman"/>
                <w:i/>
                <w:iCs/>
                <w:color w:val="000000" w:themeColor="text1"/>
                <w:sz w:val="16"/>
                <w:szCs w:val="16"/>
              </w:rPr>
              <w:t>Nutritional Status</w:t>
            </w:r>
            <w:r w:rsidRPr="00352ED4">
              <w:rPr>
                <w:rFonts w:ascii="Times New Roman" w:eastAsia="Times New Roman" w:hAnsi="Times New Roman" w:cs="Times New Roman"/>
                <w:color w:val="000000" w:themeColor="text1"/>
                <w:sz w:val="16"/>
                <w:szCs w:val="16"/>
              </w:rPr>
              <w:t xml:space="preserve">” </w:t>
            </w:r>
            <w:r w:rsidRPr="00352ED4">
              <w:rPr>
                <w:rFonts w:ascii="Times New Roman" w:eastAsia="Times New Roman" w:hAnsi="Times New Roman" w:cs="Times New Roman"/>
                <w:i/>
                <w:iCs/>
                <w:color w:val="000000" w:themeColor="text1"/>
                <w:sz w:val="16"/>
                <w:szCs w:val="16"/>
              </w:rPr>
              <w:t>AND</w:t>
            </w:r>
            <w:r w:rsidRPr="00352ED4">
              <w:rPr>
                <w:rFonts w:ascii="Times New Roman" w:eastAsia="Times New Roman" w:hAnsi="Times New Roman" w:cs="Times New Roman"/>
                <w:color w:val="000000" w:themeColor="text1"/>
                <w:sz w:val="16"/>
                <w:szCs w:val="16"/>
              </w:rPr>
              <w:t xml:space="preserve"> “</w:t>
            </w:r>
            <w:r w:rsidRPr="00352ED4">
              <w:rPr>
                <w:rFonts w:ascii="Times New Roman" w:eastAsia="Times New Roman" w:hAnsi="Times New Roman" w:cs="Times New Roman"/>
                <w:i/>
                <w:iCs/>
                <w:color w:val="000000" w:themeColor="text1"/>
                <w:sz w:val="16"/>
                <w:szCs w:val="16"/>
              </w:rPr>
              <w:t>Economic Status</w:t>
            </w:r>
            <w:r w:rsidRPr="00352ED4">
              <w:rPr>
                <w:rFonts w:ascii="Times New Roman" w:eastAsia="Times New Roman" w:hAnsi="Times New Roman" w:cs="Times New Roman"/>
                <w:color w:val="000000" w:themeColor="text1"/>
                <w:sz w:val="16"/>
                <w:szCs w:val="16"/>
              </w:rPr>
              <w:t xml:space="preserve">” </w:t>
            </w:r>
            <w:r w:rsidRPr="00352ED4">
              <w:rPr>
                <w:rFonts w:ascii="Times New Roman" w:eastAsia="Times New Roman" w:hAnsi="Times New Roman" w:cs="Times New Roman"/>
                <w:i/>
                <w:iCs/>
                <w:color w:val="000000" w:themeColor="text1"/>
                <w:sz w:val="16"/>
                <w:szCs w:val="16"/>
              </w:rPr>
              <w:t>OR</w:t>
            </w:r>
            <w:r w:rsidRPr="00352ED4">
              <w:rPr>
                <w:rFonts w:ascii="Times New Roman" w:eastAsia="Times New Roman" w:hAnsi="Times New Roman" w:cs="Times New Roman"/>
                <w:color w:val="000000" w:themeColor="text1"/>
                <w:sz w:val="16"/>
                <w:szCs w:val="16"/>
              </w:rPr>
              <w:t xml:space="preserve"> “Socio economic Status” </w:t>
            </w:r>
            <w:r w:rsidRPr="00352ED4">
              <w:rPr>
                <w:rFonts w:ascii="Times New Roman" w:eastAsia="Times New Roman" w:hAnsi="Times New Roman" w:cs="Times New Roman"/>
                <w:i/>
                <w:iCs/>
                <w:color w:val="000000" w:themeColor="text1"/>
                <w:sz w:val="16"/>
                <w:szCs w:val="16"/>
              </w:rPr>
              <w:t>AND</w:t>
            </w:r>
            <w:r w:rsidRPr="00352ED4">
              <w:rPr>
                <w:rFonts w:ascii="Times New Roman" w:eastAsia="Times New Roman" w:hAnsi="Times New Roman" w:cs="Times New Roman"/>
                <w:color w:val="000000" w:themeColor="text1"/>
                <w:sz w:val="16"/>
                <w:szCs w:val="16"/>
              </w:rPr>
              <w:t xml:space="preserve"> “</w:t>
            </w:r>
            <w:r w:rsidRPr="00352ED4">
              <w:rPr>
                <w:rFonts w:ascii="Times New Roman" w:eastAsia="Times New Roman" w:hAnsi="Times New Roman" w:cs="Times New Roman"/>
                <w:i/>
                <w:iCs/>
                <w:color w:val="000000" w:themeColor="text1"/>
                <w:sz w:val="16"/>
                <w:szCs w:val="16"/>
              </w:rPr>
              <w:t>Cleft lip and Palate</w:t>
            </w:r>
            <w:r w:rsidRPr="00352ED4">
              <w:rPr>
                <w:rFonts w:ascii="Times New Roman" w:eastAsia="Times New Roman" w:hAnsi="Times New Roman" w:cs="Times New Roman"/>
                <w:color w:val="000000" w:themeColor="text1"/>
                <w:sz w:val="16"/>
                <w:szCs w:val="16"/>
              </w:rPr>
              <w:t>”  OR “Orofacial cleft”</w:t>
            </w:r>
          </w:p>
        </w:tc>
      </w:tr>
      <w:tr w:rsidR="00B03289" w:rsidRPr="00352ED4" w14:paraId="7ABB26A3" w14:textId="77777777" w:rsidTr="008B2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77CB541" w14:textId="77777777" w:rsidR="00B03289" w:rsidRPr="00352ED4" w:rsidRDefault="00B03289"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Comparison</w:t>
            </w:r>
          </w:p>
        </w:tc>
        <w:tc>
          <w:tcPr>
            <w:tcW w:w="3801" w:type="dxa"/>
          </w:tcPr>
          <w:p w14:paraId="46425B73" w14:textId="77777777" w:rsidR="00B03289" w:rsidRPr="00352ED4" w:rsidRDefault="00B03289" w:rsidP="00BA02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themeColor="text1"/>
                <w:sz w:val="16"/>
                <w:szCs w:val="16"/>
              </w:rPr>
            </w:pPr>
            <w:r w:rsidRPr="00352ED4">
              <w:rPr>
                <w:rFonts w:ascii="Times New Roman" w:eastAsia="Times New Roman" w:hAnsi="Times New Roman" w:cs="Times New Roman"/>
                <w:i/>
                <w:iCs/>
                <w:color w:val="000000" w:themeColor="text1"/>
                <w:sz w:val="16"/>
                <w:szCs w:val="16"/>
              </w:rPr>
              <w:t>None</w:t>
            </w:r>
          </w:p>
        </w:tc>
      </w:tr>
      <w:tr w:rsidR="00B03289" w:rsidRPr="00352ED4" w14:paraId="5FB9B81B" w14:textId="77777777" w:rsidTr="008B277F">
        <w:tc>
          <w:tcPr>
            <w:cnfStyle w:val="001000000000" w:firstRow="0" w:lastRow="0" w:firstColumn="1" w:lastColumn="0" w:oddVBand="0" w:evenVBand="0" w:oddHBand="0" w:evenHBand="0" w:firstRowFirstColumn="0" w:firstRowLastColumn="0" w:lastRowFirstColumn="0" w:lastRowLastColumn="0"/>
            <w:tcW w:w="846" w:type="dxa"/>
          </w:tcPr>
          <w:p w14:paraId="78C62F93" w14:textId="77777777" w:rsidR="00B03289" w:rsidRPr="00352ED4" w:rsidRDefault="00B03289" w:rsidP="00BA0276">
            <w:pPr>
              <w:spacing w:line="360" w:lineRule="auto"/>
              <w:rPr>
                <w:rFonts w:ascii="Times New Roman" w:hAnsi="Times New Roman" w:cs="Times New Roman"/>
                <w:b w:val="0"/>
                <w:color w:val="000000"/>
                <w:sz w:val="16"/>
                <w:szCs w:val="16"/>
              </w:rPr>
            </w:pPr>
            <w:r w:rsidRPr="00352ED4">
              <w:rPr>
                <w:rFonts w:ascii="Times New Roman" w:hAnsi="Times New Roman" w:cs="Times New Roman"/>
                <w:b w:val="0"/>
                <w:color w:val="000000"/>
                <w:sz w:val="16"/>
                <w:szCs w:val="16"/>
              </w:rPr>
              <w:t xml:space="preserve">Outcome </w:t>
            </w:r>
          </w:p>
        </w:tc>
        <w:tc>
          <w:tcPr>
            <w:tcW w:w="3801" w:type="dxa"/>
          </w:tcPr>
          <w:p w14:paraId="661C1E0D" w14:textId="77777777" w:rsidR="00B03289" w:rsidRPr="00352ED4" w:rsidRDefault="00B03289" w:rsidP="00BA02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themeColor="text1"/>
                <w:sz w:val="16"/>
                <w:szCs w:val="16"/>
              </w:rPr>
            </w:pPr>
            <w:r w:rsidRPr="00352ED4">
              <w:rPr>
                <w:rFonts w:ascii="Times New Roman" w:eastAsia="Times New Roman" w:hAnsi="Times New Roman" w:cs="Times New Roman"/>
                <w:i/>
                <w:iCs/>
                <w:color w:val="000000" w:themeColor="text1"/>
                <w:sz w:val="16"/>
                <w:szCs w:val="16"/>
              </w:rPr>
              <w:t>Incident factors for cleft lip and palate</w:t>
            </w:r>
          </w:p>
        </w:tc>
      </w:tr>
    </w:tbl>
    <w:p w14:paraId="72D8C669" w14:textId="77777777" w:rsidR="00B03289" w:rsidRPr="00352ED4" w:rsidRDefault="00B03289" w:rsidP="00BE2EBD">
      <w:pPr>
        <w:pBdr>
          <w:top w:val="nil"/>
          <w:left w:val="nil"/>
          <w:bottom w:val="nil"/>
          <w:right w:val="nil"/>
          <w:between w:val="nil"/>
        </w:pBdr>
        <w:spacing w:after="0" w:line="240" w:lineRule="auto"/>
        <w:ind w:firstLine="720"/>
        <w:jc w:val="both"/>
        <w:rPr>
          <w:rFonts w:ascii="Times New Roman" w:hAnsi="Times New Roman" w:cs="Times New Roman"/>
          <w:b/>
          <w:color w:val="000000"/>
          <w:sz w:val="20"/>
          <w:szCs w:val="20"/>
        </w:rPr>
      </w:pPr>
    </w:p>
    <w:p w14:paraId="0140ABD9" w14:textId="77777777" w:rsidR="00BA5C80" w:rsidRPr="00352ED4" w:rsidRDefault="00B03289" w:rsidP="00B03289">
      <w:pPr>
        <w:pBdr>
          <w:top w:val="nil"/>
          <w:left w:val="nil"/>
          <w:bottom w:val="nil"/>
          <w:right w:val="nil"/>
          <w:between w:val="nil"/>
        </w:pBdr>
        <w:spacing w:after="0" w:line="240" w:lineRule="auto"/>
        <w:ind w:firstLine="720"/>
        <w:jc w:val="both"/>
        <w:rPr>
          <w:rFonts w:ascii="Times New Roman" w:hAnsi="Times New Roman" w:cs="Times New Roman"/>
          <w:color w:val="000000"/>
          <w:sz w:val="20"/>
          <w:szCs w:val="20"/>
        </w:rPr>
      </w:pPr>
      <w:r w:rsidRPr="00352ED4">
        <w:rPr>
          <w:rFonts w:ascii="Times New Roman" w:hAnsi="Times New Roman" w:cs="Times New Roman"/>
          <w:color w:val="000000"/>
          <w:sz w:val="20"/>
          <w:szCs w:val="20"/>
        </w:rPr>
        <w:t>The procedure for developing the research protocol is illustrated in Figure 1.</w:t>
      </w:r>
    </w:p>
    <w:p w14:paraId="290D677E" w14:textId="77777777" w:rsidR="001D5418" w:rsidRPr="00352ED4" w:rsidRDefault="00BA0276" w:rsidP="001D5418">
      <w:pPr>
        <w:pBdr>
          <w:top w:val="nil"/>
          <w:left w:val="nil"/>
          <w:bottom w:val="nil"/>
          <w:right w:val="nil"/>
          <w:between w:val="nil"/>
        </w:pBdr>
        <w:spacing w:after="0" w:line="240" w:lineRule="auto"/>
        <w:jc w:val="center"/>
        <w:rPr>
          <w:rFonts w:ascii="Times New Roman" w:eastAsia="Times New Roman" w:hAnsi="Times New Roman" w:cs="Times New Roman"/>
          <w:iCs/>
          <w:color w:val="0080FF"/>
          <w:sz w:val="20"/>
          <w:szCs w:val="20"/>
        </w:rPr>
      </w:pPr>
      <w:r w:rsidRPr="00352ED4">
        <w:rPr>
          <w:rFonts w:eastAsiaTheme="majorEastAsia"/>
          <w:noProof/>
          <w:color w:val="000000" w:themeColor="text1"/>
        </w:rPr>
        <w:lastRenderedPageBreak/>
        <w:drawing>
          <wp:inline distT="0" distB="0" distL="0" distR="0" wp14:anchorId="4CB04295" wp14:editId="20F71B15">
            <wp:extent cx="2160916" cy="2227217"/>
            <wp:effectExtent l="0" t="0" r="0" b="0"/>
            <wp:docPr id="6053920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2080" name=""/>
                    <pic:cNvPicPr/>
                  </pic:nvPicPr>
                  <pic:blipFill rotWithShape="1">
                    <a:blip r:embed="rId15"/>
                    <a:srcRect t="7606" r="10710"/>
                    <a:stretch>
                      <a:fillRect/>
                    </a:stretch>
                  </pic:blipFill>
                  <pic:spPr bwMode="auto">
                    <a:xfrm>
                      <a:off x="0" y="0"/>
                      <a:ext cx="2178163" cy="2244993"/>
                    </a:xfrm>
                    <a:prstGeom prst="rect">
                      <a:avLst/>
                    </a:prstGeom>
                    <a:ln>
                      <a:noFill/>
                    </a:ln>
                    <a:extLst>
                      <a:ext uri="{53640926-AAD7-44D8-BBD7-CCE9431645EC}">
                        <a14:shadowObscured xmlns:a14="http://schemas.microsoft.com/office/drawing/2010/main"/>
                      </a:ext>
                    </a:extLst>
                  </pic:spPr>
                </pic:pic>
              </a:graphicData>
            </a:graphic>
          </wp:inline>
        </w:drawing>
      </w:r>
    </w:p>
    <w:p w14:paraId="02482771" w14:textId="77777777" w:rsidR="001D5418" w:rsidRPr="00352ED4" w:rsidRDefault="001D5418" w:rsidP="001D5418">
      <w:pPr>
        <w:pBdr>
          <w:top w:val="nil"/>
          <w:left w:val="nil"/>
          <w:bottom w:val="nil"/>
          <w:right w:val="nil"/>
          <w:between w:val="nil"/>
        </w:pBdr>
        <w:spacing w:after="0" w:line="240" w:lineRule="auto"/>
        <w:jc w:val="center"/>
        <w:rPr>
          <w:rFonts w:ascii="Times New Roman" w:eastAsia="Times New Roman" w:hAnsi="Times New Roman" w:cs="Times New Roman"/>
          <w:b/>
          <w:bCs/>
          <w:color w:val="0080FF"/>
          <w:sz w:val="18"/>
          <w:szCs w:val="18"/>
        </w:rPr>
      </w:pPr>
      <w:r w:rsidRPr="00352ED4">
        <w:rPr>
          <w:rFonts w:ascii="Times New Roman" w:hAnsi="Times New Roman" w:cs="Times New Roman"/>
          <w:b/>
          <w:bCs/>
          <w:color w:val="000000"/>
          <w:sz w:val="18"/>
          <w:szCs w:val="18"/>
        </w:rPr>
        <w:t xml:space="preserve">Figure 1. </w:t>
      </w:r>
      <w:r w:rsidRPr="00352ED4">
        <w:rPr>
          <w:rFonts w:ascii="Times New Roman" w:eastAsia="Times New Roman" w:hAnsi="Times New Roman" w:cs="Times New Roman"/>
          <w:b/>
          <w:bCs/>
          <w:color w:val="000000" w:themeColor="text1"/>
          <w:sz w:val="18"/>
          <w:szCs w:val="18"/>
        </w:rPr>
        <w:t>Alur Preferred Reporting Items for Systemic Reviews and Meta-Analyses</w:t>
      </w:r>
    </w:p>
    <w:p w14:paraId="251DD0CA" w14:textId="77777777" w:rsidR="00BA5C80" w:rsidRPr="00352ED4" w:rsidRDefault="00000000" w:rsidP="00BA0276">
      <w:pPr>
        <w:pBdr>
          <w:top w:val="nil"/>
          <w:left w:val="nil"/>
          <w:bottom w:val="nil"/>
          <w:right w:val="nil"/>
          <w:between w:val="nil"/>
        </w:pBdr>
        <w:spacing w:after="120" w:line="240" w:lineRule="auto"/>
        <w:jc w:val="both"/>
        <w:rPr>
          <w:rFonts w:ascii="Times New Roman" w:eastAsia="Times New Roman" w:hAnsi="Times New Roman" w:cs="Times New Roman"/>
          <w:b/>
          <w:color w:val="17365D"/>
          <w:sz w:val="28"/>
          <w:szCs w:val="28"/>
        </w:rPr>
      </w:pPr>
      <w:r w:rsidRPr="00352ED4">
        <w:rPr>
          <w:rFonts w:ascii="Times New Roman" w:eastAsia="Times New Roman" w:hAnsi="Times New Roman" w:cs="Times New Roman"/>
          <w:b/>
          <w:color w:val="17365D"/>
          <w:sz w:val="28"/>
          <w:szCs w:val="28"/>
        </w:rPr>
        <w:t>Results</w:t>
      </w:r>
    </w:p>
    <w:p w14:paraId="03DF9018" w14:textId="77777777" w:rsidR="00BA5C80" w:rsidRPr="00352ED4" w:rsidRDefault="00BA0276" w:rsidP="00BA027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0"/>
          <w:szCs w:val="20"/>
        </w:rPr>
      </w:pPr>
      <w:r w:rsidRPr="00352ED4">
        <w:rPr>
          <w:rFonts w:ascii="Times New Roman" w:eastAsia="Times New Roman" w:hAnsi="Times New Roman" w:cs="Times New Roman"/>
          <w:color w:val="000000"/>
          <w:sz w:val="20"/>
          <w:szCs w:val="20"/>
        </w:rPr>
        <w:t>Total of 3,437 articles were identified, of which 15 articles met the inclusion criteria and were selected, employing a variety of research methods. Among these, 9 journals discussed maternal environmental factors associated with cleft lip and palate (CLP) in children. Of the nine journals focusing on nutrition, one addressed epigenetic aspects of cleft lip and palate, and two examined the interaction between maternal nutritional and economic status and the occurrence of CLP in children. The remaining six journals focused on maternal economic status, which was found to influence the occurrence of CLP significantly.</w:t>
      </w:r>
    </w:p>
    <w:p w14:paraId="32A7AC1E" w14:textId="77777777" w:rsidR="00BA0276" w:rsidRPr="00352ED4" w:rsidRDefault="00BA0276" w:rsidP="00BA027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0"/>
          <w:szCs w:val="20"/>
        </w:rPr>
      </w:pPr>
    </w:p>
    <w:p w14:paraId="6582D05A" w14:textId="77777777" w:rsidR="00BA0276" w:rsidRPr="00352ED4" w:rsidRDefault="00BA0276" w:rsidP="00BA0276">
      <w:pPr>
        <w:pBdr>
          <w:top w:val="nil"/>
          <w:left w:val="nil"/>
          <w:bottom w:val="nil"/>
          <w:right w:val="nil"/>
          <w:between w:val="nil"/>
        </w:pBdr>
        <w:spacing w:after="0" w:line="240" w:lineRule="auto"/>
        <w:jc w:val="center"/>
        <w:rPr>
          <w:rFonts w:ascii="Times New Roman" w:hAnsi="Times New Roman" w:cs="Times New Roman"/>
          <w:b/>
          <w:color w:val="000000"/>
          <w:sz w:val="18"/>
          <w:szCs w:val="18"/>
        </w:rPr>
      </w:pPr>
      <w:r w:rsidRPr="00352ED4">
        <w:rPr>
          <w:rFonts w:ascii="Times New Roman" w:hAnsi="Times New Roman" w:cs="Times New Roman"/>
          <w:b/>
          <w:color w:val="000000"/>
          <w:sz w:val="18"/>
          <w:szCs w:val="18"/>
        </w:rPr>
        <w:t xml:space="preserve">Table </w:t>
      </w:r>
      <w:r w:rsidR="000A6E06" w:rsidRPr="00352ED4">
        <w:rPr>
          <w:rFonts w:ascii="Times New Roman" w:hAnsi="Times New Roman" w:cs="Times New Roman"/>
          <w:b/>
          <w:color w:val="000000"/>
          <w:sz w:val="18"/>
          <w:szCs w:val="18"/>
        </w:rPr>
        <w:t>3</w:t>
      </w:r>
      <w:r w:rsidRPr="00352ED4">
        <w:rPr>
          <w:rFonts w:ascii="Times New Roman" w:hAnsi="Times New Roman" w:cs="Times New Roman"/>
          <w:b/>
          <w:color w:val="000000"/>
          <w:sz w:val="18"/>
          <w:szCs w:val="18"/>
        </w:rPr>
        <w:t xml:space="preserve">. </w:t>
      </w:r>
      <w:r w:rsidR="000A6E06" w:rsidRPr="00352ED4">
        <w:rPr>
          <w:rFonts w:ascii="Times New Roman" w:hAnsi="Times New Roman" w:cs="Times New Roman"/>
          <w:b/>
          <w:color w:val="000000"/>
          <w:sz w:val="18"/>
          <w:szCs w:val="18"/>
        </w:rPr>
        <w:t>Table Tabulation of Overall Study Results</w:t>
      </w:r>
    </w:p>
    <w:tbl>
      <w:tblPr>
        <w:tblStyle w:val="PlainTable2"/>
        <w:tblW w:w="0" w:type="auto"/>
        <w:tblLayout w:type="fixed"/>
        <w:tblLook w:val="04A0" w:firstRow="1" w:lastRow="0" w:firstColumn="1" w:lastColumn="0" w:noHBand="0" w:noVBand="1"/>
      </w:tblPr>
      <w:tblGrid>
        <w:gridCol w:w="562"/>
        <w:gridCol w:w="1134"/>
        <w:gridCol w:w="1134"/>
        <w:gridCol w:w="1817"/>
      </w:tblGrid>
      <w:tr w:rsidR="000A6E06" w:rsidRPr="00352ED4" w14:paraId="342741DA" w14:textId="77777777" w:rsidTr="00123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67FFFE5" w14:textId="77777777" w:rsidR="000A6E06" w:rsidRPr="00123844" w:rsidRDefault="000A6E06" w:rsidP="000A6E06">
            <w:pPr>
              <w:jc w:val="center"/>
              <w:rPr>
                <w:rFonts w:ascii="Times New Roman" w:hAnsi="Times New Roman" w:cs="Times New Roman"/>
                <w:color w:val="000000" w:themeColor="text1"/>
                <w:sz w:val="16"/>
                <w:szCs w:val="16"/>
              </w:rPr>
            </w:pPr>
            <w:r w:rsidRPr="00123844">
              <w:rPr>
                <w:rFonts w:ascii="Times New Roman" w:hAnsi="Times New Roman" w:cs="Times New Roman"/>
                <w:color w:val="000000" w:themeColor="text1"/>
                <w:sz w:val="16"/>
                <w:szCs w:val="16"/>
              </w:rPr>
              <w:t>No.</w:t>
            </w:r>
          </w:p>
        </w:tc>
        <w:tc>
          <w:tcPr>
            <w:tcW w:w="1134" w:type="dxa"/>
          </w:tcPr>
          <w:p w14:paraId="5788EBA0" w14:textId="77777777" w:rsidR="000A6E06" w:rsidRPr="00123844" w:rsidRDefault="00496A08" w:rsidP="00496A0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123844">
              <w:rPr>
                <w:rFonts w:ascii="Times New Roman" w:hAnsi="Times New Roman" w:cs="Times New Roman"/>
                <w:color w:val="000000"/>
                <w:sz w:val="16"/>
                <w:szCs w:val="16"/>
              </w:rPr>
              <w:t>Author(s) &amp; Year of Publication</w:t>
            </w:r>
          </w:p>
        </w:tc>
        <w:tc>
          <w:tcPr>
            <w:tcW w:w="1134" w:type="dxa"/>
          </w:tcPr>
          <w:p w14:paraId="3AC4477F" w14:textId="77777777" w:rsidR="000A6E06" w:rsidRPr="00123844" w:rsidRDefault="00496A08" w:rsidP="000A6E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123844">
              <w:rPr>
                <w:rFonts w:ascii="Times New Roman" w:hAnsi="Times New Roman" w:cs="Times New Roman"/>
                <w:color w:val="000000"/>
                <w:sz w:val="16"/>
                <w:szCs w:val="16"/>
              </w:rPr>
              <w:t>Title &amp; Method of the Study</w:t>
            </w:r>
          </w:p>
        </w:tc>
        <w:tc>
          <w:tcPr>
            <w:tcW w:w="1817" w:type="dxa"/>
          </w:tcPr>
          <w:p w14:paraId="16F79BF8" w14:textId="77777777" w:rsidR="000A6E06" w:rsidRPr="00123844" w:rsidRDefault="00496A08" w:rsidP="000A6E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123844">
              <w:rPr>
                <w:rFonts w:ascii="Times New Roman" w:hAnsi="Times New Roman" w:cs="Times New Roman"/>
                <w:color w:val="000000"/>
                <w:sz w:val="16"/>
                <w:szCs w:val="16"/>
              </w:rPr>
              <w:t>Study Findings</w:t>
            </w:r>
          </w:p>
        </w:tc>
      </w:tr>
      <w:tr w:rsidR="000A6E06" w:rsidRPr="00352ED4" w14:paraId="6D4556AB"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1609FB"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1.</w:t>
            </w:r>
          </w:p>
        </w:tc>
        <w:tc>
          <w:tcPr>
            <w:tcW w:w="1134" w:type="dxa"/>
          </w:tcPr>
          <w:p w14:paraId="2589CE75"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Xu, D., et al.</w:t>
            </w:r>
          </w:p>
          <w:p w14:paraId="32C2240A"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5CED5CB0"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The Journal of craniofacial surgery; 2018; 29(2): 364–367</w:t>
            </w:r>
          </w:p>
          <w:p w14:paraId="1909A99A"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22BC2E5F"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Country: China </w:t>
            </w:r>
          </w:p>
          <w:p w14:paraId="284BB98C"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C19EAD3"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16" w:tgtFrame="_blank" w:history="1">
              <w:r w:rsidRPr="00352ED4">
                <w:rPr>
                  <w:rStyle w:val="Hyperlink"/>
                  <w:rFonts w:ascii="Times New Roman" w:hAnsi="Times New Roman" w:cs="Times New Roman"/>
                  <w:bCs/>
                  <w:color w:val="000000" w:themeColor="text1"/>
                  <w:sz w:val="16"/>
                  <w:szCs w:val="16"/>
                </w:rPr>
                <w:t>10.1097/SCS.0000000000004214</w:t>
              </w:r>
            </w:hyperlink>
          </w:p>
        </w:tc>
        <w:tc>
          <w:tcPr>
            <w:tcW w:w="1134" w:type="dxa"/>
          </w:tcPr>
          <w:p w14:paraId="09529EFC"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A Study on Environmental Factors for Nonsyndromic Cleft Lip and/or Palate</w:t>
            </w:r>
            <w:r w:rsidR="00496A08" w:rsidRPr="00352ED4">
              <w:rPr>
                <w:rFonts w:ascii="Times New Roman" w:hAnsi="Times New Roman" w:cs="Times New Roman"/>
                <w:bCs/>
                <w:color w:val="000000" w:themeColor="text1"/>
                <w:sz w:val="16"/>
                <w:szCs w:val="16"/>
              </w:rPr>
              <w:t>.</w:t>
            </w:r>
          </w:p>
          <w:p w14:paraId="41A9E69D"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2E00F04D"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 Method: Retrospective case control</w:t>
            </w:r>
          </w:p>
        </w:tc>
        <w:tc>
          <w:tcPr>
            <w:tcW w:w="1817" w:type="dxa"/>
          </w:tcPr>
          <w:p w14:paraId="750F7696" w14:textId="77777777" w:rsidR="000A6E06" w:rsidRPr="00352ED4" w:rsidRDefault="00AC781B"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8"/>
                <w:szCs w:val="18"/>
              </w:rPr>
            </w:pPr>
            <w:r w:rsidRPr="00352ED4">
              <w:rPr>
                <w:rFonts w:ascii="Times New Roman" w:hAnsi="Times New Roman" w:cs="Times New Roman"/>
                <w:bCs/>
                <w:color w:val="000000"/>
                <w:sz w:val="18"/>
                <w:szCs w:val="18"/>
              </w:rPr>
              <w:t>Mothers who consumed sufficient folic acid showed a lower risk of having children with cleft lip and/or palate compared to mothers in the control group (OR = 0.503; p = 0.005). Adequate folic acid intake was significantly more prevalent in the control group (85.6%) than in the case group (75%).</w:t>
            </w:r>
          </w:p>
        </w:tc>
      </w:tr>
      <w:tr w:rsidR="000A6E06" w:rsidRPr="00352ED4" w14:paraId="55B180E2" w14:textId="77777777" w:rsidTr="00123844">
        <w:tc>
          <w:tcPr>
            <w:cnfStyle w:val="001000000000" w:firstRow="0" w:lastRow="0" w:firstColumn="1" w:lastColumn="0" w:oddVBand="0" w:evenVBand="0" w:oddHBand="0" w:evenHBand="0" w:firstRowFirstColumn="0" w:firstRowLastColumn="0" w:lastRowFirstColumn="0" w:lastRowLastColumn="0"/>
            <w:tcW w:w="562" w:type="dxa"/>
          </w:tcPr>
          <w:p w14:paraId="181AD9D5"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2.</w:t>
            </w:r>
          </w:p>
        </w:tc>
        <w:tc>
          <w:tcPr>
            <w:tcW w:w="1134" w:type="dxa"/>
          </w:tcPr>
          <w:p w14:paraId="59236FA8"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Mogess. W. N., &amp; Mihretie, T. B. </w:t>
            </w:r>
          </w:p>
          <w:p w14:paraId="3F7F7179"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173108F3"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PloS one; 2024; 19(4): e0302393. </w:t>
            </w:r>
          </w:p>
          <w:p w14:paraId="4F310B86"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2793E4D4"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Country: Ethiopia </w:t>
            </w:r>
          </w:p>
          <w:p w14:paraId="6FBE67FD"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76A83FFB"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17" w:tgtFrame="_blank" w:history="1">
              <w:r w:rsidRPr="00352ED4">
                <w:rPr>
                  <w:rStyle w:val="Hyperlink"/>
                  <w:rFonts w:ascii="Times New Roman" w:hAnsi="Times New Roman" w:cs="Times New Roman"/>
                  <w:bCs/>
                  <w:color w:val="000000" w:themeColor="text1"/>
                  <w:sz w:val="16"/>
                  <w:szCs w:val="16"/>
                </w:rPr>
                <w:t>10.1371/journal.pone.0302393</w:t>
              </w:r>
            </w:hyperlink>
          </w:p>
        </w:tc>
        <w:tc>
          <w:tcPr>
            <w:tcW w:w="1134" w:type="dxa"/>
          </w:tcPr>
          <w:p w14:paraId="2FAB6FC1"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Prevalence and Associated Factors of Congenital Anomalies in Ethiopia: A Systematic Review and Meta-analysis.</w:t>
            </w:r>
          </w:p>
          <w:p w14:paraId="5EEB046C"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79157DBF"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Method: Systematic </w:t>
            </w:r>
            <w:r w:rsidRPr="00352ED4">
              <w:rPr>
                <w:rFonts w:ascii="Times New Roman" w:hAnsi="Times New Roman" w:cs="Times New Roman"/>
                <w:bCs/>
                <w:color w:val="000000" w:themeColor="text1"/>
                <w:sz w:val="16"/>
                <w:szCs w:val="16"/>
              </w:rPr>
              <w:t>review and meta-analysis</w:t>
            </w:r>
          </w:p>
        </w:tc>
        <w:tc>
          <w:tcPr>
            <w:tcW w:w="1817" w:type="dxa"/>
          </w:tcPr>
          <w:p w14:paraId="4885F269" w14:textId="77777777" w:rsidR="000A6E06" w:rsidRPr="00352ED4" w:rsidRDefault="00D55111"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sz w:val="16"/>
                <w:szCs w:val="16"/>
              </w:rPr>
              <w:t>A review of 18 studies reported a combined congenital anomaly prevalence of 2% in Ethiopia, with neural tube defects being the most common (48%), followed by orofacial clefts (19%), musculoskeletal defects, and others. Significant risk factors included maternal alcohol consumption, inadequate folic acid supplementation, medication use, khat chewing, pesticide exposure, and pregnancy-related health complications.</w:t>
            </w:r>
          </w:p>
        </w:tc>
      </w:tr>
      <w:tr w:rsidR="000A6E06" w:rsidRPr="00352ED4" w14:paraId="5BA81AE4"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5AA36AB"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3.</w:t>
            </w:r>
          </w:p>
        </w:tc>
        <w:tc>
          <w:tcPr>
            <w:tcW w:w="1134" w:type="dxa"/>
          </w:tcPr>
          <w:p w14:paraId="3E000C6C"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Hao, Y., et al. </w:t>
            </w:r>
          </w:p>
          <w:p w14:paraId="22E95DF5"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6DC647DC"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Nutrients; 2015; 7(9): 7172–7184</w:t>
            </w:r>
          </w:p>
          <w:p w14:paraId="6ABFA42D"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550A49DB"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Country: China </w:t>
            </w:r>
          </w:p>
          <w:p w14:paraId="06C04BE6"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1A2C7B44"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18" w:tgtFrame="_blank" w:history="1">
              <w:r w:rsidRPr="00352ED4">
                <w:rPr>
                  <w:rStyle w:val="Hyperlink"/>
                  <w:rFonts w:ascii="Times New Roman" w:hAnsi="Times New Roman" w:cs="Times New Roman"/>
                  <w:bCs/>
                  <w:color w:val="000000" w:themeColor="text1"/>
                  <w:sz w:val="16"/>
                  <w:szCs w:val="16"/>
                </w:rPr>
                <w:t>10.3390/nu7095328</w:t>
              </w:r>
            </w:hyperlink>
          </w:p>
        </w:tc>
        <w:tc>
          <w:tcPr>
            <w:tcW w:w="1134" w:type="dxa"/>
          </w:tcPr>
          <w:p w14:paraId="3781A8D5"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Association of Parental Environmental Exposures and Supplementation Intake with Risk of Nonsyndromic Orofacial Clefts: A Case-Control Study in Heilongjiang Province</w:t>
            </w:r>
            <w:r w:rsidR="00496A08" w:rsidRPr="00352ED4">
              <w:rPr>
                <w:rFonts w:ascii="Times New Roman" w:hAnsi="Times New Roman" w:cs="Times New Roman"/>
                <w:bCs/>
                <w:color w:val="000000" w:themeColor="text1"/>
                <w:sz w:val="16"/>
                <w:szCs w:val="16"/>
              </w:rPr>
              <w:t>.</w:t>
            </w:r>
          </w:p>
          <w:p w14:paraId="0436D803"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47099C64"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Retrospective Case Control</w:t>
            </w:r>
          </w:p>
        </w:tc>
        <w:tc>
          <w:tcPr>
            <w:tcW w:w="1817" w:type="dxa"/>
          </w:tcPr>
          <w:p w14:paraId="56C19619" w14:textId="77777777" w:rsidR="000A6E06" w:rsidRPr="00352ED4" w:rsidRDefault="00AC781B"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sz w:val="16"/>
                <w:szCs w:val="16"/>
              </w:rPr>
              <w:t>Mothers who consumed sufficient folic acid had a significantly lower risk of having children with cleft lip and/or palate (OR = 0.43; p = 0.025), while the association with cleft palate alone was not statistically significant (OR = 0.69; p = 0.431).</w:t>
            </w:r>
            <w:r w:rsidR="00AA5191" w:rsidRPr="00352ED4">
              <w:rPr>
                <w:rFonts w:ascii="Times New Roman" w:hAnsi="Times New Roman" w:cs="Times New Roman"/>
                <w:bCs/>
                <w:color w:val="000000"/>
                <w:sz w:val="16"/>
                <w:szCs w:val="16"/>
              </w:rPr>
              <w:t xml:space="preserve"> Then, mothers with low income (&lt;10,000 yuan/year) had a significantly higher risk of having children with nonsyndromic orofacial clefts, whereas higher maternal income (&gt;30,000 yuan/year) was associated with a markedly lower risk, with all differences statistically significant (p &lt; 0.001).</w:t>
            </w:r>
          </w:p>
        </w:tc>
      </w:tr>
      <w:tr w:rsidR="000A6E06" w:rsidRPr="00352ED4" w14:paraId="3D6AB5CA" w14:textId="77777777" w:rsidTr="00123844">
        <w:tc>
          <w:tcPr>
            <w:cnfStyle w:val="001000000000" w:firstRow="0" w:lastRow="0" w:firstColumn="1" w:lastColumn="0" w:oddVBand="0" w:evenVBand="0" w:oddHBand="0" w:evenHBand="0" w:firstRowFirstColumn="0" w:firstRowLastColumn="0" w:lastRowFirstColumn="0" w:lastRowLastColumn="0"/>
            <w:tcW w:w="562" w:type="dxa"/>
          </w:tcPr>
          <w:p w14:paraId="5B1C868D"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4.</w:t>
            </w:r>
          </w:p>
        </w:tc>
        <w:tc>
          <w:tcPr>
            <w:tcW w:w="1134" w:type="dxa"/>
          </w:tcPr>
          <w:p w14:paraId="7062B460"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Bezerra, J., et al.</w:t>
            </w:r>
          </w:p>
          <w:p w14:paraId="15AEA8F6"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68949000"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Oral diseases; 2015; 21(3): 393–399. </w:t>
            </w:r>
          </w:p>
          <w:p w14:paraId="26653767"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140B375F"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Country: Brazil </w:t>
            </w:r>
          </w:p>
          <w:p w14:paraId="0D57FFE5"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0400B981"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19" w:tgtFrame="_blank" w:history="1">
              <w:r w:rsidRPr="00352ED4">
                <w:rPr>
                  <w:rStyle w:val="Hyperlink"/>
                  <w:rFonts w:ascii="Times New Roman" w:hAnsi="Times New Roman" w:cs="Times New Roman"/>
                  <w:bCs/>
                  <w:color w:val="000000" w:themeColor="text1"/>
                  <w:sz w:val="16"/>
                  <w:szCs w:val="16"/>
                </w:rPr>
                <w:t>10.1111/odi.12292</w:t>
              </w:r>
            </w:hyperlink>
          </w:p>
        </w:tc>
        <w:tc>
          <w:tcPr>
            <w:tcW w:w="1134" w:type="dxa"/>
          </w:tcPr>
          <w:p w14:paraId="2AD93E04"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Genetic and Non-genetic Factors that Increase The Risk of Non-Syndromic Cleft Lip and/or Palate Development.</w:t>
            </w:r>
          </w:p>
          <w:p w14:paraId="6B2CE31C"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3411AA33"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Retrospective Case Control</w:t>
            </w:r>
          </w:p>
        </w:tc>
        <w:tc>
          <w:tcPr>
            <w:tcW w:w="1817" w:type="dxa"/>
          </w:tcPr>
          <w:p w14:paraId="24BB3847" w14:textId="77777777" w:rsidR="000A6E06" w:rsidRPr="00352ED4" w:rsidRDefault="00AC781B"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sz w:val="16"/>
                <w:szCs w:val="16"/>
              </w:rPr>
              <w:t>Mothers with insufficient folic acid intake had a significantly higher risk of having children with nonsyndromic cleft lip and/or palate (OR = 2.18; p = 0.003).</w:t>
            </w:r>
          </w:p>
        </w:tc>
      </w:tr>
      <w:tr w:rsidR="000A6E06" w:rsidRPr="00352ED4" w14:paraId="7A41D89F"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1CCD07D"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5.</w:t>
            </w:r>
          </w:p>
        </w:tc>
        <w:tc>
          <w:tcPr>
            <w:tcW w:w="1134" w:type="dxa"/>
          </w:tcPr>
          <w:p w14:paraId="69671789"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Munger, R. G., et al.</w:t>
            </w:r>
          </w:p>
          <w:p w14:paraId="32FED197"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4BB5A21"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The Cleft palate-craniofacial journal : official publication of the American Cleft Palate-Craniofacial Association; 2021; 58(5): 567–576. </w:t>
            </w:r>
          </w:p>
          <w:p w14:paraId="527DA0BE"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388C837F"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Country: India</w:t>
            </w:r>
          </w:p>
          <w:p w14:paraId="019D7D40"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11DAB920"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20" w:tgtFrame="_blank" w:history="1">
              <w:r w:rsidRPr="00352ED4">
                <w:rPr>
                  <w:rStyle w:val="Hyperlink"/>
                  <w:rFonts w:ascii="Times New Roman" w:hAnsi="Times New Roman" w:cs="Times New Roman"/>
                  <w:bCs/>
                  <w:color w:val="000000" w:themeColor="text1"/>
                  <w:sz w:val="16"/>
                  <w:szCs w:val="16"/>
                </w:rPr>
                <w:t>10.1177/1055665621998394</w:t>
              </w:r>
            </w:hyperlink>
          </w:p>
        </w:tc>
        <w:tc>
          <w:tcPr>
            <w:tcW w:w="1134" w:type="dxa"/>
          </w:tcPr>
          <w:p w14:paraId="0EFCAEEF"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Maternal Vitamin B</w:t>
            </w:r>
            <w:r w:rsidRPr="00352ED4">
              <w:rPr>
                <w:rFonts w:ascii="Times New Roman" w:hAnsi="Times New Roman" w:cs="Times New Roman"/>
                <w:bCs/>
                <w:color w:val="000000" w:themeColor="text1"/>
                <w:sz w:val="16"/>
                <w:szCs w:val="16"/>
                <w:vertAlign w:val="subscript"/>
              </w:rPr>
              <w:t>12</w:t>
            </w:r>
            <w:r w:rsidRPr="00352ED4">
              <w:rPr>
                <w:rFonts w:ascii="Times New Roman" w:hAnsi="Times New Roman" w:cs="Times New Roman"/>
                <w:bCs/>
                <w:color w:val="000000" w:themeColor="text1"/>
                <w:sz w:val="16"/>
                <w:szCs w:val="16"/>
              </w:rPr>
              <w:t>Status and Risk of Cleft Lip and Cleft Palate Birth Defects in Tamil Nadu State, India.</w:t>
            </w:r>
          </w:p>
          <w:p w14:paraId="0ECFCF8C"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5559D8FB"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Retrospective Case Control</w:t>
            </w:r>
          </w:p>
        </w:tc>
        <w:tc>
          <w:tcPr>
            <w:tcW w:w="1817" w:type="dxa"/>
          </w:tcPr>
          <w:p w14:paraId="72E5F055" w14:textId="77777777" w:rsidR="000A6E06" w:rsidRPr="00352ED4" w:rsidRDefault="00AC781B"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sz w:val="16"/>
                <w:szCs w:val="16"/>
              </w:rPr>
              <w:t>Mothers with insufficient folic acid (B9) and vitamin B12 intake had a higher risk of having children with cleft lip and/or palate, with odds ratios of 2.87 and 2.48, respectively.</w:t>
            </w:r>
          </w:p>
        </w:tc>
      </w:tr>
      <w:tr w:rsidR="000A6E06" w:rsidRPr="00352ED4" w14:paraId="7EC6160A" w14:textId="77777777" w:rsidTr="00123844">
        <w:tc>
          <w:tcPr>
            <w:cnfStyle w:val="001000000000" w:firstRow="0" w:lastRow="0" w:firstColumn="1" w:lastColumn="0" w:oddVBand="0" w:evenVBand="0" w:oddHBand="0" w:evenHBand="0" w:firstRowFirstColumn="0" w:firstRowLastColumn="0" w:lastRowFirstColumn="0" w:lastRowLastColumn="0"/>
            <w:tcW w:w="562" w:type="dxa"/>
          </w:tcPr>
          <w:p w14:paraId="4B2053C2" w14:textId="77777777" w:rsidR="000A6E06" w:rsidRPr="00123844" w:rsidRDefault="000A6E06" w:rsidP="000A6E06">
            <w:pPr>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6.</w:t>
            </w:r>
          </w:p>
        </w:tc>
        <w:tc>
          <w:tcPr>
            <w:tcW w:w="1134" w:type="dxa"/>
          </w:tcPr>
          <w:p w14:paraId="323A0707"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Jahanbin, A., et al.</w:t>
            </w:r>
          </w:p>
          <w:p w14:paraId="772C714E"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7F03AE66"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The Journal of craniofacial surgery; 2018; 29(6): e534–e541.</w:t>
            </w:r>
          </w:p>
          <w:p w14:paraId="4B468301"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6B1C9241"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Country: India</w:t>
            </w:r>
          </w:p>
          <w:p w14:paraId="4223C019"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708D5BEA"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lastRenderedPageBreak/>
              <w:t>DOI: </w:t>
            </w:r>
            <w:hyperlink r:id="rId21" w:tgtFrame="_blank" w:history="1">
              <w:r w:rsidRPr="00352ED4">
                <w:rPr>
                  <w:rStyle w:val="Hyperlink"/>
                  <w:rFonts w:ascii="Times New Roman" w:hAnsi="Times New Roman" w:cs="Times New Roman"/>
                  <w:bCs/>
                  <w:color w:val="000000" w:themeColor="text1"/>
                  <w:sz w:val="16"/>
                  <w:szCs w:val="16"/>
                </w:rPr>
                <w:t>10.1097/SCS.0000000000004488</w:t>
              </w:r>
            </w:hyperlink>
          </w:p>
        </w:tc>
        <w:tc>
          <w:tcPr>
            <w:tcW w:w="1134" w:type="dxa"/>
          </w:tcPr>
          <w:p w14:paraId="7A0C223B"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lastRenderedPageBreak/>
              <w:t>Maternal Folic Acid Supplementation and the Risk of Oral Clefts in Offspring.</w:t>
            </w:r>
          </w:p>
          <w:p w14:paraId="3E8A25F3"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54DEA023"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Meta-analysis</w:t>
            </w:r>
          </w:p>
        </w:tc>
        <w:tc>
          <w:tcPr>
            <w:tcW w:w="1817" w:type="dxa"/>
          </w:tcPr>
          <w:p w14:paraId="7BB235C7" w14:textId="77777777" w:rsidR="000A6E06" w:rsidRPr="00352ED4" w:rsidRDefault="00D55111"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sz w:val="16"/>
                <w:szCs w:val="16"/>
              </w:rPr>
              <w:t xml:space="preserve">A meta-analysis of 6 cohort and 31 case–control studies from 1,630 identified articles found that mothers who began folic acid supplementation before pregnancy and continued through the first trimester had a lower risk of having children with CL/P, while </w:t>
            </w:r>
            <w:r w:rsidRPr="00352ED4">
              <w:rPr>
                <w:rFonts w:ascii="Times New Roman" w:hAnsi="Times New Roman" w:cs="Times New Roman"/>
                <w:bCs/>
                <w:color w:val="000000"/>
                <w:sz w:val="16"/>
                <w:szCs w:val="16"/>
              </w:rPr>
              <w:lastRenderedPageBreak/>
              <w:t>preconception multivitamin use showed an even stronger protective effect, likely due to synergistic B vitamins. Early supplementation also reflects good primary maternal health behavior.</w:t>
            </w:r>
          </w:p>
        </w:tc>
      </w:tr>
      <w:tr w:rsidR="000A6E06" w:rsidRPr="00352ED4" w14:paraId="3A9B6655"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487C7D"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lastRenderedPageBreak/>
              <w:t>7.</w:t>
            </w:r>
          </w:p>
        </w:tc>
        <w:tc>
          <w:tcPr>
            <w:tcW w:w="1134" w:type="dxa"/>
          </w:tcPr>
          <w:p w14:paraId="47DC8ED1"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Wilson, R., &amp; O’Connor, D.</w:t>
            </w:r>
          </w:p>
          <w:p w14:paraId="735FC5BC"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3C31A705"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Preventive medicine reports; 2021; 24: 101617. </w:t>
            </w:r>
          </w:p>
          <w:p w14:paraId="57E1500B"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9C89F0B"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Country: Canada</w:t>
            </w:r>
          </w:p>
          <w:p w14:paraId="208A5C2A"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6FE71C6"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22" w:tgtFrame="_blank" w:history="1">
              <w:r w:rsidRPr="00352ED4">
                <w:rPr>
                  <w:rStyle w:val="Hyperlink"/>
                  <w:rFonts w:ascii="Times New Roman" w:hAnsi="Times New Roman" w:cs="Times New Roman"/>
                  <w:bCs/>
                  <w:color w:val="000000" w:themeColor="text1"/>
                  <w:sz w:val="16"/>
                  <w:szCs w:val="16"/>
                </w:rPr>
                <w:t>10.1016/j.pmedr.2021.101617</w:t>
              </w:r>
            </w:hyperlink>
            <w:r w:rsidRPr="00352ED4">
              <w:rPr>
                <w:rFonts w:ascii="Times New Roman" w:hAnsi="Times New Roman" w:cs="Times New Roman"/>
                <w:bCs/>
                <w:color w:val="000000" w:themeColor="text1"/>
                <w:sz w:val="16"/>
                <w:szCs w:val="16"/>
              </w:rPr>
              <w:t xml:space="preserve"> </w:t>
            </w:r>
          </w:p>
        </w:tc>
        <w:tc>
          <w:tcPr>
            <w:tcW w:w="1134" w:type="dxa"/>
          </w:tcPr>
          <w:p w14:paraId="1A5FB3D1"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Maternal Folic Acid and Multivitamin Supplementation: International Clinical Evidence with Considerations for The Prevention of Folate-sensitive Birth Defects.</w:t>
            </w:r>
          </w:p>
          <w:p w14:paraId="64820834"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6B81A454"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Artikel Review dengan (QI) (SQUIRE 2.0)</w:t>
            </w:r>
          </w:p>
        </w:tc>
        <w:tc>
          <w:tcPr>
            <w:tcW w:w="1817" w:type="dxa"/>
          </w:tcPr>
          <w:p w14:paraId="678A2ADE" w14:textId="77777777" w:rsidR="000A6E06" w:rsidRPr="00352ED4" w:rsidRDefault="00D55111" w:rsidP="00D55111">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16"/>
                <w:szCs w:val="16"/>
              </w:rPr>
            </w:pPr>
            <w:r w:rsidRPr="00352ED4">
              <w:rPr>
                <w:rFonts w:ascii="Times New Roman" w:hAnsi="Times New Roman"/>
                <w:bCs/>
                <w:color w:val="000000"/>
                <w:sz w:val="16"/>
                <w:szCs w:val="16"/>
              </w:rPr>
              <w:t>Inadequate one-carbon metabolism due to nutritional deficiencies can disrupt fetal development and increase the risk of congenital anomalies. Effective prevention of folate-sensitive defects (such as NTDs and CL/P) requires adequate support of one-carbon cofactors (B9, B12, B6, choline, betaine), while the effectiveness of maternal folic acid supplementation depends on factors such as dose, supplement type, bioavailability, timing, metabolism, and maternal genetics.</w:t>
            </w:r>
          </w:p>
        </w:tc>
      </w:tr>
      <w:tr w:rsidR="000A6E06" w:rsidRPr="00352ED4" w14:paraId="02E7F68A" w14:textId="77777777" w:rsidTr="00123844">
        <w:tc>
          <w:tcPr>
            <w:cnfStyle w:val="001000000000" w:firstRow="0" w:lastRow="0" w:firstColumn="1" w:lastColumn="0" w:oddVBand="0" w:evenVBand="0" w:oddHBand="0" w:evenHBand="0" w:firstRowFirstColumn="0" w:firstRowLastColumn="0" w:lastRowFirstColumn="0" w:lastRowLastColumn="0"/>
            <w:tcW w:w="562" w:type="dxa"/>
          </w:tcPr>
          <w:p w14:paraId="76B1A2FE"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8.</w:t>
            </w:r>
          </w:p>
        </w:tc>
        <w:tc>
          <w:tcPr>
            <w:tcW w:w="1134" w:type="dxa"/>
          </w:tcPr>
          <w:p w14:paraId="17C6DB7E"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Rocha, C. S. M., et al.</w:t>
            </w:r>
          </w:p>
          <w:p w14:paraId="42DF35EF"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0824DE68"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Journal of plastic, reconstructive &amp; aesthetic surgery : JPRAS; 2024; 94: 169–177.</w:t>
            </w:r>
          </w:p>
          <w:p w14:paraId="0974E153"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63F4E0B3"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Country: Brazil</w:t>
            </w:r>
          </w:p>
          <w:p w14:paraId="445D3208"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4655322D"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23" w:tgtFrame="_blank" w:history="1">
              <w:r w:rsidRPr="00352ED4">
                <w:rPr>
                  <w:rStyle w:val="Hyperlink"/>
                  <w:rFonts w:ascii="Times New Roman" w:hAnsi="Times New Roman" w:cs="Times New Roman"/>
                  <w:bCs/>
                  <w:color w:val="000000" w:themeColor="text1"/>
                  <w:sz w:val="16"/>
                  <w:szCs w:val="16"/>
                </w:rPr>
                <w:t>10.1016/j.bjps.2024.05.015</w:t>
              </w:r>
            </w:hyperlink>
          </w:p>
        </w:tc>
        <w:tc>
          <w:tcPr>
            <w:tcW w:w="1134" w:type="dxa"/>
          </w:tcPr>
          <w:p w14:paraId="4D72B6F2"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Predisposing Risk Factors for Cleft Lip and Palate in an Amazonian Population by Focusing on Nutritional Factors: A Case-control Study.</w:t>
            </w:r>
          </w:p>
          <w:p w14:paraId="44E15082"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12DA68F7"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Retrospective Case Control</w:t>
            </w:r>
          </w:p>
        </w:tc>
        <w:tc>
          <w:tcPr>
            <w:tcW w:w="1817" w:type="dxa"/>
          </w:tcPr>
          <w:p w14:paraId="5FF9881F" w14:textId="77777777" w:rsidR="000A6E06" w:rsidRPr="00352ED4" w:rsidRDefault="00AC781B" w:rsidP="00532B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sz w:val="16"/>
                <w:szCs w:val="16"/>
              </w:rPr>
              <w:t>Sufficient maternal intake of vitamin B6, folic acid (B9), and vitamin B12 was not significantly associated with the risk of cleft lip and/or palate, as indicated by odds ratios close to 1 and non-significant p-values.</w:t>
            </w:r>
          </w:p>
        </w:tc>
      </w:tr>
      <w:tr w:rsidR="000A6E06" w:rsidRPr="00352ED4" w14:paraId="6B7DA597"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E9C77B"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9.</w:t>
            </w:r>
          </w:p>
        </w:tc>
        <w:tc>
          <w:tcPr>
            <w:tcW w:w="1134" w:type="dxa"/>
          </w:tcPr>
          <w:p w14:paraId="7E9667C3"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Astriningrum, E. P., Hardinsyah, H., &amp; Nurdin, N. M. </w:t>
            </w:r>
          </w:p>
          <w:p w14:paraId="6B17AFE1"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06C33750"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Journal of Gizi Pangan; 2017; 12(1): 31-40. </w:t>
            </w:r>
          </w:p>
          <w:p w14:paraId="0A2DB32F"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163FD19E"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Country: Indonesia</w:t>
            </w:r>
          </w:p>
          <w:p w14:paraId="29594F13"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623B59FA"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10.25182/jgp.2017.12.1.31-40</w:t>
            </w:r>
          </w:p>
        </w:tc>
        <w:tc>
          <w:tcPr>
            <w:tcW w:w="1134" w:type="dxa"/>
          </w:tcPr>
          <w:p w14:paraId="19F7B001"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iCs/>
                <w:color w:val="000000" w:themeColor="text1"/>
                <w:sz w:val="16"/>
                <w:szCs w:val="16"/>
              </w:rPr>
            </w:pPr>
            <w:r w:rsidRPr="00352ED4">
              <w:rPr>
                <w:rFonts w:ascii="Times New Roman" w:hAnsi="Times New Roman" w:cs="Times New Roman"/>
                <w:bCs/>
                <w:i/>
                <w:iCs/>
                <w:color w:val="000000" w:themeColor="text1"/>
                <w:sz w:val="16"/>
                <w:szCs w:val="16"/>
              </w:rPr>
              <w:t>Asupan Asam Folat, Vitamin B12 dan Vitamin C pada Ibu Hamil di Indonesia Berdasarkan Studi Diet Total.</w:t>
            </w:r>
          </w:p>
          <w:p w14:paraId="4E27C438"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669F787A"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Cross sectional</w:t>
            </w:r>
          </w:p>
        </w:tc>
        <w:tc>
          <w:tcPr>
            <w:tcW w:w="1817" w:type="dxa"/>
          </w:tcPr>
          <w:p w14:paraId="0EDDBBE3" w14:textId="77777777" w:rsidR="000A6E06" w:rsidRPr="00352ED4" w:rsidRDefault="00D55111" w:rsidP="00532B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Pregnant women from low economic status households experienced substantial micronutrient deficiencies, with 198 out of 216 mothers (91.7%) being deficient in folic acid (vitamin B9) and 12 out of 126 mothers (9.5%) showing vitamin B12 deficiency, highlighting the strong link between socioeconomic disadvantage and inadequate maternal nutritional intake.</w:t>
            </w:r>
          </w:p>
        </w:tc>
      </w:tr>
      <w:tr w:rsidR="000A6E06" w:rsidRPr="00352ED4" w14:paraId="56D7FE0A" w14:textId="77777777" w:rsidTr="00123844">
        <w:tc>
          <w:tcPr>
            <w:cnfStyle w:val="001000000000" w:firstRow="0" w:lastRow="0" w:firstColumn="1" w:lastColumn="0" w:oddVBand="0" w:evenVBand="0" w:oddHBand="0" w:evenHBand="0" w:firstRowFirstColumn="0" w:firstRowLastColumn="0" w:lastRowFirstColumn="0" w:lastRowLastColumn="0"/>
            <w:tcW w:w="562" w:type="dxa"/>
          </w:tcPr>
          <w:p w14:paraId="4E467F8D" w14:textId="77777777" w:rsidR="000A6E06" w:rsidRPr="00123844" w:rsidRDefault="000A6E06" w:rsidP="000A6E06">
            <w:pPr>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10.</w:t>
            </w:r>
          </w:p>
        </w:tc>
        <w:tc>
          <w:tcPr>
            <w:tcW w:w="1134" w:type="dxa"/>
          </w:tcPr>
          <w:p w14:paraId="01981B12"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Kruppa, K., et al.</w:t>
            </w:r>
          </w:p>
          <w:p w14:paraId="435322A8"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67656BCF"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The Cleft palate-craniofacial journal : official publication of the American </w:t>
            </w:r>
            <w:r w:rsidRPr="00352ED4">
              <w:rPr>
                <w:rFonts w:ascii="Times New Roman" w:hAnsi="Times New Roman" w:cs="Times New Roman"/>
                <w:bCs/>
                <w:color w:val="000000" w:themeColor="text1"/>
                <w:sz w:val="16"/>
                <w:szCs w:val="16"/>
              </w:rPr>
              <w:t>Cleft Palate-Craniofacial Association; 2022; 59(5): 568–576. </w:t>
            </w:r>
          </w:p>
          <w:p w14:paraId="38E5D544"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64336F36"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Country: America </w:t>
            </w:r>
          </w:p>
          <w:p w14:paraId="243E5ED5"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07C8E0A8"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24" w:tgtFrame="_blank" w:history="1">
              <w:r w:rsidRPr="00352ED4">
                <w:rPr>
                  <w:rStyle w:val="Hyperlink"/>
                  <w:rFonts w:ascii="Times New Roman" w:hAnsi="Times New Roman" w:cs="Times New Roman"/>
                  <w:bCs/>
                  <w:color w:val="000000" w:themeColor="text1"/>
                  <w:sz w:val="16"/>
                  <w:szCs w:val="16"/>
                </w:rPr>
                <w:t>10.1177/10556656211018952</w:t>
              </w:r>
            </w:hyperlink>
          </w:p>
        </w:tc>
        <w:tc>
          <w:tcPr>
            <w:tcW w:w="1134" w:type="dxa"/>
          </w:tcPr>
          <w:p w14:paraId="405F4740" w14:textId="77777777" w:rsidR="000A6E06" w:rsidRPr="00352ED4" w:rsidRDefault="000A6E06"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Cleft Lip and/or Palate and Associated Risks in Lower-Middle-Income Countries: A Systematic Review. </w:t>
            </w:r>
          </w:p>
          <w:p w14:paraId="223D4143" w14:textId="77777777" w:rsidR="00496A08" w:rsidRPr="00352ED4" w:rsidRDefault="00496A08"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22FD671B" w14:textId="77777777" w:rsidR="00496A08" w:rsidRPr="00352ED4" w:rsidRDefault="00496A08" w:rsidP="000A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Systematic Review</w:t>
            </w:r>
          </w:p>
        </w:tc>
        <w:tc>
          <w:tcPr>
            <w:tcW w:w="1817" w:type="dxa"/>
          </w:tcPr>
          <w:p w14:paraId="6E694063" w14:textId="77777777" w:rsidR="000A6E06" w:rsidRPr="00352ED4" w:rsidRDefault="00532B51" w:rsidP="00532B51">
            <w:pPr>
              <w:pStyle w:val="NormalWeb"/>
              <w:jc w:val="both"/>
              <w:cnfStyle w:val="000000000000" w:firstRow="0" w:lastRow="0" w:firstColumn="0" w:lastColumn="0" w:oddVBand="0" w:evenVBand="0" w:oddHBand="0" w:evenHBand="0" w:firstRowFirstColumn="0" w:firstRowLastColumn="0" w:lastRowFirstColumn="0" w:lastRowLastColumn="0"/>
              <w:rPr>
                <w:bCs/>
                <w:color w:val="000000"/>
                <w:sz w:val="16"/>
                <w:szCs w:val="16"/>
              </w:rPr>
            </w:pPr>
            <w:r w:rsidRPr="00352ED4">
              <w:rPr>
                <w:bCs/>
                <w:color w:val="000000"/>
                <w:sz w:val="16"/>
                <w:szCs w:val="16"/>
              </w:rPr>
              <w:t>A review of 17 studies from low- and middle-income countries identified low socioeconomic status, parental age, and family history as major risk factors for CL/P, while adequate preconception folic acid intake was strongly protective. Additional critical barriers such as poverty, limited health infrastructure, poor access to care, and low maternal education were also linked to increased risk.</w:t>
            </w:r>
          </w:p>
        </w:tc>
      </w:tr>
      <w:tr w:rsidR="000A6E06" w:rsidRPr="00352ED4" w14:paraId="511F734D"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39AB03"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11.</w:t>
            </w:r>
          </w:p>
        </w:tc>
        <w:tc>
          <w:tcPr>
            <w:tcW w:w="1134" w:type="dxa"/>
          </w:tcPr>
          <w:p w14:paraId="3A6262B7"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Vu, G. H., et al.</w:t>
            </w:r>
          </w:p>
          <w:p w14:paraId="6B71CB0A"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07872031"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Plastic and reconstructive surgery; 2022; 149(1): 169–182. </w:t>
            </w:r>
          </w:p>
          <w:p w14:paraId="65EABE75"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999735B"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Country: America </w:t>
            </w:r>
          </w:p>
          <w:p w14:paraId="0EEB56A2"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5673FF8"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w:t>
            </w:r>
            <w:hyperlink r:id="rId25" w:tgtFrame="_blank" w:history="1">
              <w:r w:rsidRPr="00352ED4">
                <w:rPr>
                  <w:rStyle w:val="Hyperlink"/>
                  <w:rFonts w:ascii="Times New Roman" w:hAnsi="Times New Roman" w:cs="Times New Roman"/>
                  <w:bCs/>
                  <w:color w:val="000000" w:themeColor="text1"/>
                  <w:sz w:val="16"/>
                  <w:szCs w:val="16"/>
                </w:rPr>
                <w:t>10.1097/PRS.0000000000008636</w:t>
              </w:r>
            </w:hyperlink>
          </w:p>
        </w:tc>
        <w:tc>
          <w:tcPr>
            <w:tcW w:w="1134" w:type="dxa"/>
          </w:tcPr>
          <w:p w14:paraId="150DF300"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Poverty and Risk of Cleft Lip and Palate: An Analysis of United States Birth Data. </w:t>
            </w:r>
          </w:p>
          <w:p w14:paraId="532FFBAC"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2D6E9EC"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Retrospektif  Cohort</w:t>
            </w:r>
          </w:p>
        </w:tc>
        <w:tc>
          <w:tcPr>
            <w:tcW w:w="1817" w:type="dxa"/>
          </w:tcPr>
          <w:p w14:paraId="39D8E6EA" w14:textId="77777777" w:rsidR="000A6E06" w:rsidRPr="00352ED4" w:rsidRDefault="00AA5191"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Mothers covered by Medicaid, as a proxy for lower socioeconomic status, had a significantly higher proportion of children with cleft lip and/or palate compared with those using private insurance, while private insurance coverage was more common among mothers of unaffected children. This finding highlights poverty-related disparities in CL/P risk, with all insurance-based differences being statistically significant (p &lt; 0.001).</w:t>
            </w:r>
          </w:p>
        </w:tc>
      </w:tr>
      <w:tr w:rsidR="000A6E06" w:rsidRPr="00352ED4" w14:paraId="3A7170A9" w14:textId="77777777" w:rsidTr="00123844">
        <w:tc>
          <w:tcPr>
            <w:cnfStyle w:val="001000000000" w:firstRow="0" w:lastRow="0" w:firstColumn="1" w:lastColumn="0" w:oddVBand="0" w:evenVBand="0" w:oddHBand="0" w:evenHBand="0" w:firstRowFirstColumn="0" w:firstRowLastColumn="0" w:lastRowFirstColumn="0" w:lastRowLastColumn="0"/>
            <w:tcW w:w="562" w:type="dxa"/>
          </w:tcPr>
          <w:p w14:paraId="3E973813" w14:textId="77777777" w:rsidR="000A6E06" w:rsidRPr="00123844" w:rsidRDefault="000A6E06" w:rsidP="00D55111">
            <w:pPr>
              <w:jc w:val="both"/>
              <w:rPr>
                <w:rFonts w:ascii="Times New Roman" w:hAnsi="Times New Roman" w:cs="Times New Roman"/>
                <w:b w:val="0"/>
                <w:bCs w:val="0"/>
                <w:color w:val="000000" w:themeColor="text1"/>
                <w:sz w:val="16"/>
                <w:szCs w:val="16"/>
              </w:rPr>
            </w:pPr>
            <w:r w:rsidRPr="00123844">
              <w:rPr>
                <w:rFonts w:ascii="Times New Roman" w:hAnsi="Times New Roman" w:cs="Times New Roman"/>
                <w:b w:val="0"/>
                <w:bCs w:val="0"/>
                <w:color w:val="000000" w:themeColor="text1"/>
                <w:sz w:val="16"/>
                <w:szCs w:val="16"/>
              </w:rPr>
              <w:t>12.</w:t>
            </w:r>
          </w:p>
        </w:tc>
        <w:tc>
          <w:tcPr>
            <w:tcW w:w="1134" w:type="dxa"/>
          </w:tcPr>
          <w:p w14:paraId="4A4F0858"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352ED4">
              <w:rPr>
                <w:rFonts w:ascii="Times New Roman" w:hAnsi="Times New Roman" w:cs="Times New Roman"/>
                <w:color w:val="000000" w:themeColor="text1"/>
                <w:sz w:val="16"/>
                <w:szCs w:val="16"/>
              </w:rPr>
              <w:t>Charoenvicha, C., et al.</w:t>
            </w:r>
          </w:p>
          <w:p w14:paraId="54FFF0D5"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p>
          <w:p w14:paraId="79C7058D"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352ED4">
              <w:rPr>
                <w:rFonts w:ascii="Times New Roman" w:hAnsi="Times New Roman" w:cs="Times New Roman"/>
                <w:color w:val="000000" w:themeColor="text1"/>
                <w:sz w:val="16"/>
                <w:szCs w:val="16"/>
              </w:rPr>
              <w:t>Congenital anomalies; 2023; 63(5): 147–153.</w:t>
            </w:r>
          </w:p>
          <w:p w14:paraId="632CDAD2"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p>
          <w:p w14:paraId="4AD39A02"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352ED4">
              <w:rPr>
                <w:rFonts w:ascii="Times New Roman" w:hAnsi="Times New Roman" w:cs="Times New Roman"/>
                <w:color w:val="000000" w:themeColor="text1"/>
                <w:sz w:val="16"/>
                <w:szCs w:val="16"/>
              </w:rPr>
              <w:t>Country: Thailand</w:t>
            </w:r>
          </w:p>
          <w:p w14:paraId="32C811E6"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p>
          <w:p w14:paraId="40636FDC"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352ED4">
              <w:rPr>
                <w:rFonts w:ascii="Times New Roman" w:hAnsi="Times New Roman" w:cs="Times New Roman"/>
                <w:color w:val="000000" w:themeColor="text1"/>
                <w:sz w:val="16"/>
                <w:szCs w:val="16"/>
              </w:rPr>
              <w:t>DOI: </w:t>
            </w:r>
            <w:hyperlink r:id="rId26" w:tgtFrame="_blank" w:history="1">
              <w:r w:rsidRPr="00352ED4">
                <w:rPr>
                  <w:rStyle w:val="Hyperlink"/>
                  <w:rFonts w:ascii="Times New Roman" w:hAnsi="Times New Roman" w:cs="Times New Roman"/>
                  <w:color w:val="000000" w:themeColor="text1"/>
                  <w:sz w:val="16"/>
                  <w:szCs w:val="16"/>
                </w:rPr>
                <w:t>10.1111/cga.12529</w:t>
              </w:r>
            </w:hyperlink>
          </w:p>
        </w:tc>
        <w:tc>
          <w:tcPr>
            <w:tcW w:w="1134" w:type="dxa"/>
          </w:tcPr>
          <w:p w14:paraId="41C71374" w14:textId="77777777" w:rsidR="000A6E06" w:rsidRPr="00352ED4" w:rsidRDefault="000A6E06"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352ED4">
              <w:rPr>
                <w:rFonts w:ascii="Times New Roman" w:hAnsi="Times New Roman" w:cs="Times New Roman"/>
                <w:color w:val="000000" w:themeColor="text1"/>
                <w:sz w:val="16"/>
                <w:szCs w:val="16"/>
              </w:rPr>
              <w:t>Predisposing Factors of Non-Syndromic Cleft Lip and Cleft Palate in the Northern Thai Population: A 10-year Retrospective Case-control Study. </w:t>
            </w:r>
          </w:p>
          <w:p w14:paraId="0D421C64"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p>
          <w:p w14:paraId="3C47D43D" w14:textId="77777777" w:rsidR="00496A08" w:rsidRPr="00352ED4" w:rsidRDefault="00496A08"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352ED4">
              <w:rPr>
                <w:rFonts w:ascii="Times New Roman" w:hAnsi="Times New Roman" w:cs="Times New Roman"/>
                <w:color w:val="000000" w:themeColor="text1"/>
                <w:sz w:val="16"/>
                <w:szCs w:val="16"/>
              </w:rPr>
              <w:t>Method: Retrospective case control</w:t>
            </w:r>
          </w:p>
        </w:tc>
        <w:tc>
          <w:tcPr>
            <w:tcW w:w="1817" w:type="dxa"/>
          </w:tcPr>
          <w:p w14:paraId="2AA5EC92" w14:textId="77777777" w:rsidR="000A6E06" w:rsidRPr="00352ED4" w:rsidRDefault="00AA5191" w:rsidP="00D5511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rPr>
            </w:pPr>
            <w:r w:rsidRPr="00352ED4">
              <w:rPr>
                <w:rStyle w:val="aupe"/>
                <w:rFonts w:ascii="Times New Roman" w:hAnsi="Times New Roman" w:cs="Times New Roman"/>
                <w:color w:val="000000"/>
                <w:sz w:val="16"/>
                <w:szCs w:val="16"/>
              </w:rPr>
              <w:t>The findings indicate a significant association between lower maternal income (&lt;270 USD/month) and a higher prevalence of nonsyndromic cleft lip and palate, while higher income levels (&gt;270 USD/month) were more common among mothers of unaffected children, with all comparisons showing strong statistical significance (p &lt; 0.001).</w:t>
            </w:r>
          </w:p>
        </w:tc>
      </w:tr>
      <w:tr w:rsidR="000A6E06" w:rsidRPr="00352ED4" w14:paraId="10063037"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CFBD225"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13.</w:t>
            </w:r>
          </w:p>
        </w:tc>
        <w:tc>
          <w:tcPr>
            <w:tcW w:w="1134" w:type="dxa"/>
          </w:tcPr>
          <w:p w14:paraId="53B9AB9C"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Swami, R. S., &amp; Battepati, P. M.</w:t>
            </w:r>
          </w:p>
          <w:p w14:paraId="14F9552B"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3C450FC3"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Annals of International Medical and Dental Research; 2018; 4(3).</w:t>
            </w:r>
          </w:p>
          <w:p w14:paraId="407A8E12"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38A92766"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Country: India </w:t>
            </w:r>
          </w:p>
          <w:p w14:paraId="4C594C3F"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18CEDEB6"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DOI: 10.21276/aimdr.2018.4.3.DE6 </w:t>
            </w:r>
          </w:p>
        </w:tc>
        <w:tc>
          <w:tcPr>
            <w:tcW w:w="1134" w:type="dxa"/>
          </w:tcPr>
          <w:p w14:paraId="5342AD14"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Assessment of Prevalence Pattern of Orofacial Clefting and Etiological Risk Factors in Children with Cleft Lip and/ or Palate. </w:t>
            </w:r>
          </w:p>
          <w:p w14:paraId="3FF6C49D"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78E18789"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Retrospective Observational Study</w:t>
            </w:r>
          </w:p>
        </w:tc>
        <w:tc>
          <w:tcPr>
            <w:tcW w:w="1817" w:type="dxa"/>
          </w:tcPr>
          <w:p w14:paraId="7F197E10" w14:textId="77777777" w:rsidR="000A6E06" w:rsidRPr="00352ED4" w:rsidRDefault="00D55111"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Most children with cleft lip and/or palate were born to mothers from low-middle and middle economic status groups, accounting for 55.3% and 40% of cases respectively, while cleft occurrence was rare among mothers with high economic status (0.2%), indicating an inverse relationship between socioeconomic level and cleft prevalence.</w:t>
            </w:r>
          </w:p>
        </w:tc>
      </w:tr>
      <w:tr w:rsidR="000A6E06" w:rsidRPr="00352ED4" w14:paraId="4C4A91FC" w14:textId="77777777" w:rsidTr="00123844">
        <w:tc>
          <w:tcPr>
            <w:cnfStyle w:val="001000000000" w:firstRow="0" w:lastRow="0" w:firstColumn="1" w:lastColumn="0" w:oddVBand="0" w:evenVBand="0" w:oddHBand="0" w:evenHBand="0" w:firstRowFirstColumn="0" w:firstRowLastColumn="0" w:lastRowFirstColumn="0" w:lastRowLastColumn="0"/>
            <w:tcW w:w="562" w:type="dxa"/>
          </w:tcPr>
          <w:p w14:paraId="58745FF5" w14:textId="77777777" w:rsidR="000A6E06" w:rsidRPr="00123844" w:rsidRDefault="000A6E06" w:rsidP="00D55111">
            <w:pPr>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t>14.</w:t>
            </w:r>
          </w:p>
        </w:tc>
        <w:tc>
          <w:tcPr>
            <w:tcW w:w="1134" w:type="dxa"/>
          </w:tcPr>
          <w:p w14:paraId="039219C4"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Adewale, A. O., et al.</w:t>
            </w:r>
          </w:p>
          <w:p w14:paraId="16F32CED"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0A0F46D5"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Saudi Journal of Oral and Dental Research; 2023; 8(08): 233–239.</w:t>
            </w:r>
          </w:p>
          <w:p w14:paraId="071D1ED7"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0334E032"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lastRenderedPageBreak/>
              <w:t xml:space="preserve">Country: Middle east </w:t>
            </w:r>
          </w:p>
          <w:p w14:paraId="1E899996"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1FD5C48C"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DOI: 10.36348/sjodr.2023.v08i08.002 </w:t>
            </w:r>
          </w:p>
        </w:tc>
        <w:tc>
          <w:tcPr>
            <w:tcW w:w="1134" w:type="dxa"/>
          </w:tcPr>
          <w:p w14:paraId="66E1EA0D" w14:textId="77777777" w:rsidR="000A6E06" w:rsidRPr="00352ED4" w:rsidRDefault="000A6E06"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lastRenderedPageBreak/>
              <w:t>Risk Factors Associated with Cleft Etiology: A Multicenter Experience.</w:t>
            </w:r>
          </w:p>
          <w:p w14:paraId="03DCE199" w14:textId="77777777" w:rsidR="00496A08" w:rsidRPr="00352ED4" w:rsidRDefault="00496A08"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p w14:paraId="4BC75B23" w14:textId="77777777" w:rsidR="00496A08" w:rsidRPr="00352ED4" w:rsidRDefault="00496A08"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Method: Cross‐sectional</w:t>
            </w:r>
          </w:p>
          <w:p w14:paraId="3A001C2A" w14:textId="77777777" w:rsidR="00496A08" w:rsidRPr="00352ED4" w:rsidRDefault="00496A08"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p>
        </w:tc>
        <w:tc>
          <w:tcPr>
            <w:tcW w:w="1817" w:type="dxa"/>
          </w:tcPr>
          <w:p w14:paraId="314557EB" w14:textId="77777777" w:rsidR="000A6E06" w:rsidRPr="00352ED4" w:rsidRDefault="00AA5191" w:rsidP="00D5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16"/>
                <w:szCs w:val="16"/>
              </w:rPr>
            </w:pPr>
            <w:r w:rsidRPr="00352ED4">
              <w:rPr>
                <w:rStyle w:val="aupe"/>
                <w:rFonts w:ascii="Times New Roman" w:hAnsi="Times New Roman" w:cs="Times New Roman"/>
                <w:bCs/>
                <w:color w:val="000000"/>
                <w:sz w:val="16"/>
                <w:szCs w:val="16"/>
              </w:rPr>
              <w:lastRenderedPageBreak/>
              <w:t xml:space="preserve">Mothers of children with CL/P were predominantly from low to middle income groups, indicating that lower socioeconomic status is commonly observed among affected families and may contribute to </w:t>
            </w:r>
            <w:r w:rsidRPr="00352ED4">
              <w:rPr>
                <w:rStyle w:val="aupe"/>
                <w:rFonts w:ascii="Times New Roman" w:hAnsi="Times New Roman" w:cs="Times New Roman"/>
                <w:bCs/>
                <w:color w:val="000000"/>
                <w:sz w:val="16"/>
                <w:szCs w:val="16"/>
              </w:rPr>
              <w:lastRenderedPageBreak/>
              <w:t>increased vulnerability to CL/P.</w:t>
            </w:r>
          </w:p>
        </w:tc>
      </w:tr>
      <w:tr w:rsidR="000A6E06" w:rsidRPr="00352ED4" w14:paraId="3A82C9D8" w14:textId="77777777" w:rsidTr="001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CF528D" w14:textId="77777777" w:rsidR="000A6E06" w:rsidRPr="00123844" w:rsidRDefault="000A6E06" w:rsidP="00D55111">
            <w:pPr>
              <w:jc w:val="both"/>
              <w:rPr>
                <w:rFonts w:ascii="Times New Roman" w:hAnsi="Times New Roman" w:cs="Times New Roman"/>
                <w:b w:val="0"/>
                <w:bCs w:val="0"/>
                <w:color w:val="000000"/>
                <w:sz w:val="16"/>
                <w:szCs w:val="16"/>
              </w:rPr>
            </w:pPr>
            <w:r w:rsidRPr="00123844">
              <w:rPr>
                <w:rFonts w:ascii="Times New Roman" w:hAnsi="Times New Roman" w:cs="Times New Roman"/>
                <w:b w:val="0"/>
                <w:bCs w:val="0"/>
                <w:color w:val="000000"/>
                <w:sz w:val="16"/>
                <w:szCs w:val="16"/>
              </w:rPr>
              <w:lastRenderedPageBreak/>
              <w:t>15.</w:t>
            </w:r>
          </w:p>
        </w:tc>
        <w:tc>
          <w:tcPr>
            <w:tcW w:w="1134" w:type="dxa"/>
          </w:tcPr>
          <w:p w14:paraId="239EDB8B"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Phyu, et al.</w:t>
            </w:r>
          </w:p>
          <w:p w14:paraId="205921B0"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166E2DA3"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Journal of Cleft Lip Palate and Craniofacial Anomalies; 2020; 7(1): 24.</w:t>
            </w:r>
          </w:p>
          <w:p w14:paraId="1BD991BF"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04B90377"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Country: Myanmar</w:t>
            </w:r>
          </w:p>
          <w:p w14:paraId="48C68CC0"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04127526"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DOI: 10.4103/jclpca.jclpca_19_19</w:t>
            </w:r>
          </w:p>
        </w:tc>
        <w:tc>
          <w:tcPr>
            <w:tcW w:w="1134" w:type="dxa"/>
          </w:tcPr>
          <w:p w14:paraId="5324ECA6" w14:textId="77777777" w:rsidR="000A6E06" w:rsidRPr="00352ED4" w:rsidRDefault="000A6E06"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Maternal Stressful Events and Socioeconomic Status Among Orofacial Cleft Families: A hospital-based Study. </w:t>
            </w:r>
          </w:p>
          <w:p w14:paraId="4A977ED6"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p>
          <w:p w14:paraId="30E9AC1D" w14:textId="77777777" w:rsidR="00496A08" w:rsidRPr="00352ED4" w:rsidRDefault="00496A08"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Fonts w:ascii="Times New Roman" w:hAnsi="Times New Roman" w:cs="Times New Roman"/>
                <w:bCs/>
                <w:color w:val="000000" w:themeColor="text1"/>
                <w:sz w:val="16"/>
                <w:szCs w:val="16"/>
              </w:rPr>
              <w:t xml:space="preserve">Method: Cross‐sectional </w:t>
            </w:r>
          </w:p>
        </w:tc>
        <w:tc>
          <w:tcPr>
            <w:tcW w:w="1817" w:type="dxa"/>
          </w:tcPr>
          <w:p w14:paraId="0F7C9C3F" w14:textId="77777777" w:rsidR="000A6E06" w:rsidRPr="00352ED4" w:rsidRDefault="00AA5191" w:rsidP="00D5511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16"/>
                <w:szCs w:val="16"/>
              </w:rPr>
            </w:pPr>
            <w:r w:rsidRPr="00352ED4">
              <w:rPr>
                <w:rStyle w:val="aupe"/>
                <w:rFonts w:ascii="Times New Roman" w:hAnsi="Times New Roman" w:cs="Times New Roman"/>
                <w:bCs/>
                <w:color w:val="000000"/>
                <w:sz w:val="16"/>
                <w:szCs w:val="16"/>
              </w:rPr>
              <w:t>Orofacial cleft cases were concentrated among lower–middle income mothers (&lt;75,000-120,000 MMK/month (50-80 USD)), while the high-income group contributed relatively few cases, with only 27 mothers (9%) earning 240,000–480,000 MMK/month (160-320 USD) and 21 mothers (7%) earning &gt;480,000 MMK/month (&gt;320 USD), indicating a lower occurrence of clefts in higher socioeconomic strata.</w:t>
            </w:r>
          </w:p>
        </w:tc>
      </w:tr>
    </w:tbl>
    <w:p w14:paraId="46863CB5" w14:textId="77777777" w:rsidR="0057140D" w:rsidRPr="00352ED4" w:rsidRDefault="0057140D" w:rsidP="0057140D">
      <w:pPr>
        <w:pBdr>
          <w:top w:val="nil"/>
          <w:left w:val="nil"/>
          <w:bottom w:val="nil"/>
          <w:right w:val="nil"/>
          <w:between w:val="nil"/>
        </w:pBdr>
        <w:spacing w:after="0" w:line="240" w:lineRule="auto"/>
        <w:rPr>
          <w:rFonts w:ascii="Times New Roman" w:hAnsi="Times New Roman" w:cs="Times New Roman"/>
          <w:b/>
          <w:color w:val="000000"/>
          <w:sz w:val="18"/>
          <w:szCs w:val="18"/>
        </w:rPr>
      </w:pPr>
    </w:p>
    <w:p w14:paraId="26D3D268" w14:textId="77777777" w:rsidR="00BA0276" w:rsidRPr="00352ED4" w:rsidRDefault="00BA0276" w:rsidP="00BA0276">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273BB3C7" w14:textId="77777777" w:rsidR="00BA0276" w:rsidRPr="00352ED4" w:rsidRDefault="00BA0276" w:rsidP="00BA0276">
      <w:pPr>
        <w:pBdr>
          <w:top w:val="nil"/>
          <w:left w:val="nil"/>
          <w:bottom w:val="nil"/>
          <w:right w:val="nil"/>
          <w:between w:val="nil"/>
        </w:pBdr>
        <w:spacing w:after="0" w:line="240" w:lineRule="auto"/>
        <w:jc w:val="both"/>
        <w:rPr>
          <w:rFonts w:ascii="Times New Roman" w:eastAsia="Times New Roman" w:hAnsi="Times New Roman" w:cs="Times New Roman"/>
          <w:i/>
          <w:color w:val="0080FF"/>
          <w:sz w:val="20"/>
          <w:szCs w:val="20"/>
        </w:rPr>
      </w:pPr>
    </w:p>
    <w:p w14:paraId="386CA486" w14:textId="77777777" w:rsidR="00BA5C80" w:rsidRPr="00352ED4" w:rsidRDefault="00000000" w:rsidP="000A6E06">
      <w:pPr>
        <w:pBdr>
          <w:top w:val="nil"/>
          <w:left w:val="nil"/>
          <w:bottom w:val="nil"/>
          <w:right w:val="nil"/>
          <w:between w:val="nil"/>
        </w:pBdr>
        <w:spacing w:after="120" w:line="240" w:lineRule="auto"/>
        <w:jc w:val="both"/>
        <w:rPr>
          <w:rFonts w:ascii="Times New Roman" w:eastAsia="Times New Roman" w:hAnsi="Times New Roman" w:cs="Times New Roman"/>
          <w:b/>
          <w:color w:val="17365D"/>
          <w:sz w:val="28"/>
          <w:szCs w:val="28"/>
        </w:rPr>
      </w:pPr>
      <w:r w:rsidRPr="00352ED4">
        <w:rPr>
          <w:rFonts w:ascii="Times New Roman" w:eastAsia="Times New Roman" w:hAnsi="Times New Roman" w:cs="Times New Roman"/>
          <w:b/>
          <w:color w:val="17365D"/>
          <w:sz w:val="28"/>
          <w:szCs w:val="28"/>
        </w:rPr>
        <w:t>Discussion</w:t>
      </w:r>
    </w:p>
    <w:p w14:paraId="3AF06A3E" w14:textId="77777777" w:rsidR="000A6E06" w:rsidRPr="00352ED4" w:rsidRDefault="000A6E06" w:rsidP="000A6E06">
      <w:pPr>
        <w:spacing w:line="360" w:lineRule="auto"/>
        <w:jc w:val="both"/>
        <w:rPr>
          <w:rFonts w:ascii="Times New Roman" w:eastAsiaTheme="majorEastAsia" w:hAnsi="Times New Roman" w:cs="Times New Roman"/>
          <w:b/>
          <w:bCs/>
          <w:color w:val="000000" w:themeColor="text1"/>
          <w:sz w:val="18"/>
          <w:szCs w:val="18"/>
        </w:rPr>
      </w:pPr>
      <w:r w:rsidRPr="00352ED4">
        <w:rPr>
          <w:rFonts w:ascii="Times New Roman" w:eastAsiaTheme="majorEastAsia" w:hAnsi="Times New Roman" w:cs="Times New Roman"/>
          <w:b/>
          <w:bCs/>
          <w:color w:val="000000" w:themeColor="text1"/>
          <w:sz w:val="18"/>
          <w:szCs w:val="18"/>
        </w:rPr>
        <w:t>Maternal Nutritional Status in Cases of C</w:t>
      </w:r>
      <w:r w:rsidRPr="00352ED4">
        <w:rPr>
          <w:rFonts w:ascii="Times New Roman" w:hAnsi="Times New Roman" w:cs="Times New Roman"/>
          <w:b/>
          <w:bCs/>
          <w:color w:val="000000" w:themeColor="text1"/>
          <w:sz w:val="18"/>
          <w:szCs w:val="18"/>
        </w:rPr>
        <w:t>LP</w:t>
      </w:r>
      <w:r w:rsidRPr="00352ED4">
        <w:rPr>
          <w:rFonts w:ascii="Times New Roman" w:eastAsiaTheme="majorEastAsia" w:hAnsi="Times New Roman" w:cs="Times New Roman"/>
          <w:b/>
          <w:bCs/>
          <w:color w:val="000000" w:themeColor="text1"/>
          <w:sz w:val="18"/>
          <w:szCs w:val="18"/>
        </w:rPr>
        <w:t xml:space="preserve"> in Children</w:t>
      </w:r>
    </w:p>
    <w:p w14:paraId="3428A3E4" w14:textId="77777777" w:rsidR="000A6E06" w:rsidRPr="00352ED4" w:rsidRDefault="000A6E06" w:rsidP="000A6E06">
      <w:pPr>
        <w:spacing w:line="360" w:lineRule="auto"/>
        <w:ind w:firstLine="720"/>
        <w:jc w:val="both"/>
        <w:rPr>
          <w:rFonts w:ascii="Times New Roman" w:hAnsi="Times New Roman" w:cs="Times New Roman"/>
          <w:color w:val="000000" w:themeColor="text1"/>
          <w:sz w:val="18"/>
          <w:szCs w:val="18"/>
        </w:rPr>
      </w:pPr>
      <w:r w:rsidRPr="00352ED4">
        <w:rPr>
          <w:rFonts w:ascii="Times New Roman" w:eastAsiaTheme="majorEastAsia" w:hAnsi="Times New Roman" w:cs="Times New Roman"/>
          <w:color w:val="000000" w:themeColor="text1"/>
          <w:sz w:val="18"/>
          <w:szCs w:val="18"/>
        </w:rPr>
        <w:t>Non-Syndromic Cleft Lip and/or Palate Non-Syndromic (</w:t>
      </w:r>
      <w:r w:rsidRPr="00352ED4">
        <w:rPr>
          <w:rFonts w:ascii="Times New Roman" w:hAnsi="Times New Roman" w:cs="Times New Roman"/>
          <w:color w:val="000000" w:themeColor="text1"/>
          <w:sz w:val="18"/>
          <w:szCs w:val="18"/>
        </w:rPr>
        <w:t>NS</w:t>
      </w:r>
      <w:r w:rsidRPr="00352ED4">
        <w:rPr>
          <w:rFonts w:ascii="Times New Roman" w:eastAsiaTheme="majorEastAsia" w:hAnsi="Times New Roman" w:cs="Times New Roman"/>
          <w:color w:val="000000" w:themeColor="text1"/>
          <w:sz w:val="18"/>
          <w:szCs w:val="18"/>
        </w:rPr>
        <w:t>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is the most common congenital developmental defect, including 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 and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A Study on Environmental Factors for Nonsyndromic Cleft Lip and/or Palate showed that 177 out of 236 mothers (75%) with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children consumed adequate folic acid (B9) compared to 179 out of 209 control mothers (85.6%), and adequate consumption reduced the risk of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by up to 50%. Pyridoxine (B6) is also strongly correlated with the incidence of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Low parental education levels are reported as a risk factor for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because they are often associated with smoking and unhealthy eating patterns</w:t>
      </w:r>
      <w:r w:rsidR="00DF1C0D" w:rsidRPr="00352ED4">
        <w:rPr>
          <w:rFonts w:ascii="Times New Roman" w:eastAsiaTheme="majorEastAsia" w:hAnsi="Times New Roman" w:cs="Times New Roman"/>
          <w:color w:val="000000" w:themeColor="text1"/>
          <w:sz w:val="18"/>
          <w:szCs w:val="18"/>
        </w:rPr>
        <w:t xml:space="preserve"> [9]. </w:t>
      </w:r>
      <w:r w:rsidRPr="00352ED4">
        <w:rPr>
          <w:rFonts w:ascii="Times New Roman" w:eastAsiaTheme="majorEastAsia" w:hAnsi="Times New Roman" w:cs="Times New Roman"/>
          <w:color w:val="000000" w:themeColor="text1"/>
          <w:sz w:val="18"/>
          <w:szCs w:val="18"/>
        </w:rPr>
        <w:t xml:space="preserve">A systematic review and meta-analysis in Ethiopia showed that congenital anomalies were 2.83 times more common in mothers who did not consume folic acid </w:t>
      </w:r>
      <w:r w:rsidR="00DF1C0D" w:rsidRPr="00352ED4">
        <w:rPr>
          <w:rFonts w:ascii="Times New Roman" w:hAnsi="Times New Roman" w:cs="Times New Roman"/>
          <w:color w:val="000000" w:themeColor="text1"/>
          <w:sz w:val="18"/>
          <w:szCs w:val="18"/>
        </w:rPr>
        <w:t xml:space="preserve">[10]. </w:t>
      </w:r>
      <w:r w:rsidRPr="00352ED4">
        <w:rPr>
          <w:rFonts w:ascii="Times New Roman" w:eastAsiaTheme="majorEastAsia" w:hAnsi="Times New Roman" w:cs="Times New Roman"/>
          <w:color w:val="000000" w:themeColor="text1"/>
          <w:sz w:val="18"/>
          <w:szCs w:val="18"/>
        </w:rPr>
        <w:t xml:space="preserve">A study in Heilongjiang, China, of 499 </w:t>
      </w:r>
      <w:r w:rsidRPr="00352ED4">
        <w:rPr>
          <w:rFonts w:ascii="Times New Roman" w:hAnsi="Times New Roman" w:cs="Times New Roman"/>
          <w:color w:val="000000" w:themeColor="text1"/>
          <w:sz w:val="18"/>
          <w:szCs w:val="18"/>
        </w:rPr>
        <w:t>NS</w:t>
      </w:r>
      <w:r w:rsidRPr="00352ED4">
        <w:rPr>
          <w:rFonts w:ascii="Times New Roman" w:eastAsiaTheme="majorEastAsia" w:hAnsi="Times New Roman" w:cs="Times New Roman"/>
          <w:color w:val="000000" w:themeColor="text1"/>
          <w:sz w:val="18"/>
          <w:szCs w:val="18"/>
        </w:rPr>
        <w:t>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xml:space="preserve"> infants and 480 controls showed low folic acid consumption in the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group (2.8%) compared to non-C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or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(6.3%; OR 0.43; p=0.025) and similar in the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group (4.4%; OR 0.69; p=0.431), indicating a protective effect of folate but not significant due to sample limitations</w:t>
      </w:r>
      <w:r w:rsidR="00DF1C0D" w:rsidRPr="00352ED4">
        <w:rPr>
          <w:rFonts w:ascii="Times New Roman" w:eastAsiaTheme="majorEastAsia" w:hAnsi="Times New Roman" w:cs="Times New Roman"/>
          <w:color w:val="000000" w:themeColor="text1"/>
          <w:sz w:val="18"/>
          <w:szCs w:val="18"/>
        </w:rPr>
        <w:t xml:space="preserve"> [11].</w:t>
      </w:r>
      <w:r w:rsidRPr="00352ED4">
        <w:rPr>
          <w:rFonts w:ascii="Times New Roman" w:hAnsi="Times New Roman" w:cs="Times New Roman"/>
          <w:color w:val="000000" w:themeColor="text1"/>
          <w:sz w:val="18"/>
          <w:szCs w:val="18"/>
        </w:rPr>
        <w:t xml:space="preserve"> </w:t>
      </w:r>
      <w:r w:rsidRPr="00352ED4">
        <w:rPr>
          <w:rFonts w:ascii="Times New Roman" w:eastAsiaTheme="majorEastAsia" w:hAnsi="Times New Roman" w:cs="Times New Roman"/>
          <w:color w:val="000000" w:themeColor="text1"/>
          <w:sz w:val="18"/>
          <w:szCs w:val="18"/>
        </w:rPr>
        <w:t>A study in Brazil reported that mothers with low folate intake had a 2.18 times greater risk of giving birth to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children </w:t>
      </w:r>
      <w:r w:rsidRPr="00352ED4">
        <w:rPr>
          <w:rFonts w:ascii="Times New Roman" w:hAnsi="Times New Roman" w:cs="Times New Roman"/>
          <w:color w:val="000000" w:themeColor="text1"/>
          <w:sz w:val="18"/>
          <w:szCs w:val="18"/>
        </w:rPr>
        <w:t>(p=0,003)</w:t>
      </w:r>
      <w:r w:rsidR="00DF1C0D" w:rsidRPr="00352ED4">
        <w:rPr>
          <w:rFonts w:ascii="Times New Roman" w:hAnsi="Times New Roman" w:cs="Times New Roman"/>
          <w:color w:val="000000" w:themeColor="text1"/>
          <w:sz w:val="18"/>
          <w:szCs w:val="18"/>
        </w:rPr>
        <w:t xml:space="preserve"> [12].</w:t>
      </w:r>
    </w:p>
    <w:p w14:paraId="162433BA" w14:textId="77777777" w:rsidR="000A6E06" w:rsidRPr="00352ED4" w:rsidRDefault="000A6E06" w:rsidP="000A6E06">
      <w:pPr>
        <w:spacing w:line="360" w:lineRule="auto"/>
        <w:ind w:firstLine="720"/>
        <w:jc w:val="both"/>
        <w:rPr>
          <w:rFonts w:ascii="Times New Roman" w:hAnsi="Times New Roman" w:cs="Times New Roman"/>
          <w:color w:val="000000" w:themeColor="text1"/>
          <w:sz w:val="18"/>
          <w:szCs w:val="18"/>
        </w:rPr>
      </w:pPr>
      <w:r w:rsidRPr="00352ED4">
        <w:rPr>
          <w:rFonts w:ascii="Times New Roman" w:hAnsi="Times New Roman" w:cs="Times New Roman"/>
          <w:color w:val="000000" w:themeColor="text1"/>
          <w:sz w:val="18"/>
          <w:szCs w:val="18"/>
        </w:rPr>
        <w:t xml:space="preserve">A retrospective case-control study in Tamil Nadu showed that low folic acid (B9) intake was almost the same in mothers with CBL children (19/47) and non-CBL children </w:t>
      </w:r>
      <w:r w:rsidRPr="00352ED4">
        <w:rPr>
          <w:rFonts w:ascii="Times New Roman" w:hAnsi="Times New Roman" w:cs="Times New Roman"/>
          <w:color w:val="000000" w:themeColor="text1"/>
          <w:sz w:val="18"/>
          <w:szCs w:val="18"/>
        </w:rPr>
        <w:t xml:space="preserve">(20/50), while low cobalamin (B12) intake was much higher in cases (33/47) than in non-CBL children (25/50). Cobalamin (B12) was found to play a greater role than folic acid (B9) in increasing the risk of CBL in this population, with low B12 levels accompanied by increased MMA as a marker of one-carbon cycle and DNA methylation disorders </w:t>
      </w:r>
      <w:r w:rsidR="00DF1C0D" w:rsidRPr="00352ED4">
        <w:rPr>
          <w:rFonts w:ascii="Times New Roman" w:hAnsi="Times New Roman" w:cs="Times New Roman"/>
          <w:color w:val="000000" w:themeColor="text1"/>
          <w:sz w:val="18"/>
          <w:szCs w:val="18"/>
        </w:rPr>
        <w:t>[</w:t>
      </w:r>
      <w:r w:rsidR="00B1294C" w:rsidRPr="00352ED4">
        <w:rPr>
          <w:rFonts w:ascii="Times New Roman" w:hAnsi="Times New Roman" w:cs="Times New Roman"/>
          <w:color w:val="000000" w:themeColor="text1"/>
          <w:sz w:val="18"/>
          <w:szCs w:val="18"/>
        </w:rPr>
        <w:t>6</w:t>
      </w:r>
      <w:r w:rsidR="00DF1C0D" w:rsidRPr="00352ED4">
        <w:rPr>
          <w:rFonts w:ascii="Times New Roman" w:hAnsi="Times New Roman" w:cs="Times New Roman"/>
          <w:color w:val="000000" w:themeColor="text1"/>
          <w:sz w:val="18"/>
          <w:szCs w:val="18"/>
        </w:rPr>
        <w:t xml:space="preserve">]. </w:t>
      </w:r>
      <w:r w:rsidRPr="00352ED4">
        <w:rPr>
          <w:rFonts w:ascii="Times New Roman" w:hAnsi="Times New Roman" w:cs="Times New Roman"/>
          <w:color w:val="000000" w:themeColor="text1"/>
          <w:sz w:val="18"/>
          <w:szCs w:val="18"/>
        </w:rPr>
        <w:t>A Meta-analysis</w:t>
      </w:r>
      <w:r w:rsidR="00DF1C0D" w:rsidRPr="00352ED4">
        <w:rPr>
          <w:rFonts w:ascii="Times New Roman" w:hAnsi="Times New Roman" w:cs="Times New Roman"/>
          <w:color w:val="000000" w:themeColor="text1"/>
          <w:sz w:val="18"/>
          <w:szCs w:val="18"/>
        </w:rPr>
        <w:t xml:space="preserve"> [14]</w:t>
      </w:r>
      <w:r w:rsidRPr="00352ED4">
        <w:rPr>
          <w:rFonts w:ascii="Times New Roman" w:hAnsi="Times New Roman" w:cs="Times New Roman"/>
          <w:color w:val="000000" w:themeColor="text1"/>
          <w:sz w:val="18"/>
          <w:szCs w:val="18"/>
        </w:rPr>
        <w:t xml:space="preserve"> </w:t>
      </w:r>
      <w:r w:rsidRPr="00352ED4">
        <w:rPr>
          <w:rFonts w:ascii="Times New Roman" w:eastAsiaTheme="majorEastAsia" w:hAnsi="Times New Roman" w:cs="Times New Roman"/>
          <w:color w:val="000000" w:themeColor="text1"/>
          <w:sz w:val="18"/>
          <w:szCs w:val="18"/>
        </w:rPr>
        <w:t>of six cohort studies and 31 case-control studies showed that folic acid (B9) supplementation reduced the risk of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by 0.73 times and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by 0.75 times, while multivitamins provided a greater reduction (0.65 times for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and 0.69 for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A review article on Brazil reports that deficiencies in folate, cobalamin, pyridoxine, choline, and betaine disrupt the one-carbon cycle, which is important for nucleotide synthesis and DNA methylation, increasing homocysteine, causing hypermethioninemia and THF deficiency, thereby affecting craniofacial development</w:t>
      </w:r>
      <w:r w:rsidR="00DF1C0D" w:rsidRPr="00352ED4">
        <w:rPr>
          <w:rFonts w:ascii="Times New Roman" w:eastAsiaTheme="majorEastAsia" w:hAnsi="Times New Roman" w:cs="Times New Roman"/>
          <w:color w:val="000000" w:themeColor="text1"/>
          <w:sz w:val="18"/>
          <w:szCs w:val="18"/>
        </w:rPr>
        <w:t xml:space="preserve"> [15]. </w:t>
      </w:r>
    </w:p>
    <w:p w14:paraId="05E12E81" w14:textId="77777777" w:rsidR="000A6E06" w:rsidRPr="00352ED4" w:rsidRDefault="000A6E06" w:rsidP="000A6E06">
      <w:pPr>
        <w:spacing w:line="360" w:lineRule="auto"/>
        <w:ind w:firstLine="720"/>
        <w:jc w:val="both"/>
        <w:rPr>
          <w:rFonts w:ascii="Times New Roman" w:hAnsi="Times New Roman" w:cs="Times New Roman"/>
          <w:b/>
          <w:bCs/>
          <w:color w:val="000000" w:themeColor="text1"/>
          <w:sz w:val="18"/>
          <w:szCs w:val="18"/>
        </w:rPr>
      </w:pPr>
      <w:r w:rsidRPr="00352ED4">
        <w:rPr>
          <w:rFonts w:ascii="Times New Roman" w:hAnsi="Times New Roman" w:cs="Times New Roman"/>
          <w:color w:val="000000" w:themeColor="text1"/>
          <w:sz w:val="18"/>
          <w:szCs w:val="18"/>
        </w:rPr>
        <w:t>Nutrients act as methyl donors both generally and at the molecular level, with folic acid (B9) being central to one-carbon metabolism, which is important for nucleotide synthesis, amino acids, and DNA methylation as an epigenetic mechanism in embryonic development</w:t>
      </w:r>
      <w:r w:rsidR="00DF1C0D" w:rsidRPr="00352ED4">
        <w:rPr>
          <w:rFonts w:ascii="Times New Roman" w:hAnsi="Times New Roman" w:cs="Times New Roman"/>
          <w:color w:val="000000" w:themeColor="text1"/>
          <w:sz w:val="18"/>
          <w:szCs w:val="18"/>
        </w:rPr>
        <w:t xml:space="preserve"> [12]. </w:t>
      </w:r>
      <w:r w:rsidRPr="00352ED4">
        <w:rPr>
          <w:rFonts w:ascii="Times New Roman" w:eastAsiaTheme="majorEastAsia" w:hAnsi="Times New Roman" w:cs="Times New Roman"/>
          <w:color w:val="000000" w:themeColor="text1"/>
          <w:sz w:val="18"/>
          <w:szCs w:val="18"/>
        </w:rPr>
        <w:t>Folic acid obtained from food is metabolized in the colon and liver into dihydrofolate (DHF) and tetrahydrofolate (THF) by the enzyme dihydrofolate reductase (DHFR). THF is converted to 5,10-methylene-THF by serine hydroxymethyltransferase (SHMT) with pyridoxine (B6) as a cofactor, then methylenetetrahydrofolate reductase (MTHFR) converts it to 5-methyl- THF, which then transfers a methyl group to homocysteine via methionine synthase (MTR) with cobalamin (B12) as a cofactor, producing methionine which is converted into S- adenosylmethionine (SAM), a universal methyl donor for DNA and histones</w:t>
      </w:r>
      <w:r w:rsidR="00DF1C0D" w:rsidRPr="00352ED4">
        <w:rPr>
          <w:rFonts w:ascii="Times New Roman" w:hAnsi="Times New Roman" w:cs="Times New Roman"/>
          <w:color w:val="000000" w:themeColor="text1"/>
          <w:sz w:val="18"/>
          <w:szCs w:val="18"/>
        </w:rPr>
        <w:t xml:space="preserve"> [12, 16]. </w:t>
      </w:r>
    </w:p>
    <w:p w14:paraId="2AC1CCBA" w14:textId="77777777" w:rsidR="000A6E06" w:rsidRPr="00352ED4" w:rsidRDefault="000A6E06" w:rsidP="000A6E06">
      <w:pPr>
        <w:spacing w:line="360" w:lineRule="auto"/>
        <w:ind w:firstLine="720"/>
        <w:jc w:val="both"/>
        <w:rPr>
          <w:rFonts w:ascii="Times New Roman" w:hAnsi="Times New Roman" w:cs="Times New Roman"/>
          <w:b/>
          <w:bCs/>
          <w:color w:val="000000" w:themeColor="text1"/>
          <w:sz w:val="18"/>
          <w:szCs w:val="18"/>
        </w:rPr>
      </w:pPr>
      <w:r w:rsidRPr="00352ED4">
        <w:rPr>
          <w:rFonts w:ascii="Times New Roman" w:eastAsiaTheme="majorEastAsia" w:hAnsi="Times New Roman" w:cs="Times New Roman"/>
          <w:color w:val="000000" w:themeColor="text1"/>
          <w:sz w:val="18"/>
          <w:szCs w:val="18"/>
        </w:rPr>
        <w:t>Elevated plasma homocysteine (tHcy) causes hyperhomocysteinemia (hHcy) due to folate (B9), B6, B12 deficiency or genetic mutations in CBS, MTR, and MTHFR</w:t>
      </w:r>
      <w:r w:rsidRPr="00352ED4">
        <w:rPr>
          <w:rFonts w:ascii="Times New Roman" w:hAnsi="Times New Roman" w:cs="Times New Roman"/>
          <w:color w:val="000000" w:themeColor="text1"/>
          <w:sz w:val="18"/>
          <w:szCs w:val="18"/>
        </w:rPr>
        <w:t xml:space="preserve"> </w:t>
      </w:r>
      <w:r w:rsidR="00DF1C0D" w:rsidRPr="00352ED4">
        <w:rPr>
          <w:rFonts w:ascii="Times New Roman" w:hAnsi="Times New Roman" w:cs="Times New Roman"/>
          <w:color w:val="000000" w:themeColor="text1"/>
          <w:sz w:val="18"/>
          <w:szCs w:val="18"/>
        </w:rPr>
        <w:t xml:space="preserve">[16]. </w:t>
      </w:r>
      <w:r w:rsidRPr="00352ED4">
        <w:rPr>
          <w:rFonts w:ascii="Times New Roman" w:eastAsiaTheme="majorEastAsia" w:hAnsi="Times New Roman" w:cs="Times New Roman"/>
          <w:color w:val="000000" w:themeColor="text1"/>
          <w:sz w:val="18"/>
          <w:szCs w:val="18"/>
        </w:rPr>
        <w:t xml:space="preserve">SAH accumulation in hHcy states competes with SAM in binding to DNA methyltransferases (DNMTs), thereby reducing DNMT activity and causing DNA hypomethylation. DNA methylation disorders during embryogenesis, when epigenetic reprogramming occurs, play an important role in congenital malformations, including NSCL/P. Genetic factors also increase risk, with genetic variations such as MTHFR 677TT or MTHFR 1298CC accompanied by low preconception folate (B9) intake proven to increase the risk of </w:t>
      </w:r>
      <w:r w:rsidRPr="00352ED4">
        <w:rPr>
          <w:rFonts w:ascii="Times New Roman" w:hAnsi="Times New Roman" w:cs="Times New Roman"/>
          <w:color w:val="000000" w:themeColor="text1"/>
          <w:sz w:val="18"/>
          <w:szCs w:val="18"/>
        </w:rPr>
        <w:t>NS CL/P</w:t>
      </w:r>
      <w:r w:rsidRPr="00352ED4">
        <w:rPr>
          <w:rFonts w:ascii="Times New Roman" w:eastAsiaTheme="majorEastAsia" w:hAnsi="Times New Roman" w:cs="Times New Roman"/>
          <w:color w:val="000000" w:themeColor="text1"/>
          <w:sz w:val="18"/>
          <w:szCs w:val="18"/>
        </w:rPr>
        <w:t xml:space="preserve"> in offspring </w:t>
      </w:r>
      <w:r w:rsidR="00DF1C0D" w:rsidRPr="00352ED4">
        <w:rPr>
          <w:rFonts w:ascii="Times New Roman" w:hAnsi="Times New Roman" w:cs="Times New Roman"/>
          <w:color w:val="000000" w:themeColor="text1"/>
          <w:sz w:val="18"/>
          <w:szCs w:val="18"/>
        </w:rPr>
        <w:t xml:space="preserve">[12, 16]. </w:t>
      </w:r>
      <w:r w:rsidRPr="00352ED4">
        <w:rPr>
          <w:rFonts w:ascii="Times New Roman" w:eastAsiaTheme="majorEastAsia" w:hAnsi="Times New Roman" w:cs="Times New Roman"/>
          <w:color w:val="000000" w:themeColor="text1"/>
          <w:sz w:val="18"/>
          <w:szCs w:val="18"/>
        </w:rPr>
        <w:t>Research results</w:t>
      </w:r>
      <w:r w:rsidR="00DF1C0D" w:rsidRPr="00352ED4">
        <w:rPr>
          <w:rFonts w:ascii="Times New Roman" w:hAnsi="Times New Roman" w:cs="Times New Roman"/>
          <w:color w:val="000000" w:themeColor="text1"/>
          <w:sz w:val="18"/>
          <w:szCs w:val="18"/>
        </w:rPr>
        <w:t xml:space="preserve"> [</w:t>
      </w:r>
      <w:r w:rsidR="00B1294C" w:rsidRPr="00352ED4">
        <w:rPr>
          <w:rFonts w:ascii="Times New Roman" w:hAnsi="Times New Roman" w:cs="Times New Roman"/>
          <w:color w:val="000000" w:themeColor="text1"/>
          <w:sz w:val="18"/>
          <w:szCs w:val="18"/>
        </w:rPr>
        <w:t>6</w:t>
      </w:r>
      <w:r w:rsidR="00DF1C0D" w:rsidRPr="00352ED4">
        <w:rPr>
          <w:rFonts w:ascii="Times New Roman" w:hAnsi="Times New Roman" w:cs="Times New Roman"/>
          <w:color w:val="000000" w:themeColor="text1"/>
          <w:sz w:val="18"/>
          <w:szCs w:val="18"/>
        </w:rPr>
        <w:t>]</w:t>
      </w:r>
      <w:r w:rsidRPr="00352ED4">
        <w:rPr>
          <w:rFonts w:ascii="Times New Roman" w:hAnsi="Times New Roman" w:cs="Times New Roman"/>
          <w:color w:val="000000" w:themeColor="text1"/>
          <w:sz w:val="18"/>
          <w:szCs w:val="18"/>
        </w:rPr>
        <w:t> </w:t>
      </w:r>
      <w:r w:rsidRPr="00352ED4">
        <w:rPr>
          <w:rFonts w:ascii="Times New Roman" w:eastAsiaTheme="majorEastAsia" w:hAnsi="Times New Roman" w:cs="Times New Roman"/>
          <w:color w:val="000000" w:themeColor="text1"/>
          <w:sz w:val="18"/>
          <w:szCs w:val="18"/>
        </w:rPr>
        <w:t xml:space="preserve">show that the median tHcy level is higher in mothers with affected children than in controls (10.7 and 9.6 </w:t>
      </w:r>
      <w:r w:rsidRPr="00352ED4">
        <w:rPr>
          <w:rFonts w:ascii="Times New Roman" w:eastAsiaTheme="majorEastAsia" w:hAnsi="Times New Roman" w:cs="Times New Roman"/>
          <w:color w:val="000000" w:themeColor="text1"/>
          <w:sz w:val="18"/>
          <w:szCs w:val="18"/>
        </w:rPr>
        <w:lastRenderedPageBreak/>
        <w:t xml:space="preserve">μmol/L) and the median cobalamin (B12) dan folic acid (B9) level is lower, in sequence </w:t>
      </w:r>
      <w:r w:rsidRPr="00352ED4">
        <w:rPr>
          <w:rFonts w:ascii="Times New Roman" w:hAnsi="Times New Roman" w:cs="Times New Roman"/>
          <w:color w:val="000000" w:themeColor="text1"/>
          <w:sz w:val="18"/>
          <w:szCs w:val="18"/>
        </w:rPr>
        <w:t>(232 dan 285,3 pmol/L) and</w:t>
      </w:r>
      <w:r w:rsidRPr="00352ED4">
        <w:rPr>
          <w:rFonts w:ascii="Times New Roman" w:eastAsiaTheme="majorEastAsia" w:hAnsi="Times New Roman" w:cs="Times New Roman"/>
          <w:color w:val="000000" w:themeColor="text1"/>
          <w:sz w:val="18"/>
          <w:szCs w:val="18"/>
        </w:rPr>
        <w:t xml:space="preserve"> (10.7 and 12.9 nmol/L). Nutritional balance, especially folic acid (B9), cobalamin (B12), and pyridoxine (B6), plays an important role in maintaining the one-carbon cycle, maintaining normal DNA methylation patterns, and preventing congenital abnormalities such as 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xml:space="preserve">. </w:t>
      </w:r>
    </w:p>
    <w:p w14:paraId="67D7C872" w14:textId="77777777" w:rsidR="000A6E06" w:rsidRPr="00352ED4" w:rsidRDefault="000A6E06" w:rsidP="000A6E06">
      <w:pPr>
        <w:spacing w:line="360" w:lineRule="auto"/>
        <w:ind w:firstLine="720"/>
        <w:jc w:val="both"/>
        <w:rPr>
          <w:rFonts w:ascii="Times New Roman" w:hAnsi="Times New Roman" w:cs="Times New Roman"/>
          <w:color w:val="000000" w:themeColor="text1"/>
          <w:sz w:val="18"/>
          <w:szCs w:val="18"/>
        </w:rPr>
      </w:pPr>
      <w:r w:rsidRPr="00352ED4">
        <w:rPr>
          <w:rFonts w:ascii="Times New Roman" w:eastAsiaTheme="majorEastAsia" w:hAnsi="Times New Roman" w:cs="Times New Roman"/>
          <w:color w:val="000000" w:themeColor="text1"/>
          <w:sz w:val="18"/>
          <w:szCs w:val="18"/>
        </w:rPr>
        <w:t>There is a counterargument, however, as a study of the Brazilian population showed that adequate intake of folic acid (B9), cobalamin (B12), and pyridoxine (B6) was not significantly associated with the risk of orofacial clefts, with an OR close to 1 and a p-value &gt;0.05. These results differ from international studies reporting the protective effects of these vitamins. The researchers explain this discrepancy with three main reasons</w:t>
      </w:r>
      <w:r w:rsidRPr="00352ED4">
        <w:rPr>
          <w:rFonts w:ascii="Times New Roman" w:hAnsi="Times New Roman" w:cs="Times New Roman"/>
          <w:color w:val="000000" w:themeColor="text1"/>
          <w:sz w:val="18"/>
          <w:szCs w:val="18"/>
        </w:rPr>
        <w:t xml:space="preserve">, </w:t>
      </w:r>
      <w:r w:rsidRPr="00352ED4">
        <w:rPr>
          <w:rFonts w:ascii="Times New Roman" w:eastAsiaTheme="majorEastAsia" w:hAnsi="Times New Roman" w:cs="Times New Roman"/>
          <w:color w:val="000000" w:themeColor="text1"/>
          <w:sz w:val="18"/>
          <w:szCs w:val="18"/>
        </w:rPr>
        <w:t xml:space="preserve">local diets rich in micronutrients that minimize differences between cases and controls, high-fat and low-vegetable diets that have a greater impact than single vitamin deficiencies, and complex nutrient interactions in the one- carbon cycle that make analyzing a single vitamin insufficient to describe the actual effect. Methodological factors also played a role, including potential recall bias from the Food Frequency Questionnaire (FFQ) and the control group originating from high-risk referral hospitals, which did not fully represent the general population. The researchers also emphasized that vitamins remain important and recommended adherence to a One-Carb diet rich in fish, seafood, protein, vitamin B, zinc, </w:t>
      </w:r>
      <w:r w:rsidRPr="00352ED4">
        <w:rPr>
          <w:rFonts w:ascii="Times New Roman" w:hAnsi="Times New Roman" w:cs="Times New Roman"/>
          <w:color w:val="000000" w:themeColor="text1"/>
          <w:sz w:val="18"/>
          <w:szCs w:val="18"/>
        </w:rPr>
        <w:t>E</w:t>
      </w:r>
      <w:r w:rsidRPr="00352ED4">
        <w:rPr>
          <w:rFonts w:ascii="Times New Roman" w:eastAsiaTheme="majorEastAsia" w:hAnsi="Times New Roman" w:cs="Times New Roman"/>
          <w:color w:val="000000" w:themeColor="text1"/>
          <w:sz w:val="18"/>
          <w:szCs w:val="18"/>
        </w:rPr>
        <w:t xml:space="preserve">icosapentaenoic </w:t>
      </w:r>
      <w:r w:rsidRPr="00352ED4">
        <w:rPr>
          <w:rFonts w:ascii="Times New Roman" w:hAnsi="Times New Roman" w:cs="Times New Roman"/>
          <w:color w:val="000000" w:themeColor="text1"/>
          <w:sz w:val="18"/>
          <w:szCs w:val="18"/>
        </w:rPr>
        <w:t>A</w:t>
      </w:r>
      <w:r w:rsidRPr="00352ED4">
        <w:rPr>
          <w:rFonts w:ascii="Times New Roman" w:eastAsiaTheme="majorEastAsia" w:hAnsi="Times New Roman" w:cs="Times New Roman"/>
          <w:color w:val="000000" w:themeColor="text1"/>
          <w:sz w:val="18"/>
          <w:szCs w:val="18"/>
        </w:rPr>
        <w:t xml:space="preserve">cid (EPA), and </w:t>
      </w:r>
      <w:r w:rsidRPr="00352ED4">
        <w:rPr>
          <w:rFonts w:ascii="Times New Roman" w:hAnsi="Times New Roman" w:cs="Times New Roman"/>
          <w:color w:val="000000" w:themeColor="text1"/>
          <w:sz w:val="18"/>
          <w:szCs w:val="18"/>
        </w:rPr>
        <w:t>D</w:t>
      </w:r>
      <w:r w:rsidRPr="00352ED4">
        <w:rPr>
          <w:rFonts w:ascii="Times New Roman" w:eastAsiaTheme="majorEastAsia" w:hAnsi="Times New Roman" w:cs="Times New Roman"/>
          <w:color w:val="000000" w:themeColor="text1"/>
          <w:sz w:val="18"/>
          <w:szCs w:val="18"/>
        </w:rPr>
        <w:t xml:space="preserve">ocosahexaenoic </w:t>
      </w:r>
      <w:r w:rsidRPr="00352ED4">
        <w:rPr>
          <w:rFonts w:ascii="Times New Roman" w:hAnsi="Times New Roman" w:cs="Times New Roman"/>
          <w:color w:val="000000" w:themeColor="text1"/>
          <w:sz w:val="18"/>
          <w:szCs w:val="18"/>
        </w:rPr>
        <w:t>A</w:t>
      </w:r>
      <w:r w:rsidRPr="00352ED4">
        <w:rPr>
          <w:rFonts w:ascii="Times New Roman" w:eastAsiaTheme="majorEastAsia" w:hAnsi="Times New Roman" w:cs="Times New Roman"/>
          <w:color w:val="000000" w:themeColor="text1"/>
          <w:sz w:val="18"/>
          <w:szCs w:val="18"/>
        </w:rPr>
        <w:t>cid (DHA) with low carbohydrate intake to support folate metabolism and prevent congenital abnormalities</w:t>
      </w:r>
      <w:r w:rsidR="00DF1C0D" w:rsidRPr="00352ED4">
        <w:rPr>
          <w:rFonts w:ascii="Times New Roman" w:hAnsi="Times New Roman" w:cs="Times New Roman"/>
          <w:color w:val="000000" w:themeColor="text1"/>
          <w:sz w:val="18"/>
          <w:szCs w:val="18"/>
        </w:rPr>
        <w:t xml:space="preserve"> [17]. </w:t>
      </w:r>
    </w:p>
    <w:p w14:paraId="5C31A530" w14:textId="77777777" w:rsidR="000A6E06" w:rsidRPr="00352ED4" w:rsidRDefault="000A6E06" w:rsidP="000A6E06">
      <w:pPr>
        <w:spacing w:line="360" w:lineRule="auto"/>
        <w:jc w:val="both"/>
        <w:rPr>
          <w:rFonts w:ascii="Times New Roman" w:eastAsiaTheme="majorEastAsia" w:hAnsi="Times New Roman" w:cs="Times New Roman"/>
          <w:b/>
          <w:bCs/>
          <w:color w:val="000000" w:themeColor="text1"/>
          <w:sz w:val="18"/>
          <w:szCs w:val="18"/>
        </w:rPr>
      </w:pPr>
      <w:r w:rsidRPr="00352ED4">
        <w:rPr>
          <w:rFonts w:ascii="Times New Roman" w:eastAsiaTheme="majorEastAsia" w:hAnsi="Times New Roman" w:cs="Times New Roman"/>
          <w:b/>
          <w:bCs/>
          <w:color w:val="000000" w:themeColor="text1"/>
          <w:sz w:val="18"/>
          <w:szCs w:val="18"/>
        </w:rPr>
        <w:t>Maternal Economic Status in Cases of C</w:t>
      </w:r>
      <w:r w:rsidRPr="00352ED4">
        <w:rPr>
          <w:rFonts w:ascii="Times New Roman" w:hAnsi="Times New Roman" w:cs="Times New Roman"/>
          <w:b/>
          <w:bCs/>
          <w:color w:val="000000" w:themeColor="text1"/>
          <w:sz w:val="18"/>
          <w:szCs w:val="18"/>
        </w:rPr>
        <w:t>LP</w:t>
      </w:r>
      <w:r w:rsidRPr="00352ED4">
        <w:rPr>
          <w:rFonts w:ascii="Times New Roman" w:eastAsiaTheme="majorEastAsia" w:hAnsi="Times New Roman" w:cs="Times New Roman"/>
          <w:b/>
          <w:bCs/>
          <w:color w:val="000000" w:themeColor="text1"/>
          <w:sz w:val="18"/>
          <w:szCs w:val="18"/>
        </w:rPr>
        <w:t xml:space="preserve"> in Children</w:t>
      </w:r>
    </w:p>
    <w:p w14:paraId="779B123A" w14:textId="77777777" w:rsidR="000A6E06" w:rsidRPr="00352ED4" w:rsidRDefault="000A6E06" w:rsidP="000A6E06">
      <w:pPr>
        <w:spacing w:line="360" w:lineRule="auto"/>
        <w:ind w:firstLine="720"/>
        <w:jc w:val="both"/>
        <w:rPr>
          <w:rFonts w:ascii="Times New Roman" w:hAnsi="Times New Roman" w:cs="Times New Roman"/>
          <w:color w:val="000000" w:themeColor="text1"/>
          <w:sz w:val="18"/>
          <w:szCs w:val="18"/>
        </w:rPr>
      </w:pPr>
      <w:r w:rsidRPr="00352ED4">
        <w:rPr>
          <w:rFonts w:ascii="Times New Roman" w:eastAsiaTheme="majorEastAsia" w:hAnsi="Times New Roman" w:cs="Times New Roman"/>
          <w:color w:val="000000" w:themeColor="text1"/>
          <w:sz w:val="18"/>
          <w:szCs w:val="18"/>
        </w:rPr>
        <w:t>An individual's or group's economic status is measured based on a combination of education level, income, and occupation</w:t>
      </w:r>
      <w:r w:rsidR="00DF1C0D" w:rsidRPr="00352ED4">
        <w:rPr>
          <w:rFonts w:ascii="Times New Roman" w:eastAsiaTheme="majorEastAsia" w:hAnsi="Times New Roman" w:cs="Times New Roman"/>
          <w:color w:val="000000" w:themeColor="text1"/>
          <w:sz w:val="18"/>
          <w:szCs w:val="18"/>
        </w:rPr>
        <w:t xml:space="preserve"> [18]. </w:t>
      </w:r>
      <w:r w:rsidRPr="00352ED4">
        <w:rPr>
          <w:rFonts w:ascii="Times New Roman" w:eastAsiaTheme="majorEastAsia" w:hAnsi="Times New Roman" w:cs="Times New Roman"/>
          <w:color w:val="000000" w:themeColor="text1"/>
          <w:sz w:val="18"/>
          <w:szCs w:val="18"/>
        </w:rPr>
        <w:t>Low economic status in mothers is associated with an increased risk of giving birth to children with Cleft Lip and/or Palate (CL</w:t>
      </w:r>
      <w:r w:rsidRPr="00352ED4">
        <w:rPr>
          <w:rFonts w:ascii="Times New Roman" w:hAnsi="Times New Roman" w:cs="Times New Roman"/>
          <w:color w:val="000000" w:themeColor="text1"/>
          <w:sz w:val="18"/>
          <w:szCs w:val="18"/>
        </w:rPr>
        <w:t>/</w:t>
      </w:r>
      <w:r w:rsidRPr="00352ED4">
        <w:rPr>
          <w:rFonts w:ascii="Times New Roman" w:eastAsiaTheme="majorEastAsia" w:hAnsi="Times New Roman" w:cs="Times New Roman"/>
          <w:color w:val="000000" w:themeColor="text1"/>
          <w:sz w:val="18"/>
          <w:szCs w:val="18"/>
        </w:rPr>
        <w:t>P)</w:t>
      </w:r>
      <w:r w:rsidR="00DF1C0D" w:rsidRPr="00352ED4">
        <w:rPr>
          <w:rFonts w:ascii="Times New Roman" w:hAnsi="Times New Roman" w:cs="Times New Roman"/>
          <w:color w:val="000000" w:themeColor="text1"/>
          <w:sz w:val="18"/>
          <w:szCs w:val="18"/>
        </w:rPr>
        <w:t xml:space="preserve"> [18, 19]. </w:t>
      </w:r>
      <w:r w:rsidRPr="00352ED4">
        <w:rPr>
          <w:rFonts w:ascii="Times New Roman" w:eastAsiaTheme="majorEastAsia" w:hAnsi="Times New Roman" w:cs="Times New Roman"/>
          <w:color w:val="000000" w:themeColor="text1"/>
          <w:sz w:val="18"/>
          <w:szCs w:val="18"/>
        </w:rPr>
        <w:t>Lower-middle-income countries face structural barriers such as poverty, limited infrastructure, and a lack of skilled health workers, which increase the incidence of congenital anomalies. A systematic review of 17 studies showed that the dominant non-genetic risk factors for CL/</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were parental age (n=7) and low economic status (n=5), while the main genetic factor was a family history of CL/P (n=7</w:t>
      </w:r>
      <w:r w:rsidR="00DF1C0D" w:rsidRPr="00352ED4">
        <w:rPr>
          <w:rFonts w:ascii="Times New Roman" w:eastAsiaTheme="majorEastAsia" w:hAnsi="Times New Roman" w:cs="Times New Roman"/>
          <w:color w:val="000000" w:themeColor="text1"/>
          <w:sz w:val="18"/>
          <w:szCs w:val="18"/>
        </w:rPr>
        <w:t xml:space="preserve">) [19]. </w:t>
      </w:r>
      <w:r w:rsidRPr="00352ED4">
        <w:rPr>
          <w:rFonts w:ascii="Times New Roman" w:hAnsi="Times New Roman" w:cs="Times New Roman"/>
          <w:color w:val="000000" w:themeColor="text1"/>
          <w:sz w:val="18"/>
          <w:szCs w:val="18"/>
        </w:rPr>
        <w:t xml:space="preserve"> </w:t>
      </w:r>
    </w:p>
    <w:p w14:paraId="13173B93" w14:textId="77777777" w:rsidR="000A6E06" w:rsidRPr="00352ED4" w:rsidRDefault="000A6E06" w:rsidP="000A6E06">
      <w:pPr>
        <w:spacing w:line="360" w:lineRule="auto"/>
        <w:ind w:firstLine="720"/>
        <w:jc w:val="both"/>
        <w:rPr>
          <w:rFonts w:ascii="Times New Roman" w:eastAsiaTheme="majorEastAsia" w:hAnsi="Times New Roman" w:cs="Times New Roman"/>
          <w:b/>
          <w:bCs/>
          <w:color w:val="000000" w:themeColor="text1"/>
          <w:sz w:val="18"/>
          <w:szCs w:val="18"/>
        </w:rPr>
      </w:pPr>
      <w:r w:rsidRPr="00352ED4">
        <w:rPr>
          <w:rFonts w:ascii="Times New Roman" w:eastAsiaTheme="majorEastAsia" w:hAnsi="Times New Roman" w:cs="Times New Roman"/>
          <w:color w:val="000000" w:themeColor="text1"/>
          <w:sz w:val="18"/>
          <w:szCs w:val="18"/>
        </w:rPr>
        <w:t xml:space="preserve">Risk Factors Associated with Cleft Etiology: A Multicenter Experience found that 214/254 mothers of children </w:t>
      </w:r>
      <w:r w:rsidRPr="00352ED4">
        <w:rPr>
          <w:rFonts w:ascii="Times New Roman" w:eastAsiaTheme="majorEastAsia" w:hAnsi="Times New Roman" w:cs="Times New Roman"/>
          <w:color w:val="000000" w:themeColor="text1"/>
          <w:sz w:val="18"/>
          <w:szCs w:val="18"/>
        </w:rPr>
        <w:t>with 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xml:space="preserve"> (84.3%) were from low economic status, 28/254 (11%) from middle economic status, and only 12/254 (4.7%) from high economic status. These data confirm that the higher the mother's economic status, the smaller the proportion of 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xml:space="preserve"> cases, while low economic status increases the risk </w:t>
      </w:r>
      <w:r w:rsidR="00E30E72" w:rsidRPr="00352ED4">
        <w:rPr>
          <w:rFonts w:ascii="Times New Roman" w:hAnsi="Times New Roman" w:cs="Times New Roman"/>
          <w:color w:val="000000" w:themeColor="text1"/>
          <w:sz w:val="18"/>
          <w:szCs w:val="18"/>
        </w:rPr>
        <w:t>[20].</w:t>
      </w:r>
      <w:r w:rsidRPr="00352ED4">
        <w:rPr>
          <w:rFonts w:ascii="Times New Roman" w:hAnsi="Times New Roman" w:cs="Times New Roman"/>
          <w:color w:val="000000" w:themeColor="text1"/>
          <w:sz w:val="18"/>
          <w:szCs w:val="18"/>
        </w:rPr>
        <w:t xml:space="preserve"> </w:t>
      </w:r>
      <w:r w:rsidRPr="00352ED4">
        <w:rPr>
          <w:rFonts w:ascii="Times New Roman" w:eastAsiaTheme="majorEastAsia" w:hAnsi="Times New Roman" w:cs="Times New Roman"/>
          <w:color w:val="000000" w:themeColor="text1"/>
          <w:sz w:val="18"/>
          <w:szCs w:val="18"/>
        </w:rPr>
        <w:t>Research in India shows a dominant distribution of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cases in the lower-middle economic status 55.3% and middle 40.0%, while high 0.2%, upper-middle 3.8%, and low 0.7% are smaller proportions due to the small population of the extremely poor and under-reporting bias</w:t>
      </w:r>
      <w:r w:rsidR="00E30E72" w:rsidRPr="00352ED4">
        <w:rPr>
          <w:rFonts w:ascii="Times New Roman" w:hAnsi="Times New Roman" w:cs="Times New Roman"/>
          <w:color w:val="000000" w:themeColor="text1"/>
          <w:sz w:val="18"/>
          <w:szCs w:val="18"/>
        </w:rPr>
        <w:t xml:space="preserve"> [21]. </w:t>
      </w:r>
    </w:p>
    <w:p w14:paraId="7D553DA8" w14:textId="77777777" w:rsidR="000A6E06" w:rsidRPr="00352ED4" w:rsidRDefault="000A6E06" w:rsidP="000A6E06">
      <w:pPr>
        <w:spacing w:line="360" w:lineRule="auto"/>
        <w:ind w:firstLine="720"/>
        <w:jc w:val="both"/>
        <w:rPr>
          <w:rFonts w:ascii="Times New Roman" w:eastAsiaTheme="majorEastAsia" w:hAnsi="Times New Roman" w:cs="Times New Roman"/>
          <w:b/>
          <w:bCs/>
          <w:color w:val="000000" w:themeColor="text1"/>
          <w:sz w:val="18"/>
          <w:szCs w:val="18"/>
        </w:rPr>
      </w:pPr>
      <w:r w:rsidRPr="00352ED4">
        <w:rPr>
          <w:rFonts w:ascii="Times New Roman" w:hAnsi="Times New Roman" w:cs="Times New Roman"/>
          <w:color w:val="000000" w:themeColor="text1"/>
          <w:sz w:val="18"/>
          <w:szCs w:val="18"/>
        </w:rPr>
        <w:t xml:space="preserve">Research </w:t>
      </w:r>
      <w:r w:rsidR="00E30E72" w:rsidRPr="00352ED4">
        <w:rPr>
          <w:rFonts w:ascii="Times New Roman" w:hAnsi="Times New Roman" w:cs="Times New Roman"/>
          <w:color w:val="000000" w:themeColor="text1"/>
          <w:sz w:val="18"/>
          <w:szCs w:val="18"/>
        </w:rPr>
        <w:t xml:space="preserve">[11] </w:t>
      </w:r>
      <w:r w:rsidRPr="00352ED4">
        <w:rPr>
          <w:rFonts w:ascii="Times New Roman" w:eastAsiaTheme="majorEastAsia" w:hAnsi="Times New Roman" w:cs="Times New Roman"/>
          <w:color w:val="000000" w:themeColor="text1"/>
          <w:sz w:val="18"/>
          <w:szCs w:val="18"/>
        </w:rPr>
        <w:t>in Heilongjiang, China, showed that mothers with low income (&lt;10,000 yuan/year) had a higher proportion of cases, 47.8%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and 42.3%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compared to the control group of 20.8% (OR 1.94 and 1.9; p&lt;0.001), while high income (</w:t>
      </w:r>
      <w:r w:rsidRPr="00352ED4">
        <w:rPr>
          <w:rFonts w:ascii="Times New Roman" w:hAnsi="Times New Roman" w:cs="Times New Roman"/>
          <w:color w:val="000000" w:themeColor="text1"/>
          <w:sz w:val="18"/>
          <w:szCs w:val="18"/>
        </w:rPr>
        <w:t>&gt;</w:t>
      </w:r>
      <w:r w:rsidRPr="00352ED4">
        <w:rPr>
          <w:rFonts w:ascii="Times New Roman" w:eastAsiaTheme="majorEastAsia" w:hAnsi="Times New Roman" w:cs="Times New Roman"/>
          <w:color w:val="000000" w:themeColor="text1"/>
          <w:sz w:val="18"/>
          <w:szCs w:val="18"/>
        </w:rPr>
        <w:t>30,000 yuan/year) was more common in the control group 44.4% than in the case group 11%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and 20.5%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(OR 0.21 and 0.43; p</w:t>
      </w:r>
      <w:r w:rsidRPr="00352ED4">
        <w:rPr>
          <w:rFonts w:ascii="Times New Roman" w:hAnsi="Times New Roman" w:cs="Times New Roman"/>
          <w:color w:val="000000" w:themeColor="text1"/>
          <w:sz w:val="18"/>
          <w:szCs w:val="18"/>
        </w:rPr>
        <w:t>&lt;</w:t>
      </w:r>
      <w:r w:rsidRPr="00352ED4">
        <w:rPr>
          <w:rFonts w:ascii="Times New Roman" w:eastAsiaTheme="majorEastAsia" w:hAnsi="Times New Roman" w:cs="Times New Roman"/>
          <w:color w:val="000000" w:themeColor="text1"/>
          <w:sz w:val="18"/>
          <w:szCs w:val="18"/>
        </w:rPr>
        <w:t>0.001), indicating a protective effect. Middle income (10,000-30,000 yuan/year) was balanced between cases 37.2% and controls 34.8%. Low economic status was a significant risk factor for both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and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high economic status was protective, and mothers in the case group were predominantly less educated. A 10-year study in Northern Thailand found that mothers with incomes &lt;135 USD/month had significantly higher cases than controls (16.38% and 0%), incomes of 135-270 USD/month remained higher (20.69% and 12.24%), and middle income 270-540 USD/month had the highest incidence (32.76% and 26.53%), while income ≥540 USD/month showed a protective pattern with a decrease in cases of 18.97% and 48.98% (540-1080 USD), 6.90% and 12.24% (1080-1620 USD), and 4.31% without control at &gt;1620 USD/mont</w:t>
      </w:r>
      <w:r w:rsidRPr="00352ED4">
        <w:rPr>
          <w:rFonts w:ascii="Times New Roman" w:hAnsi="Times New Roman" w:cs="Times New Roman"/>
          <w:color w:val="000000" w:themeColor="text1"/>
          <w:sz w:val="18"/>
          <w:szCs w:val="18"/>
        </w:rPr>
        <w:t>h</w:t>
      </w:r>
      <w:r w:rsidR="00E30E72" w:rsidRPr="00352ED4">
        <w:rPr>
          <w:rFonts w:ascii="Times New Roman" w:hAnsi="Times New Roman" w:cs="Times New Roman"/>
          <w:color w:val="000000" w:themeColor="text1"/>
          <w:sz w:val="18"/>
          <w:szCs w:val="18"/>
        </w:rPr>
        <w:t xml:space="preserve"> [22]. </w:t>
      </w:r>
    </w:p>
    <w:p w14:paraId="4A2B4C45" w14:textId="77777777" w:rsidR="000A6E06" w:rsidRPr="00352ED4" w:rsidRDefault="000A6E06" w:rsidP="000A6E06">
      <w:pPr>
        <w:spacing w:line="360" w:lineRule="auto"/>
        <w:ind w:firstLine="720"/>
        <w:jc w:val="both"/>
        <w:rPr>
          <w:rFonts w:ascii="Times New Roman" w:eastAsiaTheme="majorEastAsia" w:hAnsi="Times New Roman" w:cs="Times New Roman"/>
          <w:b/>
          <w:bCs/>
          <w:color w:val="000000" w:themeColor="text1"/>
          <w:sz w:val="18"/>
          <w:szCs w:val="18"/>
        </w:rPr>
      </w:pPr>
      <w:r w:rsidRPr="00352ED4">
        <w:rPr>
          <w:rFonts w:ascii="Times New Roman" w:hAnsi="Times New Roman" w:cs="Times New Roman"/>
          <w:color w:val="000000" w:themeColor="text1"/>
          <w:sz w:val="18"/>
          <w:szCs w:val="18"/>
        </w:rPr>
        <w:t xml:space="preserve">Research </w:t>
      </w:r>
      <w:r w:rsidR="00E30E72" w:rsidRPr="00352ED4">
        <w:rPr>
          <w:rFonts w:ascii="Times New Roman" w:hAnsi="Times New Roman" w:cs="Times New Roman"/>
          <w:color w:val="000000" w:themeColor="text1"/>
          <w:sz w:val="18"/>
          <w:szCs w:val="18"/>
        </w:rPr>
        <w:t>[18]</w:t>
      </w:r>
      <w:r w:rsidRPr="00352ED4">
        <w:rPr>
          <w:rFonts w:ascii="Times New Roman" w:hAnsi="Times New Roman" w:cs="Times New Roman"/>
          <w:color w:val="000000" w:themeColor="text1"/>
          <w:sz w:val="18"/>
          <w:szCs w:val="18"/>
        </w:rPr>
        <w:t xml:space="preserve"> </w:t>
      </w:r>
      <w:r w:rsidRPr="00352ED4">
        <w:rPr>
          <w:rFonts w:ascii="Times New Roman" w:eastAsiaTheme="majorEastAsia" w:hAnsi="Times New Roman" w:cs="Times New Roman"/>
          <w:color w:val="000000" w:themeColor="text1"/>
          <w:sz w:val="18"/>
          <w:szCs w:val="18"/>
        </w:rPr>
        <w:t>in Myanmar shows that the majority of cases are in the low-middle income group of 75,000-180,000 MMK, with the very low group at 8%, and income &gt;180,000 MMK dropping to 7-15%, indicating a protective effect. The majority of cases were from low-educated groups, with only 10% completing professional education, and the majority working as farmers or unskilled laborers, indicating a link between education, income, and occupation with the risk of orofacial clefts. These studies show that high economic status and increased maternal income are associated with a reduced risk of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and a protective effect on children. This protection is not entirely absolute as other factors still play a role. Risk was found in all categories of economic status and maternal income levels, with the highest incidence in the low economic status group. This </w:t>
      </w:r>
      <w:r w:rsidRPr="00352ED4">
        <w:rPr>
          <w:rFonts w:ascii="Times New Roman" w:eastAsiaTheme="majorEastAsia" w:hAnsi="Times New Roman" w:cs="Times New Roman"/>
          <w:color w:val="000000" w:themeColor="text1"/>
          <w:sz w:val="18"/>
          <w:szCs w:val="18"/>
        </w:rPr>
        <w:lastRenderedPageBreak/>
        <w:t>phenomenon is explained by the complex interaction of economic factors, lifestyle, and maternal nutritional status</w:t>
      </w:r>
      <w:r w:rsidR="00E30E72" w:rsidRPr="00352ED4">
        <w:rPr>
          <w:rFonts w:ascii="Times New Roman" w:hAnsi="Times New Roman" w:cs="Times New Roman"/>
          <w:color w:val="000000" w:themeColor="text1"/>
          <w:sz w:val="18"/>
          <w:szCs w:val="18"/>
        </w:rPr>
        <w:t xml:space="preserve"> [22].</w:t>
      </w:r>
    </w:p>
    <w:p w14:paraId="7A19BED1" w14:textId="77777777" w:rsidR="000A6E06" w:rsidRPr="00352ED4" w:rsidRDefault="000A6E06" w:rsidP="000A6E06">
      <w:pPr>
        <w:spacing w:line="360" w:lineRule="auto"/>
        <w:ind w:firstLine="720"/>
        <w:jc w:val="both"/>
        <w:rPr>
          <w:rFonts w:ascii="Times New Roman" w:eastAsiaTheme="majorEastAsia" w:hAnsi="Times New Roman" w:cs="Times New Roman"/>
          <w:b/>
          <w:bCs/>
          <w:color w:val="000000" w:themeColor="text1"/>
          <w:sz w:val="18"/>
          <w:szCs w:val="18"/>
        </w:rPr>
      </w:pPr>
      <w:r w:rsidRPr="00352ED4">
        <w:rPr>
          <w:rFonts w:ascii="Times New Roman" w:eastAsiaTheme="majorEastAsia" w:hAnsi="Times New Roman" w:cs="Times New Roman"/>
          <w:color w:val="000000" w:themeColor="text1"/>
          <w:sz w:val="18"/>
          <w:szCs w:val="18"/>
        </w:rPr>
        <w:t>Another aspect of economic status is health insurance coverage</w:t>
      </w:r>
      <w:r w:rsidR="00E30E72" w:rsidRPr="00352ED4">
        <w:rPr>
          <w:rFonts w:ascii="Times New Roman" w:hAnsi="Times New Roman" w:cs="Times New Roman"/>
          <w:color w:val="000000" w:themeColor="text1"/>
          <w:sz w:val="18"/>
          <w:szCs w:val="18"/>
        </w:rPr>
        <w:t xml:space="preserve"> [23, 24] </w:t>
      </w:r>
      <w:r w:rsidRPr="00352ED4">
        <w:rPr>
          <w:rFonts w:ascii="Times New Roman" w:eastAsiaTheme="majorEastAsia" w:hAnsi="Times New Roman" w:cs="Times New Roman"/>
          <w:color w:val="000000" w:themeColor="text1"/>
          <w:sz w:val="18"/>
          <w:szCs w:val="18"/>
        </w:rPr>
        <w:t>shows that variations in insurance types have different implications for CL</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risk. Among mothers with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children, 1,496 out of 2,984 (50.1%) used private insurance compared to 3,375,299 out of 6,251,308 (54%) in the control group, while among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children, 628 out of 1,180 (53.2%) used private insurance compared to 54% in the control group. Private insurance tends to be protective because it is used more in the control group. Government insurance users are higher in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cases 471/1,180 (39.9%) compared to the control group 37.9% with OR 1.07, indicating a slight increase in risk, possibly related to limited access to antenatal care and folate supplementation distribution. Special insurance such as Indian Health Service, CHAMPUS, or TRICARE had a very small proportion (1.9% of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cases and 2.1% of controls; OR 0.98) and was not significant. Self-pay also showed no significant difference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3.8% and control 3.8%; C</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3.7% and control 4.1%; OR 0.99 and 0.92). Private insurance was more protective, government insurance slightly increased the risk, while special insurance and self-pay were not significant for C</w:t>
      </w:r>
      <w:r w:rsidRPr="00352ED4">
        <w:rPr>
          <w:rFonts w:ascii="Times New Roman" w:hAnsi="Times New Roman" w:cs="Times New Roman"/>
          <w:color w:val="000000" w:themeColor="text1"/>
          <w:sz w:val="18"/>
          <w:szCs w:val="18"/>
        </w:rPr>
        <w:t>L</w:t>
      </w:r>
      <w:r w:rsidRPr="00352ED4">
        <w:rPr>
          <w:rFonts w:ascii="Times New Roman" w:eastAsiaTheme="majorEastAsia" w:hAnsi="Times New Roman" w:cs="Times New Roman"/>
          <w:color w:val="000000" w:themeColor="text1"/>
          <w:sz w:val="18"/>
          <w:szCs w:val="18"/>
        </w:rPr>
        <w:t>/</w:t>
      </w:r>
      <w:r w:rsidRPr="00352ED4">
        <w:rPr>
          <w:rFonts w:ascii="Times New Roman" w:hAnsi="Times New Roman" w:cs="Times New Roman"/>
          <w:color w:val="000000" w:themeColor="text1"/>
          <w:sz w:val="18"/>
          <w:szCs w:val="18"/>
        </w:rPr>
        <w:t>P</w:t>
      </w:r>
      <w:r w:rsidRPr="00352ED4">
        <w:rPr>
          <w:rFonts w:ascii="Times New Roman" w:eastAsiaTheme="majorEastAsia" w:hAnsi="Times New Roman" w:cs="Times New Roman"/>
          <w:color w:val="000000" w:themeColor="text1"/>
          <w:sz w:val="18"/>
          <w:szCs w:val="18"/>
        </w:rPr>
        <w:t xml:space="preserve"> occurrence</w:t>
      </w:r>
      <w:r w:rsidRPr="00352ED4">
        <w:rPr>
          <w:rFonts w:ascii="Times New Roman" w:hAnsi="Times New Roman" w:cs="Times New Roman"/>
          <w:color w:val="000000" w:themeColor="text1"/>
          <w:sz w:val="18"/>
          <w:szCs w:val="18"/>
        </w:rPr>
        <w:t xml:space="preserve"> </w:t>
      </w:r>
      <w:r w:rsidR="00E30E72" w:rsidRPr="00352ED4">
        <w:rPr>
          <w:rFonts w:ascii="Times New Roman" w:hAnsi="Times New Roman" w:cs="Times New Roman"/>
          <w:color w:val="000000" w:themeColor="text1"/>
          <w:sz w:val="18"/>
          <w:szCs w:val="18"/>
        </w:rPr>
        <w:t xml:space="preserve">[23]. </w:t>
      </w:r>
    </w:p>
    <w:p w14:paraId="48BA4A44" w14:textId="77777777" w:rsidR="000A6E06" w:rsidRPr="00352ED4" w:rsidRDefault="000A6E06" w:rsidP="000A6E06">
      <w:pPr>
        <w:spacing w:line="360" w:lineRule="auto"/>
        <w:ind w:firstLine="720"/>
        <w:jc w:val="both"/>
        <w:rPr>
          <w:rFonts w:ascii="Times New Roman" w:eastAsiaTheme="majorEastAsia" w:hAnsi="Times New Roman" w:cs="Times New Roman"/>
          <w:b/>
          <w:bCs/>
          <w:color w:val="000000" w:themeColor="text1"/>
          <w:sz w:val="18"/>
          <w:szCs w:val="18"/>
        </w:rPr>
      </w:pPr>
      <w:r w:rsidRPr="00352ED4">
        <w:rPr>
          <w:rFonts w:ascii="Times New Roman" w:eastAsiaTheme="majorEastAsia" w:hAnsi="Times New Roman" w:cs="Times New Roman"/>
          <w:color w:val="000000" w:themeColor="text1"/>
          <w:sz w:val="18"/>
          <w:szCs w:val="18"/>
        </w:rPr>
        <w:t>Low economic status has an impact on mothers' education, with the majority having only a basic education and lacking awareness of environmental factors that affect the fetus</w:t>
      </w:r>
      <w:r w:rsidR="00E30E72" w:rsidRPr="00352ED4">
        <w:rPr>
          <w:rFonts w:ascii="Times New Roman" w:hAnsi="Times New Roman" w:cs="Times New Roman"/>
          <w:color w:val="000000" w:themeColor="text1"/>
          <w:sz w:val="18"/>
          <w:szCs w:val="18"/>
        </w:rPr>
        <w:t xml:space="preserve"> [9, 19, 25]. </w:t>
      </w:r>
      <w:r w:rsidRPr="00352ED4">
        <w:rPr>
          <w:rFonts w:ascii="Times New Roman" w:eastAsiaTheme="majorEastAsia" w:hAnsi="Times New Roman" w:cs="Times New Roman"/>
          <w:color w:val="000000" w:themeColor="text1"/>
          <w:sz w:val="18"/>
          <w:szCs w:val="18"/>
        </w:rPr>
        <w:t>Mothers with low economic status are less likely to receive proper nutritional guidance and have difficulty purchasing nutritious food</w:t>
      </w:r>
      <w:r w:rsidR="00E30E72" w:rsidRPr="00352ED4">
        <w:rPr>
          <w:rFonts w:ascii="Times New Roman" w:eastAsiaTheme="majorEastAsia" w:hAnsi="Times New Roman" w:cs="Times New Roman"/>
          <w:color w:val="000000" w:themeColor="text1"/>
          <w:sz w:val="18"/>
          <w:szCs w:val="18"/>
        </w:rPr>
        <w:t xml:space="preserve"> </w:t>
      </w:r>
      <w:r w:rsidR="00E30E72" w:rsidRPr="00352ED4">
        <w:rPr>
          <w:rFonts w:ascii="Times New Roman" w:hAnsi="Times New Roman" w:cs="Times New Roman"/>
          <w:color w:val="000000" w:themeColor="text1"/>
          <w:sz w:val="18"/>
          <w:szCs w:val="18"/>
        </w:rPr>
        <w:t xml:space="preserve">[21]. </w:t>
      </w:r>
      <w:r w:rsidRPr="00352ED4">
        <w:rPr>
          <w:rFonts w:ascii="Times New Roman" w:eastAsiaTheme="majorEastAsia" w:hAnsi="Times New Roman" w:cs="Times New Roman"/>
          <w:color w:val="000000" w:themeColor="text1"/>
          <w:sz w:val="18"/>
          <w:szCs w:val="18"/>
        </w:rPr>
        <w:t>The type of insurance and health financing system reflects the ability to access crucial antenatal services for 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xml:space="preserve"> prevention</w:t>
      </w:r>
      <w:r w:rsidR="00E30E72" w:rsidRPr="00352ED4">
        <w:rPr>
          <w:rFonts w:ascii="Times New Roman" w:eastAsiaTheme="majorEastAsia" w:hAnsi="Times New Roman" w:cs="Times New Roman"/>
          <w:color w:val="000000" w:themeColor="text1"/>
          <w:sz w:val="18"/>
          <w:szCs w:val="18"/>
        </w:rPr>
        <w:t xml:space="preserve"> [23]. </w:t>
      </w:r>
      <w:r w:rsidRPr="00352ED4">
        <w:rPr>
          <w:rFonts w:ascii="Times New Roman" w:eastAsiaTheme="majorEastAsia" w:hAnsi="Times New Roman" w:cs="Times New Roman"/>
          <w:color w:val="000000" w:themeColor="text1"/>
          <w:sz w:val="18"/>
          <w:szCs w:val="18"/>
        </w:rPr>
        <w:t>Research in Indonesia shows that 91.7% of low-income mothers are deficient in folic acid (B9), with a 3.6 times greater risk, and 9.5% are deficient in vitamin B12, with a 1.6 times greater risk compared to high-income mothers</w:t>
      </w:r>
      <w:r w:rsidR="00E30E72" w:rsidRPr="00352ED4">
        <w:rPr>
          <w:rFonts w:ascii="Times New Roman" w:hAnsi="Times New Roman" w:cs="Times New Roman"/>
          <w:color w:val="000000" w:themeColor="text1"/>
          <w:sz w:val="18"/>
          <w:szCs w:val="18"/>
        </w:rPr>
        <w:t xml:space="preserve"> [25]. </w:t>
      </w:r>
      <w:r w:rsidRPr="00352ED4">
        <w:rPr>
          <w:rFonts w:ascii="Times New Roman" w:eastAsiaTheme="majorEastAsia" w:hAnsi="Times New Roman" w:cs="Times New Roman"/>
          <w:color w:val="000000" w:themeColor="text1"/>
          <w:sz w:val="18"/>
          <w:szCs w:val="18"/>
        </w:rPr>
        <w:t>Deficiencies in folate, B12, and B6 disrupt one-carbon metabolism, which is important for homocysteine remethylation and the synthesis of DNA, RNA, and histone proteins</w:t>
      </w:r>
      <w:r w:rsidR="00E30E72" w:rsidRPr="00352ED4">
        <w:rPr>
          <w:rFonts w:ascii="Times New Roman" w:hAnsi="Times New Roman" w:cs="Times New Roman"/>
          <w:color w:val="000000" w:themeColor="text1"/>
          <w:sz w:val="18"/>
          <w:szCs w:val="18"/>
        </w:rPr>
        <w:t xml:space="preserve"> [</w:t>
      </w:r>
      <w:r w:rsidR="00B1294C" w:rsidRPr="00352ED4">
        <w:rPr>
          <w:rFonts w:ascii="Times New Roman" w:hAnsi="Times New Roman" w:cs="Times New Roman"/>
          <w:color w:val="000000" w:themeColor="text1"/>
          <w:sz w:val="18"/>
          <w:szCs w:val="18"/>
        </w:rPr>
        <w:t xml:space="preserve">6, </w:t>
      </w:r>
      <w:r w:rsidR="00E30E72" w:rsidRPr="00352ED4">
        <w:rPr>
          <w:rFonts w:ascii="Times New Roman" w:hAnsi="Times New Roman" w:cs="Times New Roman"/>
          <w:color w:val="000000" w:themeColor="text1"/>
          <w:sz w:val="18"/>
          <w:szCs w:val="18"/>
        </w:rPr>
        <w:t>11].</w:t>
      </w:r>
      <w:r w:rsidRPr="00352ED4">
        <w:rPr>
          <w:rFonts w:ascii="Times New Roman" w:hAnsi="Times New Roman" w:cs="Times New Roman"/>
          <w:color w:val="000000" w:themeColor="text1"/>
          <w:sz w:val="18"/>
          <w:szCs w:val="18"/>
        </w:rPr>
        <w:t xml:space="preserve"> </w:t>
      </w:r>
      <w:r w:rsidRPr="00352ED4">
        <w:rPr>
          <w:rFonts w:ascii="Times New Roman" w:eastAsiaTheme="majorEastAsia" w:hAnsi="Times New Roman" w:cs="Times New Roman"/>
          <w:color w:val="000000" w:themeColor="text1"/>
          <w:sz w:val="18"/>
          <w:szCs w:val="18"/>
        </w:rPr>
        <w:t>Psychological factors play a role, with 47% of mothers of children with orofacial clefts experiencing stress during pregnancy and 60% of them experiencing financial stress, which increases cortisol release and has potential teratogenic effects in early pregnancy</w:t>
      </w:r>
      <w:r w:rsidR="00E30E72" w:rsidRPr="00352ED4">
        <w:rPr>
          <w:rFonts w:ascii="Times New Roman" w:eastAsiaTheme="majorEastAsia" w:hAnsi="Times New Roman" w:cs="Times New Roman"/>
          <w:color w:val="000000" w:themeColor="text1"/>
          <w:sz w:val="18"/>
          <w:szCs w:val="18"/>
        </w:rPr>
        <w:t xml:space="preserve"> [18, 20]. </w:t>
      </w:r>
      <w:r w:rsidRPr="00352ED4">
        <w:rPr>
          <w:rFonts w:ascii="Times New Roman" w:eastAsiaTheme="majorEastAsia" w:hAnsi="Times New Roman" w:cs="Times New Roman"/>
          <w:color w:val="000000" w:themeColor="text1"/>
          <w:sz w:val="18"/>
          <w:szCs w:val="18"/>
        </w:rPr>
        <w:t>Low economic status affects both material and psychological aspects, both of which increase the risk of giving birth to a child with C</w:t>
      </w:r>
      <w:r w:rsidRPr="00352ED4">
        <w:rPr>
          <w:rFonts w:ascii="Times New Roman" w:hAnsi="Times New Roman" w:cs="Times New Roman"/>
          <w:color w:val="000000" w:themeColor="text1"/>
          <w:sz w:val="18"/>
          <w:szCs w:val="18"/>
        </w:rPr>
        <w:t>LP</w:t>
      </w:r>
      <w:r w:rsidRPr="00352ED4">
        <w:rPr>
          <w:rFonts w:ascii="Times New Roman" w:eastAsiaTheme="majorEastAsia" w:hAnsi="Times New Roman" w:cs="Times New Roman"/>
          <w:color w:val="000000" w:themeColor="text1"/>
          <w:sz w:val="18"/>
          <w:szCs w:val="18"/>
        </w:rPr>
        <w:t xml:space="preserve">. </w:t>
      </w:r>
    </w:p>
    <w:p w14:paraId="2DBFF3BD" w14:textId="77777777" w:rsidR="00BA5C80" w:rsidRPr="00352ED4" w:rsidRDefault="00BA5C80">
      <w:pPr>
        <w:pBdr>
          <w:top w:val="nil"/>
          <w:left w:val="nil"/>
          <w:bottom w:val="nil"/>
          <w:right w:val="nil"/>
          <w:between w:val="nil"/>
        </w:pBdr>
        <w:spacing w:after="120" w:line="240" w:lineRule="auto"/>
        <w:jc w:val="both"/>
        <w:rPr>
          <w:rFonts w:ascii="Times New Roman" w:eastAsia="Times New Roman" w:hAnsi="Times New Roman" w:cs="Times New Roman"/>
          <w:b/>
          <w:color w:val="17365D"/>
          <w:sz w:val="20"/>
          <w:szCs w:val="20"/>
        </w:rPr>
      </w:pPr>
    </w:p>
    <w:p w14:paraId="37F655C1" w14:textId="77777777" w:rsidR="00BA5C80" w:rsidRPr="00352ED4" w:rsidRDefault="00000000" w:rsidP="000A6E06">
      <w:pPr>
        <w:pBdr>
          <w:top w:val="nil"/>
          <w:left w:val="nil"/>
          <w:bottom w:val="nil"/>
          <w:right w:val="nil"/>
          <w:between w:val="nil"/>
        </w:pBdr>
        <w:spacing w:after="120" w:line="240" w:lineRule="auto"/>
        <w:jc w:val="both"/>
        <w:rPr>
          <w:rFonts w:ascii="Times New Roman" w:eastAsia="Times New Roman" w:hAnsi="Times New Roman" w:cs="Times New Roman"/>
          <w:b/>
          <w:color w:val="17365D"/>
          <w:sz w:val="28"/>
          <w:szCs w:val="28"/>
        </w:rPr>
      </w:pPr>
      <w:r w:rsidRPr="00352ED4">
        <w:rPr>
          <w:rFonts w:ascii="Times New Roman" w:eastAsia="Times New Roman" w:hAnsi="Times New Roman" w:cs="Times New Roman"/>
          <w:b/>
          <w:color w:val="17365D"/>
          <w:sz w:val="28"/>
          <w:szCs w:val="28"/>
        </w:rPr>
        <w:t>Conclusion</w:t>
      </w:r>
    </w:p>
    <w:p w14:paraId="00449A85" w14:textId="77777777" w:rsidR="000A6E06" w:rsidRPr="00352ED4" w:rsidRDefault="000A6E06" w:rsidP="000A6E06">
      <w:pPr>
        <w:spacing w:line="360" w:lineRule="auto"/>
        <w:ind w:firstLine="720"/>
        <w:jc w:val="both"/>
        <w:rPr>
          <w:rFonts w:ascii="Times New Roman" w:hAnsi="Times New Roman" w:cs="Times New Roman"/>
          <w:b/>
          <w:bCs/>
          <w:color w:val="000000" w:themeColor="text1"/>
          <w:sz w:val="20"/>
          <w:szCs w:val="20"/>
          <w:lang w:val="sv-SE"/>
        </w:rPr>
      </w:pPr>
      <w:r w:rsidRPr="00352ED4">
        <w:rPr>
          <w:rFonts w:ascii="Times New Roman" w:eastAsiaTheme="majorEastAsia" w:hAnsi="Times New Roman" w:cs="Times New Roman"/>
          <w:color w:val="000000" w:themeColor="text1"/>
          <w:sz w:val="20"/>
          <w:szCs w:val="20"/>
        </w:rPr>
        <w:t>Maternal nutritional status with deficiencies in folic acid (B9), cobalamin (B12), and pyridoxine (B6) increases the risk of Cleft Lip and Palate (CLP). Low maternal economic status also increases the risk of CLP due to limited access to nutritious food, micronutrient supplementation, antenatal care, maternal health education, and financial stress that affects the quality of nutrition  and physiological conditions of the mother during pregnancy.</w:t>
      </w:r>
    </w:p>
    <w:p w14:paraId="62E885C7" w14:textId="77777777" w:rsidR="00BA5C80" w:rsidRPr="00352ED4" w:rsidRDefault="00BA5C80">
      <w:pPr>
        <w:pBdr>
          <w:top w:val="nil"/>
          <w:left w:val="nil"/>
          <w:bottom w:val="nil"/>
          <w:right w:val="nil"/>
          <w:between w:val="nil"/>
        </w:pBdr>
        <w:spacing w:after="120" w:line="240" w:lineRule="auto"/>
        <w:rPr>
          <w:rFonts w:ascii="Times New Roman" w:eastAsia="Times New Roman" w:hAnsi="Times New Roman" w:cs="Times New Roman"/>
          <w:b/>
          <w:color w:val="17365D"/>
          <w:sz w:val="28"/>
          <w:szCs w:val="28"/>
        </w:rPr>
      </w:pPr>
      <w:bookmarkStart w:id="1" w:name="_heading=h.gjdgxs" w:colFirst="0" w:colLast="0"/>
      <w:bookmarkEnd w:id="1"/>
    </w:p>
    <w:p w14:paraId="0D611C9B" w14:textId="77777777" w:rsidR="00BA5C80" w:rsidRPr="00352ED4" w:rsidRDefault="00000000">
      <w:pPr>
        <w:pBdr>
          <w:top w:val="nil"/>
          <w:left w:val="nil"/>
          <w:bottom w:val="nil"/>
          <w:right w:val="nil"/>
          <w:between w:val="nil"/>
        </w:pBdr>
        <w:spacing w:after="120" w:line="240" w:lineRule="auto"/>
        <w:rPr>
          <w:rFonts w:ascii="Times New Roman" w:eastAsia="Times New Roman" w:hAnsi="Times New Roman" w:cs="Times New Roman"/>
          <w:b/>
          <w:color w:val="17365D"/>
          <w:sz w:val="28"/>
          <w:szCs w:val="28"/>
        </w:rPr>
      </w:pPr>
      <w:r w:rsidRPr="00352ED4">
        <w:rPr>
          <w:rFonts w:ascii="Times New Roman" w:eastAsia="Times New Roman" w:hAnsi="Times New Roman" w:cs="Times New Roman"/>
          <w:b/>
          <w:color w:val="17365D"/>
          <w:sz w:val="28"/>
          <w:szCs w:val="28"/>
        </w:rPr>
        <w:t>REFERENCE</w:t>
      </w:r>
    </w:p>
    <w:p w14:paraId="61932B17"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Matthew, F., Wilar, R. and Umboh, A. (n</w:t>
      </w:r>
      <w:r w:rsidR="00B1294C" w:rsidRPr="00352ED4">
        <w:rPr>
          <w:rFonts w:ascii="Times New Roman" w:hAnsi="Times New Roman" w:cs="Times New Roman"/>
          <w:color w:val="000000" w:themeColor="text1"/>
          <w:sz w:val="20"/>
          <w:szCs w:val="20"/>
        </w:rPr>
        <w:t>.d</w:t>
      </w:r>
      <w:r w:rsidRPr="00352ED4">
        <w:rPr>
          <w:rFonts w:ascii="Times New Roman" w:hAnsi="Times New Roman" w:cs="Times New Roman"/>
          <w:color w:val="000000" w:themeColor="text1"/>
          <w:sz w:val="20"/>
          <w:szCs w:val="20"/>
        </w:rPr>
        <w:t xml:space="preserve">) “Faktor Risiko yang Berhubungan dengan Kejadian Kelainan Bawaan pada Neonatus.” Available at: </w:t>
      </w:r>
      <w:hyperlink r:id="rId27" w:history="1">
        <w:r w:rsidRPr="00352ED4">
          <w:rPr>
            <w:rStyle w:val="Hyperlink"/>
            <w:rFonts w:ascii="Times New Roman" w:hAnsi="Times New Roman" w:cs="Times New Roman"/>
            <w:color w:val="000000" w:themeColor="text1"/>
            <w:sz w:val="20"/>
            <w:szCs w:val="20"/>
          </w:rPr>
          <w:t>https://doi.org/10.35790/ecl.9.1.2021.32306</w:t>
        </w:r>
      </w:hyperlink>
      <w:r w:rsidRPr="00352ED4">
        <w:rPr>
          <w:rFonts w:ascii="Times New Roman" w:hAnsi="Times New Roman" w:cs="Times New Roman"/>
          <w:color w:val="000000" w:themeColor="text1"/>
          <w:sz w:val="20"/>
          <w:szCs w:val="20"/>
        </w:rPr>
        <w:t>.</w:t>
      </w:r>
    </w:p>
    <w:p w14:paraId="65E907D1"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Farhan, T.M.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(2020) “Craniofacial Anomaly Association with the Internal Malformations in the Pediatric Age Group in Al-Fallujah City-Iraq,” BioMed Research International, 2020. Available at: </w:t>
      </w:r>
      <w:hyperlink r:id="rId28" w:history="1">
        <w:r w:rsidRPr="00352ED4">
          <w:rPr>
            <w:rStyle w:val="Hyperlink"/>
            <w:rFonts w:ascii="Times New Roman" w:hAnsi="Times New Roman" w:cs="Times New Roman"/>
            <w:color w:val="000000" w:themeColor="text1"/>
            <w:sz w:val="20"/>
            <w:szCs w:val="20"/>
          </w:rPr>
          <w:t>https://doi.org/10.1155/2020/4725141</w:t>
        </w:r>
      </w:hyperlink>
      <w:r w:rsidRPr="00352ED4">
        <w:rPr>
          <w:rFonts w:ascii="Times New Roman" w:hAnsi="Times New Roman" w:cs="Times New Roman"/>
          <w:color w:val="000000" w:themeColor="text1"/>
          <w:sz w:val="20"/>
          <w:szCs w:val="20"/>
        </w:rPr>
        <w:t>.</w:t>
      </w:r>
    </w:p>
    <w:p w14:paraId="37DDBD6F"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Salari N, D.N.H.M.B.S.D.F.M.M. (2021) “Global prevalence of cleft palate, cleft lip and cleft palate and lip: A comprehensive systematic review and meta-analysis,” J Stomatol Oral Maxillofac Surg 000, pp. 1–11.</w:t>
      </w:r>
    </w:p>
    <w:p w14:paraId="50B9235D"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Elfiah, U., -, K. and Wahyudi, S. (2021) “Analisis Kejadian Sumbing Bibir dan Langit: Studi Deskriptif Berdasarkan Tinjauan Geografis,” Jurnal Rekonstruksi dan Estetik, 6(1), p. 34. Available at: </w:t>
      </w:r>
      <w:hyperlink r:id="rId29" w:history="1">
        <w:r w:rsidRPr="00352ED4">
          <w:rPr>
            <w:rStyle w:val="Hyperlink"/>
            <w:rFonts w:ascii="Times New Roman" w:hAnsi="Times New Roman" w:cs="Times New Roman"/>
            <w:color w:val="000000" w:themeColor="text1"/>
            <w:sz w:val="20"/>
            <w:szCs w:val="20"/>
          </w:rPr>
          <w:t>https://doi.org/10.20473/jre.v6i1.28230</w:t>
        </w:r>
      </w:hyperlink>
      <w:r w:rsidRPr="00352ED4">
        <w:rPr>
          <w:rFonts w:ascii="Times New Roman" w:hAnsi="Times New Roman" w:cs="Times New Roman"/>
          <w:color w:val="000000" w:themeColor="text1"/>
          <w:sz w:val="20"/>
          <w:szCs w:val="20"/>
        </w:rPr>
        <w:t>.</w:t>
      </w:r>
    </w:p>
    <w:p w14:paraId="698E9108"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Kulesa-Mrowiecka, M. et al. (2024) “Characteristics of Factors Influencing the Occurrence of Cleft Lip and/or Palate: A Case Analysis and Literature Review,” Children, 11(4). Available at: </w:t>
      </w:r>
      <w:hyperlink r:id="rId30" w:history="1">
        <w:r w:rsidRPr="00352ED4">
          <w:rPr>
            <w:rStyle w:val="Hyperlink"/>
            <w:rFonts w:ascii="Times New Roman" w:hAnsi="Times New Roman" w:cs="Times New Roman"/>
            <w:color w:val="000000" w:themeColor="text1"/>
            <w:sz w:val="20"/>
            <w:szCs w:val="20"/>
          </w:rPr>
          <w:t>https://doi.org/10.3390/children11040399</w:t>
        </w:r>
      </w:hyperlink>
      <w:r w:rsidRPr="00352ED4">
        <w:rPr>
          <w:rFonts w:ascii="Times New Roman" w:hAnsi="Times New Roman" w:cs="Times New Roman"/>
          <w:color w:val="000000" w:themeColor="text1"/>
          <w:sz w:val="20"/>
          <w:szCs w:val="20"/>
        </w:rPr>
        <w:t>.</w:t>
      </w:r>
    </w:p>
    <w:p w14:paraId="1D5ECF7A"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Munger, R.G.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(2021) “Maternal Vitamin B12 </w:t>
      </w:r>
      <w:r w:rsidRPr="00352ED4">
        <w:rPr>
          <w:rFonts w:ascii="Times New Roman" w:hAnsi="Times New Roman" w:cs="Times New Roman"/>
          <w:color w:val="000000" w:themeColor="text1"/>
          <w:sz w:val="20"/>
          <w:szCs w:val="20"/>
        </w:rPr>
        <w:lastRenderedPageBreak/>
        <w:t xml:space="preserve">Status and Risk of Cleft Lip and Cleft Palate Birth Defects in Tamil Nadu State, India,” Cleft Palate-Craniofacial Journal, 58(5), pp. 567–576. Available at: </w:t>
      </w:r>
      <w:hyperlink r:id="rId31" w:history="1">
        <w:r w:rsidRPr="00352ED4">
          <w:rPr>
            <w:rStyle w:val="Hyperlink"/>
            <w:rFonts w:ascii="Times New Roman" w:hAnsi="Times New Roman" w:cs="Times New Roman"/>
            <w:color w:val="000000" w:themeColor="text1"/>
            <w:sz w:val="20"/>
            <w:szCs w:val="20"/>
          </w:rPr>
          <w:t>https://doi.org/10.1177/1055665621998394</w:t>
        </w:r>
      </w:hyperlink>
      <w:r w:rsidRPr="00352ED4">
        <w:rPr>
          <w:rFonts w:ascii="Times New Roman" w:hAnsi="Times New Roman" w:cs="Times New Roman"/>
          <w:color w:val="000000" w:themeColor="text1"/>
          <w:sz w:val="20"/>
          <w:szCs w:val="20"/>
        </w:rPr>
        <w:t>.</w:t>
      </w:r>
    </w:p>
    <w:p w14:paraId="594A408E"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Siddiqui, F.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(2020) “The Intertwined Relationship Between Malnutrition and Poverty,” 8(August), pp. 1–5. Available at: </w:t>
      </w:r>
      <w:hyperlink r:id="rId32" w:history="1">
        <w:r w:rsidRPr="00352ED4">
          <w:rPr>
            <w:rStyle w:val="Hyperlink"/>
            <w:rFonts w:ascii="Times New Roman" w:hAnsi="Times New Roman" w:cs="Times New Roman"/>
            <w:color w:val="000000" w:themeColor="text1"/>
            <w:sz w:val="20"/>
            <w:szCs w:val="20"/>
          </w:rPr>
          <w:t>https://doi.org/10.3389/fpubh.2020.00453</w:t>
        </w:r>
      </w:hyperlink>
      <w:r w:rsidRPr="00352ED4">
        <w:rPr>
          <w:rFonts w:ascii="Times New Roman" w:hAnsi="Times New Roman" w:cs="Times New Roman"/>
          <w:color w:val="000000" w:themeColor="text1"/>
          <w:sz w:val="20"/>
          <w:szCs w:val="20"/>
        </w:rPr>
        <w:t>.</w:t>
      </w:r>
    </w:p>
    <w:p w14:paraId="109B5B22" w14:textId="77777777" w:rsidR="00B41E4B" w:rsidRPr="00352ED4" w:rsidRDefault="00B41E4B"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Purwitasari, K.T.I., Sanjaya, I.G.P.H. and Hamid, A.R.R.H. (2020) “Gambaran faktor risiko penyebab terjadinya celah bibir dan celah langitan di Denpasar tahun 2019,” Intisari Sains Medis, 11(2), pp. 697–701. Available at: </w:t>
      </w:r>
      <w:hyperlink r:id="rId33" w:history="1">
        <w:r w:rsidRPr="00352ED4">
          <w:rPr>
            <w:rStyle w:val="Hyperlink"/>
            <w:rFonts w:ascii="Times New Roman" w:hAnsi="Times New Roman" w:cs="Times New Roman"/>
            <w:color w:val="000000" w:themeColor="text1"/>
            <w:sz w:val="20"/>
            <w:szCs w:val="20"/>
          </w:rPr>
          <w:t>https://doi.org/10.15562/ism.v11i2.656</w:t>
        </w:r>
      </w:hyperlink>
      <w:r w:rsidRPr="00352ED4">
        <w:rPr>
          <w:rFonts w:ascii="Times New Roman" w:hAnsi="Times New Roman" w:cs="Times New Roman"/>
          <w:color w:val="000000" w:themeColor="text1"/>
          <w:sz w:val="20"/>
          <w:szCs w:val="20"/>
        </w:rPr>
        <w:t>.</w:t>
      </w:r>
    </w:p>
    <w:p w14:paraId="3303EF22"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Xu, D.P.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(2018) “A Study on Environmental Factors for Nonsyndromic Cleft Lip and/or Palate,” Journal of Craniofacial Surgery, 29(2), pp. 364–367. Available at: https://doi.org/10.1097/SCS.0000000000004214.</w:t>
      </w:r>
    </w:p>
    <w:p w14:paraId="38F9C5A4"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Mogess, W.N. and Mihretie, T.B. (2024) “Prevalence and associated factors of congenital anomalies in Ethiopia: A systematic review and meta-analysis,” PLoS ONE, 19(4 APRIL). Available at: </w:t>
      </w:r>
      <w:hyperlink r:id="rId34" w:history="1">
        <w:r w:rsidRPr="00352ED4">
          <w:rPr>
            <w:rStyle w:val="Hyperlink"/>
            <w:rFonts w:ascii="Times New Roman" w:hAnsi="Times New Roman" w:cs="Times New Roman"/>
            <w:color w:val="000000" w:themeColor="text1"/>
            <w:sz w:val="20"/>
            <w:szCs w:val="20"/>
          </w:rPr>
          <w:t>https://doi.org/10.1371/journal.pone.0302393</w:t>
        </w:r>
      </w:hyperlink>
      <w:r w:rsidRPr="00352ED4">
        <w:rPr>
          <w:rFonts w:ascii="Times New Roman" w:hAnsi="Times New Roman" w:cs="Times New Roman"/>
          <w:color w:val="000000" w:themeColor="text1"/>
          <w:sz w:val="20"/>
          <w:szCs w:val="20"/>
        </w:rPr>
        <w:t>.</w:t>
      </w:r>
    </w:p>
    <w:p w14:paraId="611FF9B2"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Hao, Y.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(2015) “Association of parental environmental exposures and supplementation intake with risk of nonsyndromic orofacial clefts: A case-control study in Heilongjiang Province, China,” Nutrients, 7(9), pp. 7172–7184. Available at: </w:t>
      </w:r>
      <w:hyperlink r:id="rId35" w:history="1">
        <w:r w:rsidRPr="00352ED4">
          <w:rPr>
            <w:rStyle w:val="Hyperlink"/>
            <w:rFonts w:ascii="Times New Roman" w:hAnsi="Times New Roman" w:cs="Times New Roman"/>
            <w:color w:val="000000" w:themeColor="text1"/>
            <w:sz w:val="20"/>
            <w:szCs w:val="20"/>
          </w:rPr>
          <w:t>https://doi.org/10.3390/nu7095328</w:t>
        </w:r>
      </w:hyperlink>
      <w:r w:rsidRPr="00352ED4">
        <w:rPr>
          <w:rFonts w:ascii="Times New Roman" w:hAnsi="Times New Roman" w:cs="Times New Roman"/>
          <w:color w:val="000000" w:themeColor="text1"/>
          <w:sz w:val="20"/>
          <w:szCs w:val="20"/>
        </w:rPr>
        <w:t>.</w:t>
      </w:r>
    </w:p>
    <w:p w14:paraId="22BB08B1"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Bezerra, J.F.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(2015) “Genetic and non-genetic factors that increase the risk of non-syndromic cleft lip and/or palate development,” Oral Diseases, 21(3), pp. 393–399. Available at: </w:t>
      </w:r>
      <w:hyperlink r:id="rId36" w:history="1">
        <w:r w:rsidRPr="00352ED4">
          <w:rPr>
            <w:rStyle w:val="Hyperlink"/>
            <w:rFonts w:ascii="Times New Roman" w:hAnsi="Times New Roman" w:cs="Times New Roman"/>
            <w:color w:val="000000" w:themeColor="text1"/>
            <w:sz w:val="20"/>
            <w:szCs w:val="20"/>
          </w:rPr>
          <w:t>https://doi.org/10.1111/odi.12292</w:t>
        </w:r>
      </w:hyperlink>
      <w:r w:rsidRPr="00352ED4">
        <w:rPr>
          <w:rFonts w:ascii="Times New Roman" w:hAnsi="Times New Roman" w:cs="Times New Roman"/>
          <w:color w:val="000000" w:themeColor="text1"/>
          <w:sz w:val="20"/>
          <w:szCs w:val="20"/>
        </w:rPr>
        <w:t>.</w:t>
      </w:r>
    </w:p>
    <w:p w14:paraId="7C493EC5"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Jahanbin, A.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(2018) “Maternal folic acid supplementation and the risk of oral clefts in offspring,” Journal of Craniofacial Surgery, 29(6), pp. e534–e541. Available at: </w:t>
      </w:r>
      <w:hyperlink r:id="rId37" w:history="1">
        <w:r w:rsidRPr="00352ED4">
          <w:rPr>
            <w:rStyle w:val="Hyperlink"/>
            <w:rFonts w:ascii="Times New Roman" w:hAnsi="Times New Roman" w:cs="Times New Roman"/>
            <w:color w:val="000000" w:themeColor="text1"/>
            <w:sz w:val="20"/>
            <w:szCs w:val="20"/>
          </w:rPr>
          <w:t>https://doi.org/10.1097/SCS.0000000000004488</w:t>
        </w:r>
      </w:hyperlink>
      <w:r w:rsidRPr="00352ED4">
        <w:rPr>
          <w:rFonts w:ascii="Times New Roman" w:hAnsi="Times New Roman" w:cs="Times New Roman"/>
          <w:color w:val="000000" w:themeColor="text1"/>
          <w:sz w:val="20"/>
          <w:szCs w:val="20"/>
        </w:rPr>
        <w:t>.</w:t>
      </w:r>
    </w:p>
    <w:p w14:paraId="20FA0EEB"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Wilson, R.D. and O’Connor, D.L. (2021) “Maternal folic acid and multivitamin supplementation: International clinical evidence with considerations for the prevention of folate-sensitive birth defects,” Preventive Medicine Reports. Elsevier Inc. Available at: </w:t>
      </w:r>
      <w:hyperlink r:id="rId38" w:history="1">
        <w:r w:rsidRPr="00352ED4">
          <w:rPr>
            <w:rStyle w:val="Hyperlink"/>
            <w:rFonts w:ascii="Times New Roman" w:hAnsi="Times New Roman" w:cs="Times New Roman"/>
            <w:color w:val="000000" w:themeColor="text1"/>
            <w:sz w:val="20"/>
            <w:szCs w:val="20"/>
          </w:rPr>
          <w:t>https://doi.org/10.1016/j.pmedr.2021.101617</w:t>
        </w:r>
      </w:hyperlink>
      <w:r w:rsidRPr="00352ED4">
        <w:rPr>
          <w:rFonts w:ascii="Times New Roman" w:hAnsi="Times New Roman" w:cs="Times New Roman"/>
          <w:color w:val="000000" w:themeColor="text1"/>
          <w:sz w:val="20"/>
          <w:szCs w:val="20"/>
        </w:rPr>
        <w:t>.</w:t>
      </w:r>
    </w:p>
    <w:p w14:paraId="341B10E2"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Škovierová, H.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(2016) “The molecular and cellular effect of homocysteine metabolism imbalance on human health,” International Journal of Molecular Sciences. MDPI AG. Available at: </w:t>
      </w:r>
      <w:hyperlink r:id="rId39" w:history="1">
        <w:r w:rsidRPr="00352ED4">
          <w:rPr>
            <w:rStyle w:val="Hyperlink"/>
            <w:rFonts w:ascii="Times New Roman" w:hAnsi="Times New Roman" w:cs="Times New Roman"/>
            <w:color w:val="000000" w:themeColor="text1"/>
            <w:sz w:val="20"/>
            <w:szCs w:val="20"/>
          </w:rPr>
          <w:t>https://doi.org/10.3390/ijms17101733</w:t>
        </w:r>
      </w:hyperlink>
      <w:r w:rsidRPr="00352ED4">
        <w:rPr>
          <w:rFonts w:ascii="Times New Roman" w:hAnsi="Times New Roman" w:cs="Times New Roman"/>
          <w:color w:val="000000" w:themeColor="text1"/>
          <w:sz w:val="20"/>
          <w:szCs w:val="20"/>
        </w:rPr>
        <w:t>.</w:t>
      </w:r>
    </w:p>
    <w:p w14:paraId="0D637AD5"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Rocha, C.S.M.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(2024) “Predisposing risk factors for cleft lip and palate in an Amazonian population by focusing on nutritional factors: A case-control study,” Journal of Plastic, Reconstructive and Aesthetic Surgery, 94, pp. 169–177. Available at: </w:t>
      </w:r>
      <w:hyperlink r:id="rId40" w:history="1">
        <w:r w:rsidRPr="00352ED4">
          <w:rPr>
            <w:rStyle w:val="Hyperlink"/>
            <w:rFonts w:ascii="Times New Roman" w:hAnsi="Times New Roman" w:cs="Times New Roman"/>
            <w:color w:val="000000" w:themeColor="text1"/>
            <w:sz w:val="20"/>
            <w:szCs w:val="20"/>
          </w:rPr>
          <w:t>https://doi.org/10.1016/j.bjps.2024.05.015</w:t>
        </w:r>
      </w:hyperlink>
      <w:r w:rsidRPr="00352ED4">
        <w:rPr>
          <w:rFonts w:ascii="Times New Roman" w:hAnsi="Times New Roman" w:cs="Times New Roman"/>
          <w:color w:val="000000" w:themeColor="text1"/>
          <w:sz w:val="20"/>
          <w:szCs w:val="20"/>
        </w:rPr>
        <w:t>.</w:t>
      </w:r>
    </w:p>
    <w:p w14:paraId="3C6BF0DB"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Phyu, M.N.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(2020) “Maternal stressful events and socioeconomic status among orofacial cleft families: A hospital-based study,” Journal of Cleft Lip Palate and Craniofacial Anomalies, 7(1), p. 24. Available at: </w:t>
      </w:r>
      <w:hyperlink r:id="rId41" w:history="1">
        <w:r w:rsidRPr="00352ED4">
          <w:rPr>
            <w:rStyle w:val="Hyperlink"/>
            <w:rFonts w:ascii="Times New Roman" w:hAnsi="Times New Roman" w:cs="Times New Roman"/>
            <w:color w:val="000000" w:themeColor="text1"/>
            <w:sz w:val="20"/>
            <w:szCs w:val="20"/>
          </w:rPr>
          <w:t>https://doi.org/10.4103/jclpca.jclpca_19_19</w:t>
        </w:r>
      </w:hyperlink>
      <w:r w:rsidRPr="00352ED4">
        <w:rPr>
          <w:rFonts w:ascii="Times New Roman" w:hAnsi="Times New Roman" w:cs="Times New Roman"/>
          <w:color w:val="000000" w:themeColor="text1"/>
          <w:sz w:val="20"/>
          <w:szCs w:val="20"/>
        </w:rPr>
        <w:t>.</w:t>
      </w:r>
    </w:p>
    <w:p w14:paraId="1403D33C"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Kruppa, K.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(2022) “Cleft Lip and/or Palate and Associated Risks in Lower-Middle-Income Countries: A Systematic Review,” Cleft Palate-Craniofacial Journal, 59(5), pp. 568–576. Available at: </w:t>
      </w:r>
      <w:hyperlink r:id="rId42" w:history="1">
        <w:r w:rsidRPr="00352ED4">
          <w:rPr>
            <w:rStyle w:val="Hyperlink"/>
            <w:rFonts w:ascii="Times New Roman" w:hAnsi="Times New Roman" w:cs="Times New Roman"/>
            <w:color w:val="000000" w:themeColor="text1"/>
            <w:sz w:val="20"/>
            <w:szCs w:val="20"/>
          </w:rPr>
          <w:t>https://doi.org/10.1177/10556656211018952</w:t>
        </w:r>
      </w:hyperlink>
      <w:r w:rsidRPr="00352ED4">
        <w:rPr>
          <w:rFonts w:ascii="Times New Roman" w:hAnsi="Times New Roman" w:cs="Times New Roman"/>
          <w:color w:val="000000" w:themeColor="text1"/>
          <w:sz w:val="20"/>
          <w:szCs w:val="20"/>
        </w:rPr>
        <w:t>.</w:t>
      </w:r>
    </w:p>
    <w:p w14:paraId="71CB57D2"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Adewale, A.O.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(2023) “Risk Factors Associated with Cleft Etiology: A Multicenter Experience,” Saudi Journal of Oral and Dental Research, 8(08), pp. 233–239. Available at: </w:t>
      </w:r>
      <w:hyperlink r:id="rId43" w:history="1">
        <w:r w:rsidRPr="00352ED4">
          <w:rPr>
            <w:rStyle w:val="Hyperlink"/>
            <w:rFonts w:ascii="Times New Roman" w:hAnsi="Times New Roman" w:cs="Times New Roman"/>
            <w:color w:val="000000" w:themeColor="text1"/>
            <w:sz w:val="20"/>
            <w:szCs w:val="20"/>
          </w:rPr>
          <w:t>https://doi.org/10.36348/sjodr.2023.v08i08.002</w:t>
        </w:r>
      </w:hyperlink>
      <w:r w:rsidRPr="00352ED4">
        <w:rPr>
          <w:rFonts w:ascii="Times New Roman" w:hAnsi="Times New Roman" w:cs="Times New Roman"/>
          <w:color w:val="000000" w:themeColor="text1"/>
          <w:sz w:val="20"/>
          <w:szCs w:val="20"/>
        </w:rPr>
        <w:t>.</w:t>
      </w:r>
    </w:p>
    <w:p w14:paraId="20F507E1"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Swami, R.S. and Battepati, P.M. (2018) “Assessment of Prevalence Pattern of Orofacial Clefting and Etiological Risk Factors in Children with Cleft Lip and/ or Palate,” Annals of </w:t>
      </w:r>
      <w:r w:rsidRPr="00352ED4">
        <w:rPr>
          <w:rFonts w:ascii="Times New Roman" w:hAnsi="Times New Roman" w:cs="Times New Roman"/>
          <w:color w:val="000000" w:themeColor="text1"/>
          <w:sz w:val="20"/>
          <w:szCs w:val="20"/>
        </w:rPr>
        <w:lastRenderedPageBreak/>
        <w:t xml:space="preserve">International medical and Dental Research, 4(3). Available at: </w:t>
      </w:r>
      <w:hyperlink r:id="rId44" w:history="1">
        <w:r w:rsidRPr="00352ED4">
          <w:rPr>
            <w:rStyle w:val="Hyperlink"/>
            <w:rFonts w:ascii="Times New Roman" w:hAnsi="Times New Roman" w:cs="Times New Roman"/>
            <w:color w:val="000000" w:themeColor="text1"/>
            <w:sz w:val="20"/>
            <w:szCs w:val="20"/>
          </w:rPr>
          <w:t>https://doi.org/10.21276/aimdr.2018.4.3.de6</w:t>
        </w:r>
      </w:hyperlink>
      <w:r w:rsidRPr="00352ED4">
        <w:rPr>
          <w:rFonts w:ascii="Times New Roman" w:hAnsi="Times New Roman" w:cs="Times New Roman"/>
          <w:color w:val="000000" w:themeColor="text1"/>
          <w:sz w:val="20"/>
          <w:szCs w:val="20"/>
        </w:rPr>
        <w:t>.</w:t>
      </w:r>
    </w:p>
    <w:p w14:paraId="733C0E7D"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Charoenvicha, C.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(2023) “Predisposing factors of non‐syndromic cleft lip and cleft palate in the northern Thai population: A 10‐year retrospective case–control study,” Congenital Anomalies, 63(5), pp. 147–153. Available at: </w:t>
      </w:r>
      <w:hyperlink r:id="rId45" w:history="1">
        <w:r w:rsidRPr="00352ED4">
          <w:rPr>
            <w:rStyle w:val="Hyperlink"/>
            <w:rFonts w:ascii="Times New Roman" w:hAnsi="Times New Roman" w:cs="Times New Roman"/>
            <w:color w:val="000000" w:themeColor="text1"/>
            <w:sz w:val="20"/>
            <w:szCs w:val="20"/>
          </w:rPr>
          <w:t>https://doi.org/10.1111/cga.12529</w:t>
        </w:r>
      </w:hyperlink>
      <w:r w:rsidRPr="00352ED4">
        <w:rPr>
          <w:rFonts w:ascii="Times New Roman" w:hAnsi="Times New Roman" w:cs="Times New Roman"/>
          <w:color w:val="000000" w:themeColor="text1"/>
          <w:sz w:val="20"/>
          <w:szCs w:val="20"/>
        </w:rPr>
        <w:t>.</w:t>
      </w:r>
    </w:p>
    <w:p w14:paraId="6204C3C0"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Vu, G.H.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xml:space="preserve">. (2022) “Poverty and Risk of Cleft Lip and Palate: An Analysis of United States Birth Data,” Plastic and Reconstructive Surgery, 149(1), </w:t>
      </w:r>
      <w:r w:rsidRPr="00352ED4">
        <w:rPr>
          <w:rFonts w:ascii="Times New Roman" w:hAnsi="Times New Roman" w:cs="Times New Roman"/>
          <w:color w:val="000000" w:themeColor="text1"/>
          <w:sz w:val="20"/>
          <w:szCs w:val="20"/>
        </w:rPr>
        <w:t xml:space="preserve">pp. 169–182. Available at: </w:t>
      </w:r>
      <w:hyperlink r:id="rId46" w:history="1">
        <w:r w:rsidRPr="00352ED4">
          <w:rPr>
            <w:rStyle w:val="Hyperlink"/>
            <w:rFonts w:ascii="Times New Roman" w:hAnsi="Times New Roman" w:cs="Times New Roman"/>
            <w:color w:val="000000" w:themeColor="text1"/>
            <w:sz w:val="20"/>
            <w:szCs w:val="20"/>
          </w:rPr>
          <w:t>https://doi.org/10.1097/PRS.0000000000008636</w:t>
        </w:r>
      </w:hyperlink>
      <w:r w:rsidRPr="00352ED4">
        <w:rPr>
          <w:rFonts w:ascii="Times New Roman" w:hAnsi="Times New Roman" w:cs="Times New Roman"/>
          <w:color w:val="000000" w:themeColor="text1"/>
          <w:sz w:val="20"/>
          <w:szCs w:val="20"/>
        </w:rPr>
        <w:t>.</w:t>
      </w:r>
    </w:p>
    <w:p w14:paraId="6BD67DC8"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Melinda, T. </w:t>
      </w:r>
      <w:r w:rsidRPr="00352ED4">
        <w:rPr>
          <w:rFonts w:ascii="Times New Roman" w:hAnsi="Times New Roman" w:cs="Times New Roman"/>
          <w:i/>
          <w:iCs/>
          <w:color w:val="000000" w:themeColor="text1"/>
          <w:sz w:val="20"/>
          <w:szCs w:val="20"/>
        </w:rPr>
        <w:t>et al</w:t>
      </w:r>
      <w:r w:rsidRPr="00352ED4">
        <w:rPr>
          <w:rFonts w:ascii="Times New Roman" w:hAnsi="Times New Roman" w:cs="Times New Roman"/>
          <w:color w:val="000000" w:themeColor="text1"/>
          <w:sz w:val="20"/>
          <w:szCs w:val="20"/>
        </w:rPr>
        <w:t>. (2019) Pengaruh Sosial Ekonomi terhadap Kepemilikan Asuransi Kesehatan Masyarakat Desa Kebumen Kecamatan Banyubiru Kabupaten Semarang, Jurnal Pendidikan Sosial.</w:t>
      </w:r>
    </w:p>
    <w:p w14:paraId="1EA4441D" w14:textId="77777777" w:rsidR="00B1294C" w:rsidRPr="00352ED4" w:rsidRDefault="00B1294C" w:rsidP="00B1294C">
      <w:pPr>
        <w:pStyle w:val="ListParagraph"/>
        <w:widowControl w:val="0"/>
        <w:numPr>
          <w:ilvl w:val="0"/>
          <w:numId w:val="1"/>
        </w:numPr>
        <w:autoSpaceDE w:val="0"/>
        <w:autoSpaceDN w:val="0"/>
        <w:spacing w:before="7" w:after="0" w:line="360" w:lineRule="auto"/>
        <w:ind w:left="426" w:right="180" w:hanging="426"/>
        <w:contextualSpacing w:val="0"/>
        <w:jc w:val="both"/>
        <w:rPr>
          <w:rFonts w:ascii="Times New Roman" w:hAnsi="Times New Roman" w:cs="Times New Roman"/>
          <w:color w:val="000000" w:themeColor="text1"/>
          <w:sz w:val="20"/>
          <w:szCs w:val="20"/>
        </w:rPr>
      </w:pPr>
      <w:r w:rsidRPr="00352ED4">
        <w:rPr>
          <w:rFonts w:ascii="Times New Roman" w:hAnsi="Times New Roman" w:cs="Times New Roman"/>
          <w:color w:val="000000" w:themeColor="text1"/>
          <w:sz w:val="20"/>
          <w:szCs w:val="20"/>
        </w:rPr>
        <w:t xml:space="preserve">Astriningrum, E.P., Hardinsyah, H. and Nurdin, N.M. (2017) “Asupan Asam Folat, Vitamin B12, dan Vitamin C pada Ibu Halil di Indonesia,” Jurnal Gizi dan Pangan, 12(1), pp. 31–40. Available at: </w:t>
      </w:r>
      <w:hyperlink r:id="rId47" w:history="1">
        <w:r w:rsidRPr="00352ED4">
          <w:rPr>
            <w:rStyle w:val="Hyperlink"/>
            <w:rFonts w:ascii="Times New Roman" w:hAnsi="Times New Roman" w:cs="Times New Roman"/>
            <w:color w:val="000000" w:themeColor="text1"/>
            <w:sz w:val="20"/>
            <w:szCs w:val="20"/>
          </w:rPr>
          <w:t>https://doi.org/10.25182/jgp.2017.12.1.31-40</w:t>
        </w:r>
      </w:hyperlink>
      <w:r w:rsidRPr="00352ED4">
        <w:rPr>
          <w:rFonts w:ascii="Times New Roman" w:hAnsi="Times New Roman" w:cs="Times New Roman"/>
          <w:color w:val="000000" w:themeColor="text1"/>
          <w:sz w:val="20"/>
          <w:szCs w:val="20"/>
        </w:rPr>
        <w:t>.</w:t>
      </w:r>
    </w:p>
    <w:p w14:paraId="1ED5DA17" w14:textId="77777777" w:rsidR="00BA5C80" w:rsidRPr="00B1294C" w:rsidRDefault="00BA5C80" w:rsidP="00B1294C">
      <w:pPr>
        <w:widowControl w:val="0"/>
        <w:autoSpaceDE w:val="0"/>
        <w:autoSpaceDN w:val="0"/>
        <w:spacing w:before="7" w:after="0" w:line="360" w:lineRule="auto"/>
        <w:ind w:left="426" w:right="180" w:hanging="426"/>
        <w:jc w:val="both"/>
        <w:rPr>
          <w:rFonts w:ascii="Times New Roman" w:hAnsi="Times New Roman" w:cs="Times New Roman"/>
          <w:color w:val="000000" w:themeColor="text1"/>
          <w:sz w:val="20"/>
          <w:szCs w:val="20"/>
        </w:rPr>
        <w:sectPr w:rsidR="00BA5C80" w:rsidRPr="00B1294C">
          <w:headerReference w:type="even" r:id="rId48"/>
          <w:type w:val="continuous"/>
          <w:pgSz w:w="11906" w:h="16838"/>
          <w:pgMar w:top="1178" w:right="851" w:bottom="851" w:left="1021" w:header="708" w:footer="1148" w:gutter="0"/>
          <w:cols w:num="2" w:space="720" w:equalWidth="0">
            <w:col w:w="4657" w:space="720"/>
            <w:col w:w="4657" w:space="0"/>
          </w:cols>
        </w:sectPr>
      </w:pPr>
      <w:bookmarkStart w:id="2" w:name="_heading=h.1fob9te" w:colFirst="0" w:colLast="0"/>
      <w:bookmarkEnd w:id="2"/>
    </w:p>
    <w:p w14:paraId="0D1C57C2"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hanging="426"/>
        <w:jc w:val="both"/>
        <w:rPr>
          <w:rFonts w:ascii="Times New Roman" w:eastAsia="Times New Roman" w:hAnsi="Times New Roman" w:cs="Times New Roman"/>
          <w:color w:val="000000"/>
          <w:sz w:val="20"/>
          <w:szCs w:val="20"/>
        </w:rPr>
      </w:pPr>
      <w:bookmarkStart w:id="3" w:name="_heading=h.3znysh7" w:colFirst="0" w:colLast="0"/>
      <w:bookmarkEnd w:id="3"/>
    </w:p>
    <w:p w14:paraId="135F782F"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hanging="426"/>
        <w:jc w:val="both"/>
        <w:rPr>
          <w:rFonts w:ascii="Times New Roman" w:eastAsia="Times New Roman" w:hAnsi="Times New Roman" w:cs="Times New Roman"/>
          <w:color w:val="000000"/>
          <w:sz w:val="20"/>
          <w:szCs w:val="20"/>
        </w:rPr>
      </w:pPr>
    </w:p>
    <w:p w14:paraId="50925A39"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hanging="426"/>
        <w:jc w:val="both"/>
        <w:rPr>
          <w:rFonts w:ascii="Times New Roman" w:eastAsia="Times New Roman" w:hAnsi="Times New Roman" w:cs="Times New Roman"/>
          <w:color w:val="000000"/>
          <w:sz w:val="20"/>
          <w:szCs w:val="20"/>
        </w:rPr>
      </w:pPr>
    </w:p>
    <w:p w14:paraId="199C0A8F"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hanging="426"/>
        <w:jc w:val="both"/>
        <w:rPr>
          <w:rFonts w:ascii="Times New Roman" w:eastAsia="Times New Roman" w:hAnsi="Times New Roman" w:cs="Times New Roman"/>
          <w:color w:val="000000"/>
          <w:sz w:val="20"/>
          <w:szCs w:val="20"/>
        </w:rPr>
      </w:pPr>
    </w:p>
    <w:p w14:paraId="124DDF3A"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jc w:val="both"/>
        <w:rPr>
          <w:rFonts w:ascii="Times New Roman" w:eastAsia="Times New Roman" w:hAnsi="Times New Roman" w:cs="Times New Roman"/>
          <w:color w:val="000000"/>
          <w:sz w:val="20"/>
          <w:szCs w:val="20"/>
        </w:rPr>
      </w:pPr>
    </w:p>
    <w:p w14:paraId="50796E4A"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jc w:val="both"/>
        <w:rPr>
          <w:rFonts w:ascii="Times New Roman" w:eastAsia="Times New Roman" w:hAnsi="Times New Roman" w:cs="Times New Roman"/>
          <w:color w:val="000000"/>
          <w:sz w:val="20"/>
          <w:szCs w:val="20"/>
        </w:rPr>
      </w:pPr>
    </w:p>
    <w:p w14:paraId="5D88EBE4"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jc w:val="both"/>
        <w:rPr>
          <w:rFonts w:ascii="Times New Roman" w:eastAsia="Times New Roman" w:hAnsi="Times New Roman" w:cs="Times New Roman"/>
          <w:color w:val="000000"/>
          <w:sz w:val="20"/>
          <w:szCs w:val="20"/>
        </w:rPr>
      </w:pPr>
    </w:p>
    <w:p w14:paraId="68CE6FF4"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jc w:val="both"/>
        <w:rPr>
          <w:rFonts w:ascii="Times New Roman" w:eastAsia="Times New Roman" w:hAnsi="Times New Roman" w:cs="Times New Roman"/>
          <w:color w:val="000000"/>
          <w:sz w:val="20"/>
          <w:szCs w:val="20"/>
        </w:rPr>
      </w:pPr>
    </w:p>
    <w:p w14:paraId="52A9D395"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jc w:val="both"/>
        <w:rPr>
          <w:rFonts w:ascii="Times New Roman" w:eastAsia="Times New Roman" w:hAnsi="Times New Roman" w:cs="Times New Roman"/>
          <w:color w:val="000000"/>
          <w:sz w:val="20"/>
          <w:szCs w:val="20"/>
        </w:rPr>
      </w:pPr>
    </w:p>
    <w:p w14:paraId="5826E334" w14:textId="77777777" w:rsidR="00B1294C" w:rsidRPr="00B1294C" w:rsidRDefault="00B1294C" w:rsidP="00B1294C">
      <w:pPr>
        <w:pBdr>
          <w:top w:val="nil"/>
          <w:left w:val="nil"/>
          <w:bottom w:val="nil"/>
          <w:right w:val="nil"/>
          <w:between w:val="nil"/>
        </w:pBdr>
        <w:tabs>
          <w:tab w:val="left" w:pos="426"/>
        </w:tabs>
        <w:spacing w:before="120" w:after="0" w:line="360" w:lineRule="auto"/>
        <w:ind w:left="426"/>
        <w:jc w:val="both"/>
        <w:rPr>
          <w:rFonts w:ascii="Times New Roman" w:eastAsia="Times New Roman" w:hAnsi="Times New Roman" w:cs="Times New Roman"/>
          <w:color w:val="000000"/>
          <w:sz w:val="20"/>
          <w:szCs w:val="20"/>
        </w:rPr>
      </w:pPr>
    </w:p>
    <w:sectPr w:rsidR="00B1294C" w:rsidRPr="00B1294C">
      <w:type w:val="continuous"/>
      <w:pgSz w:w="11906" w:h="16838"/>
      <w:pgMar w:top="1178" w:right="851" w:bottom="851" w:left="102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BF3E" w14:textId="77777777" w:rsidR="00573E69" w:rsidRDefault="00573E69">
      <w:pPr>
        <w:spacing w:after="0" w:line="240" w:lineRule="auto"/>
      </w:pPr>
      <w:r>
        <w:separator/>
      </w:r>
    </w:p>
  </w:endnote>
  <w:endnote w:type="continuationSeparator" w:id="0">
    <w:p w14:paraId="08CFD9CC" w14:textId="77777777" w:rsidR="00573E69" w:rsidRDefault="00573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000050000000002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7959" w14:textId="77777777" w:rsidR="00BA5C80" w:rsidRDefault="00000000">
    <w:pPr>
      <w:pBdr>
        <w:top w:val="nil"/>
        <w:left w:val="nil"/>
        <w:bottom w:val="nil"/>
        <w:right w:val="nil"/>
        <w:between w:val="nil"/>
      </w:pBdr>
      <w:tabs>
        <w:tab w:val="center" w:pos="4320"/>
        <w:tab w:val="right" w:pos="8640"/>
      </w:tabs>
      <w:spacing w:after="0" w:line="240" w:lineRule="auto"/>
      <w:rPr>
        <w:color w:val="000000"/>
      </w:rPr>
    </w:pPr>
    <w:r>
      <w:rPr>
        <w:color w:val="000000"/>
      </w:rPr>
      <w:t>[Type text][Type text][Type text]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DFF2" w14:textId="77777777" w:rsidR="00BA5C80" w:rsidRDefault="00000000">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Jurnal Ilmu Kedokteran Keluarga, Vol x, No x, Month x Year xPage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982E" w14:textId="77777777" w:rsidR="00BA5C80" w:rsidRDefault="00BA5C8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18"/>
        <w:szCs w:val="18"/>
      </w:rPr>
    </w:pPr>
  </w:p>
  <w:p w14:paraId="2AD3E9E4" w14:textId="77777777" w:rsidR="00BA5C80" w:rsidRDefault="00BA5C8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18"/>
        <w:szCs w:val="18"/>
      </w:rPr>
    </w:pPr>
  </w:p>
  <w:p w14:paraId="1EC086C1" w14:textId="77777777" w:rsidR="00BA5C80" w:rsidRDefault="00000000">
    <w:pPr>
      <w:pBdr>
        <w:top w:val="nil"/>
        <w:left w:val="nil"/>
        <w:bottom w:val="nil"/>
        <w:right w:val="nil"/>
        <w:between w:val="nil"/>
      </w:pBdr>
      <w:spacing w:after="0" w:line="240" w:lineRule="auto"/>
      <w:ind w:left="4320" w:firstLine="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589E" w14:textId="77777777" w:rsidR="00573E69" w:rsidRDefault="00573E69">
      <w:pPr>
        <w:spacing w:after="0" w:line="240" w:lineRule="auto"/>
      </w:pPr>
      <w:r>
        <w:separator/>
      </w:r>
    </w:p>
  </w:footnote>
  <w:footnote w:type="continuationSeparator" w:id="0">
    <w:p w14:paraId="6308AAD3" w14:textId="77777777" w:rsidR="00573E69" w:rsidRDefault="00573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3C9C" w14:textId="77777777" w:rsidR="00BA5C80" w:rsidRDefault="00000000">
    <w:pPr>
      <w:pBdr>
        <w:top w:val="nil"/>
        <w:left w:val="nil"/>
        <w:bottom w:val="nil"/>
        <w:right w:val="nil"/>
        <w:between w:val="nil"/>
      </w:pBdr>
      <w:tabs>
        <w:tab w:val="center" w:pos="4320"/>
        <w:tab w:val="right" w:pos="8640"/>
      </w:tabs>
      <w:spacing w:after="0" w:line="240" w:lineRule="auto"/>
      <w:rPr>
        <w:color w:val="000000"/>
      </w:rPr>
    </w:pPr>
    <w:r>
      <w:rPr>
        <w:color w:val="000000"/>
      </w:rPr>
      <w:t>[Type text][Type text][Type text]</w:t>
    </w:r>
  </w:p>
  <w:p w14:paraId="4760FCD8" w14:textId="77777777" w:rsidR="00BA5C80" w:rsidRDefault="00BA5C80">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04D5" w14:textId="77777777" w:rsidR="00BA5C80" w:rsidRDefault="00000000">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Article TitlePage</w:t>
    </w:r>
  </w:p>
  <w:p w14:paraId="60AD4A00" w14:textId="77777777" w:rsidR="00BA5C80" w:rsidRDefault="00BA5C80">
    <w:pPr>
      <w:spacing w:after="0" w:line="240" w:lineRule="auto"/>
      <w:rPr>
        <w:rFonts w:ascii="Times New Roman" w:eastAsia="Times New Roman" w:hAnsi="Times New Roman" w:cs="Times New Roman"/>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9183" w14:textId="77777777" w:rsidR="00BA5C80" w:rsidRDefault="00000000">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Jurnal Ilmu Kedokteran Keluarga</w:t>
    </w:r>
  </w:p>
  <w:p w14:paraId="05264D4C" w14:textId="77777777" w:rsidR="00BA5C80" w:rsidRDefault="00000000">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E-ISSN 2964-6413</w:t>
    </w:r>
  </w:p>
  <w:p w14:paraId="29701615" w14:textId="77777777" w:rsidR="00BA5C80" w:rsidRDefault="00000000">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Vol x No x (Month) (filled by Editor)</w:t>
    </w:r>
  </w:p>
  <w:p w14:paraId="4C0BE351" w14:textId="77777777" w:rsidR="00BA5C80" w:rsidRDefault="00000000">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FF"/>
        <w:sz w:val="18"/>
        <w:szCs w:val="18"/>
      </w:rPr>
      <w:t>https://doi.org/10.56674/altera.xxxx</w:t>
    </w:r>
    <w:r>
      <w:rPr>
        <w:rFonts w:ascii="Times New Roman" w:eastAsia="Times New Roman" w:hAnsi="Times New Roman" w:cs="Times New Roman"/>
        <w:color w:val="000000"/>
        <w:sz w:val="18"/>
        <w:szCs w:val="18"/>
      </w:rPr>
      <w:t xml:space="preserve"> (filled by Editor)</w:t>
    </w:r>
  </w:p>
  <w:p w14:paraId="7F1C8366" w14:textId="77777777" w:rsidR="00BA5C80" w:rsidRDefault="00BA5C80">
    <w:pPr>
      <w:spacing w:after="0" w:line="240" w:lineRule="auto"/>
      <w:rPr>
        <w:rFonts w:ascii="Times New Roman" w:eastAsia="Times New Roman" w:hAnsi="Times New Roman" w:cs="Times New Roman"/>
        <w:color w:val="000000"/>
        <w:sz w:val="18"/>
        <w:szCs w:val="18"/>
      </w:rPr>
    </w:pPr>
    <w:hyperlink r:id="rId1">
      <w:r>
        <w:rPr>
          <w:rFonts w:ascii="Times New Roman" w:eastAsia="Times New Roman" w:hAnsi="Times New Roman" w:cs="Times New Roman"/>
          <w:color w:val="0000FF"/>
          <w:sz w:val="18"/>
          <w:szCs w:val="18"/>
        </w:rPr>
        <w:t>http://altera.ub.ac.id/xx</w:t>
      </w:r>
    </w:hyperlink>
    <w:r w:rsidR="00000000">
      <w:rPr>
        <w:rFonts w:ascii="Times New Roman" w:eastAsia="Times New Roman" w:hAnsi="Times New Roman" w:cs="Times New Roman"/>
        <w:color w:val="000000"/>
        <w:sz w:val="18"/>
        <w:szCs w:val="18"/>
      </w:rPr>
      <w:t xml:space="preserve">  (filled by Editor)</w:t>
    </w:r>
    <w:r w:rsidR="00000000">
      <w:rPr>
        <w:rFonts w:ascii="Times New Roman" w:eastAsia="Times New Roman" w:hAnsi="Times New Roman" w:cs="Times New Roman"/>
        <w:color w:val="000000"/>
        <w:sz w:val="18"/>
        <w:szCs w:val="18"/>
      </w:rPr>
      <w:tab/>
    </w:r>
    <w:r w:rsidR="00000000">
      <w:rPr>
        <w:rFonts w:ascii="Times New Roman" w:eastAsia="Times New Roman" w:hAnsi="Times New Roman" w:cs="Times New Roman"/>
        <w:color w:val="000000"/>
        <w:sz w:val="18"/>
        <w:szCs w:val="18"/>
      </w:rPr>
      <w:tab/>
    </w:r>
    <w:r w:rsidR="00000000">
      <w:rPr>
        <w:rFonts w:ascii="Times New Roman" w:eastAsia="Times New Roman" w:hAnsi="Times New Roman" w:cs="Times New Roman"/>
        <w:color w:val="000000"/>
        <w:sz w:val="18"/>
        <w:szCs w:val="18"/>
      </w:rPr>
      <w:tab/>
    </w:r>
    <w:r w:rsidR="00000000">
      <w:rPr>
        <w:rFonts w:ascii="Times New Roman" w:eastAsia="Times New Roman" w:hAnsi="Times New Roman" w:cs="Times New Roman"/>
        <w:color w:val="000000"/>
        <w:sz w:val="18"/>
        <w:szCs w:val="18"/>
      </w:rPr>
      <w:tab/>
    </w:r>
    <w:r w:rsidR="00000000">
      <w:rPr>
        <w:rFonts w:ascii="Times New Roman" w:eastAsia="Times New Roman" w:hAnsi="Times New Roman" w:cs="Times New Roman"/>
        <w:color w:val="000000"/>
        <w:sz w:val="18"/>
        <w:szCs w:val="18"/>
      </w:rPr>
      <w:tab/>
    </w:r>
    <w:r w:rsidR="00000000">
      <w:rPr>
        <w:rFonts w:ascii="Times New Roman" w:eastAsia="Times New Roman" w:hAnsi="Times New Roman" w:cs="Times New Roman"/>
        <w:color w:val="000000"/>
        <w:sz w:val="18"/>
        <w:szCs w:val="18"/>
      </w:rPr>
      <w:tab/>
    </w:r>
    <w:r w:rsidR="00000000">
      <w:rPr>
        <w:rFonts w:ascii="Times New Roman" w:eastAsia="Times New Roman" w:hAnsi="Times New Roman" w:cs="Times New Roman"/>
        <w:color w:val="000000"/>
        <w:sz w:val="18"/>
        <w:szCs w:val="18"/>
      </w:rPr>
      <w:tab/>
    </w:r>
    <w:r w:rsidR="00000000">
      <w:rPr>
        <w:rFonts w:ascii="Times New Roman" w:eastAsia="Times New Roman" w:hAnsi="Times New Roman" w:cs="Times New Roman"/>
        <w:color w:val="000000"/>
        <w:sz w:val="18"/>
        <w:szCs w:val="18"/>
      </w:rPr>
      <w:tab/>
      <w:t>Author Name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4216" w14:textId="77777777" w:rsidR="00BA5C80"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Page </w:t>
    </w:r>
    <w:r>
      <w:rPr>
        <w:rFonts w:ascii="Times New Roman" w:eastAsia="Times New Roman" w:hAnsi="Times New Roman" w:cs="Times New Roman"/>
        <w:b/>
        <w:color w:val="000000"/>
        <w:sz w:val="18"/>
        <w:szCs w:val="18"/>
      </w:rPr>
      <w:fldChar w:fldCharType="begin"/>
    </w:r>
    <w:r>
      <w:rPr>
        <w:rFonts w:ascii="Times New Roman" w:eastAsia="Times New Roman" w:hAnsi="Times New Roman" w:cs="Times New Roman"/>
        <w:b/>
        <w:color w:val="000000"/>
        <w:sz w:val="18"/>
        <w:szCs w:val="18"/>
      </w:rPr>
      <w:instrText>PAGE</w:instrText>
    </w:r>
    <w:r>
      <w:rPr>
        <w:rFonts w:ascii="Times New Roman" w:eastAsia="Times New Roman" w:hAnsi="Times New Roman" w:cs="Times New Roman"/>
        <w:b/>
        <w:color w:val="000000"/>
        <w:sz w:val="18"/>
        <w:szCs w:val="18"/>
      </w:rPr>
      <w:fldChar w:fldCharType="separate"/>
    </w:r>
    <w:r>
      <w:rPr>
        <w:rFonts w:ascii="Times New Roman" w:eastAsia="Times New Roman" w:hAnsi="Times New Roman" w:cs="Times New Roman"/>
        <w:b/>
        <w:color w:val="000000"/>
        <w:sz w:val="18"/>
        <w:szCs w:val="18"/>
      </w:rPr>
      <w:fldChar w:fldCharType="end"/>
    </w:r>
    <w:r>
      <w:rPr>
        <w:rFonts w:ascii="Times New Roman" w:eastAsia="Times New Roman" w:hAnsi="Times New Roman" w:cs="Times New Roman"/>
        <w:color w:val="000000"/>
        <w:sz w:val="18"/>
        <w:szCs w:val="18"/>
      </w:rPr>
      <w:t xml:space="preserve"> of </w:t>
    </w:r>
    <w:r>
      <w:rPr>
        <w:rFonts w:ascii="Times New Roman" w:eastAsia="Times New Roman" w:hAnsi="Times New Roman" w:cs="Times New Roman"/>
        <w:b/>
        <w:color w:val="000000"/>
        <w:sz w:val="18"/>
        <w:szCs w:val="18"/>
      </w:rPr>
      <w:fldChar w:fldCharType="begin"/>
    </w:r>
    <w:r>
      <w:rPr>
        <w:rFonts w:ascii="Times New Roman" w:eastAsia="Times New Roman" w:hAnsi="Times New Roman" w:cs="Times New Roman"/>
        <w:b/>
        <w:color w:val="000000"/>
        <w:sz w:val="18"/>
        <w:szCs w:val="18"/>
      </w:rPr>
      <w:instrText>NUMPAGES</w:instrText>
    </w:r>
    <w:r>
      <w:rPr>
        <w:rFonts w:ascii="Times New Roman" w:eastAsia="Times New Roman" w:hAnsi="Times New Roman" w:cs="Times New Roman"/>
        <w:b/>
        <w:color w:val="000000"/>
        <w:sz w:val="18"/>
        <w:szCs w:val="18"/>
      </w:rPr>
      <w:fldChar w:fldCharType="separate"/>
    </w:r>
    <w:r>
      <w:rPr>
        <w:rFonts w:ascii="Times New Roman" w:eastAsia="Times New Roman" w:hAnsi="Times New Roman" w:cs="Times New Roman"/>
        <w:b/>
        <w:color w:val="000000"/>
        <w:sz w:val="18"/>
        <w:szCs w:val="18"/>
      </w:rPr>
      <w:fldChar w:fldCharType="end"/>
    </w:r>
  </w:p>
  <w:p w14:paraId="4F852573" w14:textId="77777777" w:rsidR="00BA5C80" w:rsidRDefault="00BA5C8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F35FB"/>
    <w:multiLevelType w:val="multilevel"/>
    <w:tmpl w:val="5268EC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58C2E5C"/>
    <w:multiLevelType w:val="hybridMultilevel"/>
    <w:tmpl w:val="A3B268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50728801">
    <w:abstractNumId w:val="0"/>
  </w:num>
  <w:num w:numId="2" w16cid:durableId="107042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C80"/>
    <w:rsid w:val="000A6E06"/>
    <w:rsid w:val="00123844"/>
    <w:rsid w:val="001D5418"/>
    <w:rsid w:val="00210B74"/>
    <w:rsid w:val="00352ED4"/>
    <w:rsid w:val="00436F31"/>
    <w:rsid w:val="00496A08"/>
    <w:rsid w:val="00532B51"/>
    <w:rsid w:val="0057140D"/>
    <w:rsid w:val="00573E69"/>
    <w:rsid w:val="00605A77"/>
    <w:rsid w:val="0066133A"/>
    <w:rsid w:val="006B0DEC"/>
    <w:rsid w:val="007D38D4"/>
    <w:rsid w:val="00817BA3"/>
    <w:rsid w:val="009369D2"/>
    <w:rsid w:val="009A5F18"/>
    <w:rsid w:val="00AA5191"/>
    <w:rsid w:val="00AC781B"/>
    <w:rsid w:val="00AE17E5"/>
    <w:rsid w:val="00B03289"/>
    <w:rsid w:val="00B075D9"/>
    <w:rsid w:val="00B1294C"/>
    <w:rsid w:val="00B41E4B"/>
    <w:rsid w:val="00BA0276"/>
    <w:rsid w:val="00BA5C80"/>
    <w:rsid w:val="00BE2EBD"/>
    <w:rsid w:val="00D55111"/>
    <w:rsid w:val="00DF1C0D"/>
    <w:rsid w:val="00E30E72"/>
    <w:rsid w:val="00FB42D1"/>
    <w:rsid w:val="00FF0D8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1744"/>
  <w15:docId w15:val="{108F0F5C-1EC0-6541-93B6-5A3F4860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1"/>
    <w:next w:val="Normal1"/>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1"/>
    <w:next w:val="Normal1"/>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1"/>
    <w:next w:val="Normal1"/>
    <w:uiPriority w:val="10"/>
    <w:qFormat/>
    <w:pPr>
      <w:keepNext/>
      <w:keepLines/>
      <w:pBdr>
        <w:top w:val="nil"/>
        <w:left w:val="nil"/>
        <w:bottom w:val="nil"/>
        <w:right w:val="nil"/>
        <w:between w:val="nil"/>
      </w:pBdr>
      <w:spacing w:before="480" w:after="120"/>
    </w:pPr>
    <w:rPr>
      <w:b/>
      <w:color w:val="000000"/>
      <w:sz w:val="72"/>
      <w:szCs w:val="72"/>
    </w:rPr>
  </w:style>
  <w:style w:type="paragraph" w:customStyle="1" w:styleId="Normal1">
    <w:name w:val="Normal1"/>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B81C5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81C54"/>
    <w:rPr>
      <w:rFonts w:ascii="Lucida Grande" w:hAnsi="Lucida Grande" w:cs="Lucida Grande"/>
      <w:sz w:val="18"/>
      <w:szCs w:val="18"/>
    </w:rPr>
  </w:style>
  <w:style w:type="paragraph" w:styleId="Footer">
    <w:name w:val="footer"/>
    <w:basedOn w:val="Normal"/>
    <w:link w:val="FooterChar"/>
    <w:uiPriority w:val="99"/>
    <w:unhideWhenUsed/>
    <w:rsid w:val="00B81C54"/>
    <w:pPr>
      <w:tabs>
        <w:tab w:val="center" w:pos="4320"/>
        <w:tab w:val="right" w:pos="8640"/>
      </w:tabs>
      <w:spacing w:after="0" w:line="240" w:lineRule="auto"/>
    </w:pPr>
  </w:style>
  <w:style w:type="character" w:customStyle="1" w:styleId="FooterChar">
    <w:name w:val="Footer Char"/>
    <w:basedOn w:val="DefaultParagraphFont"/>
    <w:link w:val="Footer"/>
    <w:uiPriority w:val="99"/>
    <w:rsid w:val="00B81C54"/>
  </w:style>
  <w:style w:type="paragraph" w:styleId="Header">
    <w:name w:val="header"/>
    <w:basedOn w:val="Normal"/>
    <w:link w:val="HeaderChar"/>
    <w:uiPriority w:val="99"/>
    <w:unhideWhenUsed/>
    <w:rsid w:val="00B81C54"/>
    <w:pPr>
      <w:tabs>
        <w:tab w:val="center" w:pos="4320"/>
        <w:tab w:val="right" w:pos="8640"/>
      </w:tabs>
      <w:spacing w:after="0" w:line="240" w:lineRule="auto"/>
    </w:pPr>
  </w:style>
  <w:style w:type="character" w:customStyle="1" w:styleId="HeaderChar">
    <w:name w:val="Header Char"/>
    <w:basedOn w:val="DefaultParagraphFont"/>
    <w:link w:val="Header"/>
    <w:uiPriority w:val="99"/>
    <w:rsid w:val="00B81C54"/>
  </w:style>
  <w:style w:type="paragraph" w:styleId="NormalWeb">
    <w:name w:val="Normal (Web)"/>
    <w:basedOn w:val="Normal"/>
    <w:uiPriority w:val="99"/>
    <w:unhideWhenUsed/>
    <w:rsid w:val="00B81C54"/>
    <w:pPr>
      <w:spacing w:before="100" w:beforeAutospacing="1" w:after="100" w:afterAutospacing="1" w:line="240" w:lineRule="auto"/>
    </w:pPr>
    <w:rPr>
      <w:rFonts w:ascii="Times" w:hAnsi="Times" w:cs="Times New Roman"/>
      <w:sz w:val="20"/>
      <w:szCs w:val="20"/>
      <w:lang w:val="en-US"/>
    </w:rPr>
  </w:style>
  <w:style w:type="character" w:styleId="Hyperlink">
    <w:name w:val="Hyperlink"/>
    <w:basedOn w:val="DefaultParagraphFont"/>
    <w:uiPriority w:val="99"/>
    <w:unhideWhenUsed/>
    <w:rsid w:val="00B81C54"/>
    <w:rPr>
      <w:color w:val="0000FF" w:themeColor="hyperlink"/>
      <w:u w:val="single"/>
    </w:rPr>
  </w:style>
  <w:style w:type="character" w:styleId="PageNumber">
    <w:name w:val="page number"/>
    <w:basedOn w:val="DefaultParagraphFont"/>
    <w:uiPriority w:val="99"/>
    <w:semiHidden/>
    <w:unhideWhenUsed/>
    <w:rsid w:val="00B81C54"/>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FF0D80"/>
    <w:pPr>
      <w:widowControl w:val="0"/>
      <w:autoSpaceDE w:val="0"/>
      <w:autoSpaceDN w:val="0"/>
      <w:spacing w:after="0" w:line="240" w:lineRule="auto"/>
      <w:ind w:left="891"/>
      <w:jc w:val="both"/>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FF0D80"/>
    <w:rPr>
      <w:rFonts w:ascii="Times New Roman" w:eastAsia="Times New Roman" w:hAnsi="Times New Roman" w:cs="Times New Roman"/>
      <w:lang w:val="en-US" w:eastAsia="en-US"/>
    </w:rPr>
  </w:style>
  <w:style w:type="paragraph" w:customStyle="1" w:styleId="ABSTRAK-Isi">
    <w:name w:val="ABSTRAK - Isi"/>
    <w:basedOn w:val="Normal"/>
    <w:link w:val="ABSTRAK-IsiChar"/>
    <w:qFormat/>
    <w:rsid w:val="00FF0D80"/>
    <w:pPr>
      <w:spacing w:after="100" w:line="240" w:lineRule="auto"/>
      <w:jc w:val="both"/>
    </w:pPr>
    <w:rPr>
      <w:rFonts w:ascii="Times New Roman" w:eastAsiaTheme="minorHAnsi" w:hAnsi="Times New Roman" w:cstheme="minorBidi"/>
      <w:bCs/>
      <w:color w:val="000000" w:themeColor="text1"/>
      <w:kern w:val="2"/>
      <w:sz w:val="24"/>
      <w:lang w:val="sv-SE" w:eastAsia="en-US"/>
      <w14:ligatures w14:val="standardContextual"/>
    </w:rPr>
  </w:style>
  <w:style w:type="character" w:customStyle="1" w:styleId="ABSTRAK-IsiChar">
    <w:name w:val="ABSTRAK - Isi Char"/>
    <w:basedOn w:val="DefaultParagraphFont"/>
    <w:link w:val="ABSTRAK-Isi"/>
    <w:rsid w:val="00FF0D80"/>
    <w:rPr>
      <w:rFonts w:ascii="Times New Roman" w:eastAsiaTheme="minorHAnsi" w:hAnsi="Times New Roman" w:cstheme="minorBidi"/>
      <w:bCs/>
      <w:color w:val="000000" w:themeColor="text1"/>
      <w:kern w:val="2"/>
      <w:sz w:val="24"/>
      <w:lang w:val="sv-SE" w:eastAsia="en-US"/>
      <w14:ligatures w14:val="standardContextual"/>
    </w:rPr>
  </w:style>
  <w:style w:type="paragraph" w:customStyle="1" w:styleId="ISITEKS">
    <w:name w:val="ISI TEKS"/>
    <w:basedOn w:val="Normal"/>
    <w:link w:val="ISITEKSKAR"/>
    <w:qFormat/>
    <w:rsid w:val="0066133A"/>
    <w:pPr>
      <w:spacing w:after="0" w:line="480" w:lineRule="auto"/>
      <w:ind w:firstLine="567"/>
      <w:jc w:val="both"/>
    </w:pPr>
    <w:rPr>
      <w:rFonts w:ascii="Times New Roman" w:eastAsiaTheme="minorHAnsi" w:hAnsi="Times New Roman" w:cs="Times New Roman"/>
      <w:color w:val="000000" w:themeColor="text1"/>
      <w:sz w:val="24"/>
      <w:szCs w:val="24"/>
      <w:lang w:eastAsia="en-US"/>
    </w:rPr>
  </w:style>
  <w:style w:type="character" w:customStyle="1" w:styleId="ISITEKSKAR">
    <w:name w:val="ISI TEKS KAR"/>
    <w:basedOn w:val="DefaultParagraphFont"/>
    <w:link w:val="ISITEKS"/>
    <w:rsid w:val="0066133A"/>
    <w:rPr>
      <w:rFonts w:ascii="Times New Roman" w:eastAsiaTheme="minorHAnsi" w:hAnsi="Times New Roman" w:cs="Times New Roman"/>
      <w:color w:val="000000" w:themeColor="text1"/>
      <w:sz w:val="24"/>
      <w:szCs w:val="24"/>
      <w:lang w:eastAsia="en-US"/>
    </w:rPr>
  </w:style>
  <w:style w:type="table" w:styleId="TableGrid">
    <w:name w:val="Table Grid"/>
    <w:basedOn w:val="TableNormal"/>
    <w:uiPriority w:val="39"/>
    <w:rsid w:val="00AE1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2EB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1"/>
    <w:qFormat/>
    <w:rsid w:val="007D38D4"/>
    <w:pPr>
      <w:ind w:left="720"/>
      <w:contextualSpacing/>
    </w:pPr>
  </w:style>
  <w:style w:type="character" w:styleId="FollowedHyperlink">
    <w:name w:val="FollowedHyperlink"/>
    <w:basedOn w:val="DefaultParagraphFont"/>
    <w:uiPriority w:val="99"/>
    <w:semiHidden/>
    <w:unhideWhenUsed/>
    <w:rsid w:val="000A6E06"/>
    <w:rPr>
      <w:color w:val="800080" w:themeColor="followedHyperlink"/>
      <w:u w:val="single"/>
    </w:rPr>
  </w:style>
  <w:style w:type="character" w:styleId="PlaceholderText">
    <w:name w:val="Placeholder Text"/>
    <w:basedOn w:val="DefaultParagraphFont"/>
    <w:uiPriority w:val="99"/>
    <w:semiHidden/>
    <w:rsid w:val="00DF1C0D"/>
    <w:rPr>
      <w:color w:val="666666"/>
    </w:rPr>
  </w:style>
  <w:style w:type="character" w:customStyle="1" w:styleId="aupe">
    <w:name w:val="_aupe"/>
    <w:basedOn w:val="DefaultParagraphFont"/>
    <w:rsid w:val="00AA5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nu7095328" TargetMode="External"/><Relationship Id="rId26" Type="http://schemas.openxmlformats.org/officeDocument/2006/relationships/hyperlink" Target="https://doi.org/10.1111/cga.12529" TargetMode="External"/><Relationship Id="rId39" Type="http://schemas.openxmlformats.org/officeDocument/2006/relationships/hyperlink" Target="https://doi.org/10.3390/ijms17101733" TargetMode="External"/><Relationship Id="rId21" Type="http://schemas.openxmlformats.org/officeDocument/2006/relationships/hyperlink" Target="https://doi.org/10.1097/scs.0000000000004488" TargetMode="External"/><Relationship Id="rId34" Type="http://schemas.openxmlformats.org/officeDocument/2006/relationships/hyperlink" Target="https://doi.org/10.1371/journal.pone.0302393" TargetMode="External"/><Relationship Id="rId42" Type="http://schemas.openxmlformats.org/officeDocument/2006/relationships/hyperlink" Target="https://doi.org/10.1177/10556656211018952" TargetMode="External"/><Relationship Id="rId47" Type="http://schemas.openxmlformats.org/officeDocument/2006/relationships/hyperlink" Target="https://doi.org/10.25182/jgp.2017.12.1.31-40"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97/scs.0000000000004214" TargetMode="External"/><Relationship Id="rId29" Type="http://schemas.openxmlformats.org/officeDocument/2006/relationships/hyperlink" Target="https://doi.org/10.20473/jre.v6i1.28230" TargetMode="External"/><Relationship Id="rId11" Type="http://schemas.openxmlformats.org/officeDocument/2006/relationships/footer" Target="footer1.xml"/><Relationship Id="rId24" Type="http://schemas.openxmlformats.org/officeDocument/2006/relationships/hyperlink" Target="https://doi.org/10.1177/10556656211018952" TargetMode="External"/><Relationship Id="rId32" Type="http://schemas.openxmlformats.org/officeDocument/2006/relationships/hyperlink" Target="https://doi.org/10.3389/fpubh.2020.00453" TargetMode="External"/><Relationship Id="rId37" Type="http://schemas.openxmlformats.org/officeDocument/2006/relationships/hyperlink" Target="https://doi.org/10.1097/SCS.0000000000004488" TargetMode="External"/><Relationship Id="rId40" Type="http://schemas.openxmlformats.org/officeDocument/2006/relationships/hyperlink" Target="https://doi.org/10.1016/j.bjps.2024.05.015" TargetMode="External"/><Relationship Id="rId45" Type="http://schemas.openxmlformats.org/officeDocument/2006/relationships/hyperlink" Target="https://doi.org/10.1111/cga.12529" TargetMode="Externa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hyperlink" Target="https://doi.org/10.1016/j.bjps.2024.05.015" TargetMode="External"/><Relationship Id="rId28" Type="http://schemas.openxmlformats.org/officeDocument/2006/relationships/hyperlink" Target="https://doi.org/10.1155/2020/4725141" TargetMode="External"/><Relationship Id="rId36" Type="http://schemas.openxmlformats.org/officeDocument/2006/relationships/hyperlink" Target="https://doi.org/10.1111/odi.12292"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1111/odi.12292" TargetMode="External"/><Relationship Id="rId31" Type="http://schemas.openxmlformats.org/officeDocument/2006/relationships/hyperlink" Target="https://doi.org/10.1177/1055665621998394" TargetMode="External"/><Relationship Id="rId44" Type="http://schemas.openxmlformats.org/officeDocument/2006/relationships/hyperlink" Target="https://doi.org/10.21276/aimdr.2018.4.3.de6"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016/j.pmedr.2021.101617" TargetMode="External"/><Relationship Id="rId27" Type="http://schemas.openxmlformats.org/officeDocument/2006/relationships/hyperlink" Target="https://doi.org/10.35790/ecl.9.1.2021.32306" TargetMode="External"/><Relationship Id="rId30" Type="http://schemas.openxmlformats.org/officeDocument/2006/relationships/hyperlink" Target="https://doi.org/10.3390/children11040399" TargetMode="External"/><Relationship Id="rId35" Type="http://schemas.openxmlformats.org/officeDocument/2006/relationships/hyperlink" Target="https://doi.org/10.3390/nu7095328" TargetMode="External"/><Relationship Id="rId43" Type="http://schemas.openxmlformats.org/officeDocument/2006/relationships/hyperlink" Target="https://doi.org/10.36348/sjodr.2023.v08i08.002" TargetMode="External"/><Relationship Id="rId48"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doi.org/10.1371/journal.pone.0302393" TargetMode="External"/><Relationship Id="rId25" Type="http://schemas.openxmlformats.org/officeDocument/2006/relationships/hyperlink" Target="https://doi.org/10.1097/prs.0000000000008636" TargetMode="External"/><Relationship Id="rId33" Type="http://schemas.openxmlformats.org/officeDocument/2006/relationships/hyperlink" Target="https://doi.org/10.15562/ism.v11i2.656" TargetMode="External"/><Relationship Id="rId38" Type="http://schemas.openxmlformats.org/officeDocument/2006/relationships/hyperlink" Target="https://doi.org/10.1016/j.pmedr.2021.101617" TargetMode="External"/><Relationship Id="rId46" Type="http://schemas.openxmlformats.org/officeDocument/2006/relationships/hyperlink" Target="https://doi.org/10.1097/PRS.0000000000008636" TargetMode="External"/><Relationship Id="rId20" Type="http://schemas.openxmlformats.org/officeDocument/2006/relationships/hyperlink" Target="https://doi.org/10.1177/1055665621998394" TargetMode="External"/><Relationship Id="rId41" Type="http://schemas.openxmlformats.org/officeDocument/2006/relationships/hyperlink" Target="https://doi.org/10.4103/jclpca.jclpca_19_1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hyperlink" Target="http://altera.ub.ac.id/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qtuQ75NH+Afzfw17WZox0+ZIA==">CgMxLjAyCGguZ2pkZ3hzMgloLjMwajB6bGwyCWguMWZvYjl0ZTIJaC4zem55c2g3OAByITFjSFUyOXBHamtiVFBTNDdyTFg0cGh2bS0yY2NRb2JvTg==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6D08AF-FBC4-8D44-9902-47A84809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5186</Words>
  <Characters>31231</Characters>
  <Application>Microsoft Office Word</Application>
  <DocSecurity>0</DocSecurity>
  <Lines>1285</Lines>
  <Paragraphs>220</Paragraphs>
  <ScaleCrop>false</ScaleCrop>
  <Company/>
  <LinksUpToDate>false</LinksUpToDate>
  <CharactersWithSpaces>36354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bedahplastik</cp:lastModifiedBy>
  <cp:revision>2</cp:revision>
  <dcterms:created xsi:type="dcterms:W3CDTF">2026-03-12T07:42:00Z</dcterms:created>
  <dcterms:modified xsi:type="dcterms:W3CDTF">2026-03-12T07:42:00Z</dcterms:modified>
</cp:coreProperties>
</file>