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eastAsia="Times New Roman"/>
          <w:b/>
          <w:color w:val="000000"/>
          <w:sz w:val="24"/>
        </w:rPr>
        <w:t>Salivary Amyloid-beta and Tau After Hyperbaric Oxygen Therapy in Periodontitis Rats</w:t>
      </w:r>
    </w:p>
    <w:p>
      <w:pPr>
        <w:pStyle w:val="Heading1"/>
        <w:spacing w:line="480" w:lineRule="auto" w:after="0"/>
      </w:pPr>
      <w:r>
        <w:rPr>
          <w:rFonts w:ascii="Times New Roman" w:hAnsi="Times New Roman" w:eastAsia="Times New Roman"/>
          <w:b/>
          <w:color w:val="000000"/>
        </w:rPr>
        <w:t>Abstract</w:t>
      </w:r>
    </w:p>
    <w:p>
      <w:pPr>
        <w:spacing w:line="480" w:lineRule="auto"/>
        <w:jc w:val="both"/>
      </w:pPr>
      <w:r>
        <w:rPr>
          <w:rFonts w:ascii="Times New Roman" w:hAnsi="Times New Roman" w:eastAsia="Times New Roman"/>
          <w:b/>
          <w:color w:val="000000"/>
        </w:rPr>
        <w:t>Objectives:</w:t>
      </w:r>
      <w:r>
        <w:rPr>
          <w:rFonts w:ascii="Times New Roman" w:hAnsi="Times New Roman" w:eastAsia="Times New Roman"/>
          <w:color w:val="000000"/>
        </w:rPr>
        <w:t xml:space="preserve"> Salivary amyloid-beta and tau have been explored as non-invasive laboratory biomarkers related to inflammatory and neurodegeneration-associated processes. This study aimed to evaluate salivary amyloid-beta, microtubule-associated protein tau (MAPTau), and spatial working memory after hyperbaric oxygen therapy in a Porphyromonas gingivalis-induced periodontitis rat model.</w:t>
      </w:r>
    </w:p>
    <w:p>
      <w:pPr>
        <w:spacing w:line="480" w:lineRule="auto"/>
        <w:jc w:val="both"/>
      </w:pPr>
      <w:r>
        <w:rPr>
          <w:rFonts w:ascii="Times New Roman" w:hAnsi="Times New Roman" w:eastAsia="Times New Roman"/>
          <w:b/>
          <w:color w:val="000000"/>
        </w:rPr>
        <w:t>Methods:</w:t>
      </w:r>
      <w:r>
        <w:rPr>
          <w:rFonts w:ascii="Times New Roman" w:hAnsi="Times New Roman" w:eastAsia="Times New Roman"/>
          <w:color w:val="000000"/>
        </w:rPr>
        <w:t xml:space="preserve"> This randomized experimental study used 33 male Sprague-Dawley rats assigned to three groups: negative control, positive control with P. gingivalis induction, and treatment group with P. gingivalis induction followed by hyperbaric oxygen therapy. Hyperbaric oxygen therapy was administered at 2.0 atmospheres absolute using 100% oxygen. Spatial working memory was assessed using the Y-maze spontaneous alternation test. Salivary amyloid-beta and MAPTau levels were measured using enzyme-linked immunosorbent assay.</w:t>
      </w:r>
    </w:p>
    <w:p>
      <w:pPr>
        <w:spacing w:line="480" w:lineRule="auto"/>
        <w:jc w:val="both"/>
      </w:pPr>
      <w:r>
        <w:rPr>
          <w:rFonts w:ascii="Times New Roman" w:hAnsi="Times New Roman" w:eastAsia="Times New Roman"/>
          <w:b/>
          <w:color w:val="000000"/>
        </w:rPr>
        <w:t>Results:</w:t>
      </w:r>
      <w:r>
        <w:rPr>
          <w:rFonts w:ascii="Times New Roman" w:hAnsi="Times New Roman" w:eastAsia="Times New Roman"/>
          <w:color w:val="000000"/>
        </w:rPr>
        <w:t xml:space="preserve"> At Week 9, the positive control group showed higher salivary amyloid-beta and MAPTau levels and lower spatial working memory performance than the negative control group. The treatment group showed lower amyloid-beta and MAPTau levels and higher spatial working memory performance than the positive control group. Overall between-group differences were statistically significant for all measured variables (p &lt; 0.001).</w:t>
      </w:r>
    </w:p>
    <w:p>
      <w:pPr>
        <w:spacing w:line="480" w:lineRule="auto"/>
        <w:jc w:val="both"/>
      </w:pPr>
      <w:r>
        <w:rPr>
          <w:rFonts w:ascii="Times New Roman" w:hAnsi="Times New Roman" w:eastAsia="Times New Roman"/>
          <w:b/>
          <w:color w:val="000000"/>
        </w:rPr>
        <w:t>Conclusions:</w:t>
      </w:r>
      <w:r>
        <w:rPr>
          <w:rFonts w:ascii="Times New Roman" w:hAnsi="Times New Roman" w:eastAsia="Times New Roman"/>
          <w:color w:val="000000"/>
        </w:rPr>
        <w:t xml:space="preserve"> Hyperbaric oxygen therapy was associated with lower salivary amyloid-beta and MAPTau levels and improved spatial working memory in a P. gingivalis-induced periodontitis rat model. These findings support the potential use of salivary biomarkers for laboratory-based monitoring in experimental inflammatory models.</w:t>
      </w:r>
    </w:p>
    <w:p>
      <w:pPr>
        <w:spacing w:line="480" w:lineRule="auto"/>
      </w:pPr>
      <w:r>
        <w:rPr>
          <w:rFonts w:ascii="Times New Roman" w:hAnsi="Times New Roman" w:eastAsia="Times New Roman"/>
          <w:b/>
          <w:color w:val="000000"/>
        </w:rPr>
        <w:t xml:space="preserve">Keywords: </w:t>
      </w:r>
      <w:r>
        <w:rPr>
          <w:rFonts w:ascii="Times New Roman" w:hAnsi="Times New Roman" w:eastAsia="Times New Roman"/>
          <w:color w:val="000000"/>
        </w:rPr>
        <w:t>Salivary biomarkers; Amyloid-beta; Tau; Hyperbaric oxygen therapy; Porphyromonas gingivalis</w:t>
      </w:r>
    </w:p>
    <w:p>
      <w:pPr>
        <w:pStyle w:val="Heading1"/>
        <w:spacing w:line="480" w:lineRule="auto" w:after="0"/>
      </w:pPr>
      <w:r>
        <w:rPr>
          <w:rFonts w:ascii="Times New Roman" w:hAnsi="Times New Roman" w:eastAsia="Times New Roman"/>
          <w:b/>
          <w:color w:val="000000"/>
        </w:rPr>
        <w:t>Introduction</w:t>
      </w:r>
    </w:p>
    <w:p>
      <w:pPr>
        <w:spacing w:line="480" w:lineRule="auto" w:after="0"/>
        <w:jc w:val="both"/>
      </w:pPr>
      <w:r>
        <w:rPr>
          <w:rFonts w:ascii="Times New Roman" w:hAnsi="Times New Roman" w:eastAsia="Times New Roman"/>
          <w:color w:val="000000"/>
        </w:rPr>
        <w:t>Chronic infection and inflammation are increasingly discussed as biological processes that may influence neurodegeneration-associated molecular changes. Porphyromonas gingivalis, a major periodontal pathogen, can contribute to systemic inflammatory responses through virulence factors such as lipopolysaccharides and gingipains. Experimental and translational studies have reported that exposure to P. gingivalis or its components may be associated with amyloid-beta (Aβ)- and tau-related changes, neuroinflammation, and impairment of cognitive performance (1,2).</w:t>
      </w:r>
    </w:p>
    <w:p>
      <w:pPr>
        <w:spacing w:line="480" w:lineRule="auto" w:after="0"/>
        <w:jc w:val="both"/>
      </w:pPr>
      <w:r>
        <w:rPr>
          <w:rFonts w:ascii="Times New Roman" w:hAnsi="Times New Roman" w:eastAsia="Times New Roman"/>
          <w:color w:val="000000"/>
        </w:rPr>
        <w:t>Amyloid-beta is produced from amyloid precursor protein through sequential cleavage involving beta- and gamma-secretase pathways. Under inflammatory and oxidative conditions, amyloidogenic processing and impaired clearance may increase the production and accumulation of aggregation-prone Aβ species (3). Tau protein, which is involved in microtubule stability, may also undergo dysregulation during inflammatory stress, including excessive phosphorylation and impaired clearance (4,5). Although these processes are usually evaluated using brain-based outcomes, non-invasive biomarkers have also gained attention as potential laboratory indicators of disease-related biological changes.</w:t>
      </w:r>
    </w:p>
    <w:p>
      <w:pPr>
        <w:spacing w:line="480" w:lineRule="auto" w:after="0"/>
        <w:jc w:val="both"/>
      </w:pPr>
      <w:r>
        <w:rPr>
          <w:rFonts w:ascii="Times New Roman" w:hAnsi="Times New Roman" w:eastAsia="Times New Roman"/>
          <w:color w:val="000000"/>
        </w:rPr>
        <w:t>Saliva is an accessible biological fluid that may reflect local and systemic inflammatory processes. Salivary biomarkers, including Aβ and tau, have been investigated as non-invasive candidates for monitoring neurodegeneration-associated changes, although their diagnostic and mechanistic interpretation remains limited compared with cerebrospinal fluid or direct brain-based analyses (12,13). In experimental settings, salivary biomarkers may provide practical laboratory endpoints for evaluating biological responses to inflammatory induction and interventions.</w:t>
      </w:r>
    </w:p>
    <w:p>
      <w:pPr>
        <w:spacing w:line="480" w:lineRule="auto" w:after="0"/>
        <w:jc w:val="both"/>
      </w:pPr>
      <w:r>
        <w:rPr>
          <w:rFonts w:ascii="Times New Roman" w:hAnsi="Times New Roman" w:eastAsia="Times New Roman"/>
          <w:color w:val="000000"/>
        </w:rPr>
        <w:t>Hyperbaric oxygen therapy is a non-pharmacological intervention that increases oxygen availability under increased atmospheric pressure. Previous studies have suggested that hyperbaric oxygen therapy may influence oxidative stress, inflammatory signaling, mitochondrial function, and protein homeostasis (8-10). These biological effects provide a rationale for evaluating whether hyperbaric oxygen therapy can modulate laboratory biomarkers and functional outcomes in infection-associated experimental models.</w:t>
      </w:r>
    </w:p>
    <w:p>
      <w:pPr>
        <w:spacing w:line="480" w:lineRule="auto" w:after="0"/>
        <w:jc w:val="both"/>
      </w:pPr>
      <w:r>
        <w:rPr>
          <w:rFonts w:ascii="Times New Roman" w:hAnsi="Times New Roman" w:eastAsia="Times New Roman"/>
          <w:color w:val="000000"/>
        </w:rPr>
        <w:t>However, evidence regarding the effects of hyperbaric oxygen therapy on salivary Aβ, salivary tau, and spatial working memory in P. gingivalis-induced periodontitis remains limited. Therefore, this study aimed to evaluate salivary amyloid-beta, MAPTau, and spatial working memory after hyperbaric oxygen therapy in a P. gingivalis-induced periodontitis rat model.</w:t>
      </w:r>
    </w:p>
    <w:p>
      <w:pPr>
        <w:pStyle w:val="Heading1"/>
        <w:spacing w:line="480" w:lineRule="auto" w:after="0"/>
      </w:pPr>
      <w:r>
        <w:rPr>
          <w:rFonts w:ascii="Times New Roman" w:hAnsi="Times New Roman" w:eastAsia="Times New Roman"/>
          <w:b/>
          <w:color w:val="000000"/>
        </w:rPr>
        <w:t>Materials and Methods</w:t>
      </w:r>
    </w:p>
    <w:p>
      <w:pPr>
        <w:pStyle w:val="Heading2"/>
        <w:spacing w:line="480" w:lineRule="auto" w:after="0"/>
      </w:pPr>
      <w:r>
        <w:rPr>
          <w:rFonts w:ascii="Times New Roman" w:hAnsi="Times New Roman" w:eastAsia="Times New Roman"/>
          <w:b/>
          <w:color w:val="000000"/>
        </w:rPr>
        <w:t>Animal and Experimental Design</w:t>
      </w:r>
    </w:p>
    <w:p>
      <w:pPr>
        <w:spacing w:line="480" w:lineRule="auto" w:after="0"/>
        <w:jc w:val="both"/>
      </w:pPr>
      <w:r>
        <w:rPr>
          <w:rFonts w:ascii="Times New Roman" w:hAnsi="Times New Roman" w:eastAsia="Times New Roman"/>
          <w:color w:val="000000"/>
        </w:rPr>
        <w:t>This randomized experimental study used 33 male Sprague-Dawley rats aged 10 weeks, with initial body weights ranging from 150 to 180 g. The animals were randomly assigned to three experimental groups (n = 11 per group): negative control group (C-), positive control group (C+; P. gingivalis induction only), and treatment group (T; P. gingivalis induction followed by hyperbaric oxygen therapy). Before experimentation, all animals underwent a one-week acclimatization period under controlled environmental conditions (18-26 °C, 30-70% humidity, 12:12-hour light-dark cycle) with ad libitum access to standard pellet feed and drinking water. The animal study protocol was approved by the institutional animal research ethics committee under approval number EC/101/KEPK-FKGUHT/X/2024.</w:t>
      </w:r>
    </w:p>
    <w:p>
      <w:pPr>
        <w:pStyle w:val="Heading2"/>
        <w:spacing w:line="480" w:lineRule="auto" w:after="0"/>
      </w:pPr>
      <w:r>
        <w:rPr>
          <w:rFonts w:ascii="Times New Roman" w:hAnsi="Times New Roman" w:eastAsia="Times New Roman"/>
          <w:b/>
          <w:color w:val="000000"/>
        </w:rPr>
        <w:t>Induction of Periodontitis with Porphyromonas gingivalis</w:t>
      </w:r>
    </w:p>
    <w:p>
      <w:pPr>
        <w:spacing w:line="480" w:lineRule="auto" w:after="0"/>
        <w:jc w:val="both"/>
      </w:pPr>
      <w:r>
        <w:rPr>
          <w:rFonts w:ascii="Times New Roman" w:hAnsi="Times New Roman" w:eastAsia="Times New Roman"/>
          <w:color w:val="000000"/>
        </w:rPr>
        <w:t>After acclimatization, rats in the C+ and T groups were subjected to experimental periodontitis induction using a whole P. gingivalis suspension (ATCC 33277 PK/5). The infection dose was 3 mL of 1 x 10^9 colony-forming units/mL, applied to the subgingival sulcus of the posterior molar region of the lower jaw on the right and left sides using a 5 mL microsyringe. The procedure was repeated every two days for five consecutive weeks to establish an experimental periodontitis model.</w:t>
      </w:r>
    </w:p>
    <w:p>
      <w:pPr>
        <w:pStyle w:val="Heading2"/>
        <w:spacing w:line="480" w:lineRule="auto" w:after="0"/>
      </w:pPr>
      <w:r>
        <w:rPr>
          <w:rFonts w:ascii="Times New Roman" w:hAnsi="Times New Roman" w:eastAsia="Times New Roman"/>
          <w:b/>
          <w:color w:val="000000"/>
        </w:rPr>
        <w:t>Hyperbaric Oxygen Therapy and Handling Control</w:t>
      </w:r>
    </w:p>
    <w:p>
      <w:pPr>
        <w:spacing w:line="480" w:lineRule="auto" w:after="0"/>
        <w:jc w:val="both"/>
      </w:pPr>
      <w:r>
        <w:rPr>
          <w:rFonts w:ascii="Times New Roman" w:hAnsi="Times New Roman" w:eastAsia="Times New Roman"/>
          <w:color w:val="000000"/>
        </w:rPr>
        <w:t>The four-week intervention period began after the five-week induction phase. Only the treatment group received hyperbaric oxygen therapy in a chamber pressurized to 2.0 atmospheres absolute with 100% medical oxygen. The protocol consisted of gradual compression at 0.1 atmospheres absolute/min, core therapy for 60 minutes per session divided into two 30-minute oxygen exposure periods with a 5-minute interval, and slow decompression at 0.1 atmospheres absolute/min. Treatment was administered five times per week for four weeks, for a total of 20 sessions. Animals were fasted for 4-6 hours before each session and monitored during the procedure. The negative and positive control groups underwent a handling control protocol to reduce the influence of routine handling and environmental stress.</w:t>
      </w:r>
    </w:p>
    <w:p>
      <w:pPr>
        <w:pStyle w:val="Heading2"/>
        <w:spacing w:line="480" w:lineRule="auto" w:after="0"/>
      </w:pPr>
      <w:r>
        <w:rPr>
          <w:rFonts w:ascii="Times New Roman" w:hAnsi="Times New Roman" w:eastAsia="Times New Roman"/>
          <w:b/>
          <w:color w:val="000000"/>
        </w:rPr>
        <w:t>Evaluation of Spatial Working Memory</w:t>
      </w:r>
    </w:p>
    <w:p>
      <w:pPr>
        <w:spacing w:line="480" w:lineRule="auto" w:after="0"/>
        <w:jc w:val="both"/>
      </w:pPr>
      <w:r>
        <w:rPr>
          <w:rFonts w:ascii="Times New Roman" w:hAnsi="Times New Roman" w:eastAsia="Times New Roman"/>
          <w:color w:val="000000"/>
        </w:rPr>
        <w:t>Spatial working memory was evaluated using the spontaneous alternation test in a Y-maze apparatus. The sequence and number of arm entries were recorded by video camera. The percentage of spontaneous alternations was calculated as: number of spontaneous alternations divided by total number of entries minus 2, multiplied by 100%. Testing was conducted at baseline, after P. gingivalis induction, and after the hyperbaric oxygen therapy intervention period.</w:t>
      </w:r>
    </w:p>
    <w:p>
      <w:pPr>
        <w:pStyle w:val="Heading2"/>
        <w:spacing w:line="480" w:lineRule="auto" w:after="0"/>
      </w:pPr>
      <w:r>
        <w:rPr>
          <w:rFonts w:ascii="Times New Roman" w:hAnsi="Times New Roman" w:eastAsia="Times New Roman"/>
          <w:b/>
          <w:color w:val="000000"/>
        </w:rPr>
        <w:t>Saliva Sample Collection and Laboratory Measurement</w:t>
      </w:r>
    </w:p>
    <w:p>
      <w:pPr>
        <w:spacing w:line="480" w:lineRule="auto" w:after="0"/>
        <w:jc w:val="both"/>
      </w:pPr>
      <w:r>
        <w:rPr>
          <w:rFonts w:ascii="Times New Roman" w:hAnsi="Times New Roman" w:eastAsia="Times New Roman"/>
          <w:color w:val="000000"/>
        </w:rPr>
        <w:t>Saliva sampling was performed after P. gingivalis induction and after the hyperbaric oxygen therapy intervention period according to the experimental group. Rats were anesthetized using ketamine (80 mg/kg body weight) and xylazine (10 mg/kg body weight), administered intraperitoneally, before saliva collection. Saliva secretion was stimulated with pilocarpine nitrate (5 mg/kg body weight, intraperitoneal). Saliva samples were collected in plastic containers precoated with 2% sodium azide solution, immediately placed on ice, and centrifuged at 600 x g for 10 minutes at 4 °C. Aliquoted samples were frozen at -80 °C after treatment with a protease inhibitor cocktail. Salivary Aβ and MAPTau levels were measured using Rat Aβ 1-42 ELISA Kit, 96T and Rat MAPt (microtubule-associated protein tau) ELISA Kit, 96T, respectively, following the manufacturer's procedures.</w:t>
      </w:r>
    </w:p>
    <w:p>
      <w:pPr>
        <w:pStyle w:val="Heading2"/>
        <w:spacing w:line="480" w:lineRule="auto" w:after="0"/>
      </w:pPr>
      <w:r>
        <w:rPr>
          <w:rFonts w:ascii="Times New Roman" w:hAnsi="Times New Roman" w:eastAsia="Times New Roman"/>
          <w:b/>
          <w:color w:val="000000"/>
        </w:rPr>
        <w:t>Statistical Analysis</w:t>
      </w:r>
    </w:p>
    <w:p>
      <w:pPr>
        <w:spacing w:line="480" w:lineRule="auto" w:after="0"/>
        <w:jc w:val="both"/>
      </w:pPr>
      <w:r>
        <w:rPr>
          <w:rFonts w:ascii="Times New Roman" w:hAnsi="Times New Roman" w:eastAsia="Times New Roman"/>
          <w:color w:val="000000"/>
        </w:rPr>
        <w:t>Observation data are presented as mean ± standard deviation. Normality and homogeneity were assessed using the Shapiro-Wilk and Levene tests, respectively. Differences among groups were analyzed using one-way analysis of variance followed by an appropriate post hoc test. A p-value &lt; 0.05 was considered statistically significant. Statistical analysis was performed using SPSS Statistics for Windows, version 17.0 (SPSS Inc., Chicago, IL, USA).</w:t>
      </w:r>
    </w:p>
    <w:p>
      <w:pPr>
        <w:pStyle w:val="Heading1"/>
        <w:spacing w:line="480" w:lineRule="auto" w:after="0"/>
      </w:pPr>
      <w:r>
        <w:rPr>
          <w:rFonts w:ascii="Times New Roman" w:hAnsi="Times New Roman" w:eastAsia="Times New Roman"/>
          <w:b/>
          <w:color w:val="000000"/>
        </w:rPr>
        <w:t>Results</w:t>
      </w:r>
    </w:p>
    <w:p>
      <w:pPr>
        <w:spacing w:line="480" w:lineRule="auto" w:after="0"/>
        <w:jc w:val="both"/>
      </w:pPr>
      <w:r>
        <w:rPr>
          <w:rFonts w:ascii="Times New Roman" w:hAnsi="Times New Roman" w:eastAsia="Times New Roman"/>
          <w:color w:val="000000"/>
        </w:rPr>
        <w:t>The differences in salivary amyloid-beta levels, MAPTau levels, and spatial working memory among the three groups at Week 9 are presented in Table 1. The positive control group showed higher salivary amyloid-beta and MAPTau levels than the negative control group, accompanied by lower spatial working memory performance. In contrast, the treatment group showed lower salivary amyloid-beta and MAPTau levels and higher spatial working memory performance than the positive control group.</w:t>
      </w:r>
    </w:p>
    <w:p>
      <w:pPr>
        <w:jc w:val="center"/>
      </w:pPr>
      <w:r>
        <w:rPr>
          <w:rFonts w:ascii="Times New Roman" w:hAnsi="Times New Roman" w:eastAsia="Times New Roman"/>
          <w:i/>
          <w:color w:val="000000"/>
        </w:rPr>
        <w:t>[Insert Table 1 here]</w:t>
      </w:r>
    </w:p>
    <w:p>
      <w:pPr>
        <w:spacing w:line="480" w:lineRule="auto" w:after="0"/>
        <w:jc w:val="both"/>
      </w:pPr>
      <w:r>
        <w:rPr>
          <w:rFonts w:ascii="Times New Roman" w:hAnsi="Times New Roman" w:eastAsia="Times New Roman"/>
          <w:color w:val="000000"/>
        </w:rPr>
        <w:t>At Week 9, the mean amyloid-beta level was 46.13 ± 5.21 pg/mL in the negative control group, 188.41 ± 36.11 pg/mL in the positive control group, and 63.21 ± 8.19 pg/mL in the treatment group. MAPTau levels were 0.15 ± 0.06 in the negative control group, 0.52 ± 0.23 in the positive control group, and 0.26 ± 0.08 in the treatment group. Spatial working memory performance was 68.00 ± 5.08% in the negative control group, 31.14 ± 18.87% in the positive control group, and 52.09 ± 14.03% in the treatment group. The overall between-group differences were statistically significant for all measured variables (p &lt; 0.001). The graphical comparison of salivary amyloid-beta, MAPTau, and spatial working memory among groups is shown in Fig. 1.</w:t>
      </w:r>
    </w:p>
    <w:p>
      <w:pPr>
        <w:jc w:val="center"/>
      </w:pPr>
      <w:r>
        <w:rPr>
          <w:rFonts w:ascii="Times New Roman" w:hAnsi="Times New Roman" w:eastAsia="Times New Roman"/>
          <w:i/>
          <w:color w:val="000000"/>
        </w:rPr>
        <w:t>[Insert Fig. 1 here]</w:t>
      </w:r>
    </w:p>
    <w:p>
      <w:pPr>
        <w:pStyle w:val="Heading1"/>
        <w:spacing w:line="480" w:lineRule="auto" w:after="0"/>
      </w:pPr>
      <w:r>
        <w:rPr>
          <w:rFonts w:ascii="Times New Roman" w:hAnsi="Times New Roman" w:eastAsia="Times New Roman"/>
          <w:b/>
          <w:color w:val="000000"/>
        </w:rPr>
        <w:t>Discussion</w:t>
      </w:r>
    </w:p>
    <w:p>
      <w:pPr>
        <w:spacing w:line="480" w:lineRule="auto" w:after="0"/>
        <w:jc w:val="both"/>
      </w:pPr>
      <w:r>
        <w:rPr>
          <w:rFonts w:ascii="Times New Roman" w:hAnsi="Times New Roman" w:eastAsia="Times New Roman"/>
          <w:color w:val="000000"/>
        </w:rPr>
        <w:t>This study showed that P. gingivalis-induced periodontitis was associated with higher salivary amyloid-beta and MAPTau levels and lower spatial working memory performance in rats. After hyperbaric oxygen therapy, the treatment group showed lower salivary biomarker levels and better spatial working memory performance than the untreated positive control group. These findings suggest that hyperbaric oxygen therapy may influence laboratory biomarker profiles and behavioral performance in this experimental inflammatory model.</w:t>
      </w:r>
    </w:p>
    <w:p>
      <w:pPr>
        <w:spacing w:line="480" w:lineRule="auto" w:after="0"/>
        <w:jc w:val="both"/>
      </w:pPr>
      <w:r>
        <w:rPr>
          <w:rFonts w:ascii="Times New Roman" w:hAnsi="Times New Roman" w:eastAsia="Times New Roman"/>
          <w:color w:val="000000"/>
        </w:rPr>
        <w:t>The increase in salivary amyloid-beta and MAPTau after P. gingivalis induction is biologically plausible because chronic periodontal infection can promote systemic inflammatory responses. Previous studies have reported that P. gingivalis or its virulence factors may be associated with neuroinflammatory activation, amyloid-related pathways, and cognitive impairment in experimental models (6,7,14-17). Nevertheless, the present study measured salivary biomarkers rather than direct brain tissue outcomes; therefore, the results should be interpreted as laboratory biomarker changes associated with the experimental condition rather than direct proof of neurodegenerative pathology.</w:t>
      </w:r>
    </w:p>
    <w:p>
      <w:pPr>
        <w:spacing w:line="480" w:lineRule="auto" w:after="0"/>
        <w:jc w:val="both"/>
      </w:pPr>
      <w:r>
        <w:rPr>
          <w:rFonts w:ascii="Times New Roman" w:hAnsi="Times New Roman" w:eastAsia="Times New Roman"/>
          <w:color w:val="000000"/>
        </w:rPr>
        <w:t>Salivary biomarkers are attractive in biomedical laboratory research because saliva collection is relatively simple, minimally invasive, and suitable for repeated sampling. Salivary Aβ and tau have been explored as potential biomarkers related to neurodegeneration-associated processes (12,13). However, these biomarkers remain exploratory, and their relationship with central nervous system pathology requires careful interpretation. In the present study, salivary Aβ and MAPTau provided measurable laboratory endpoints that changed across experimental groups, supporting their usefulness for monitoring biological responses in a preclinical inflammatory model.</w:t>
      </w:r>
    </w:p>
    <w:p>
      <w:pPr>
        <w:spacing w:line="480" w:lineRule="auto" w:after="0"/>
        <w:jc w:val="both"/>
      </w:pPr>
      <w:r>
        <w:rPr>
          <w:rFonts w:ascii="Times New Roman" w:hAnsi="Times New Roman" w:eastAsia="Times New Roman"/>
          <w:color w:val="000000"/>
        </w:rPr>
        <w:t>Hyperbaric oxygen therapy may affect inflammatory and oxidative pathways through improved oxygen availability, modulation of mitochondrial function, and changes in redox signaling (8-10). Studies in other experimental models have reported that hyperbaric oxygen therapy can influence amyloid burden, neuroinflammation, and cognitive performance (22,26,31). The lower salivary Aβ and MAPTau levels observed in the treatment group may reflect modulation of inflammation-associated biomarker responses. However, mechanisms such as amyloidogenic processing, kinase activity, protein clearance, microglial activation, and blood-brain barrier function were not directly assessed in this study. Therefore, mechanistic explanations should be regarded as hypotheses for future research.</w:t>
      </w:r>
    </w:p>
    <w:p>
      <w:pPr>
        <w:spacing w:line="480" w:lineRule="auto" w:after="0"/>
        <w:jc w:val="both"/>
      </w:pPr>
      <w:r>
        <w:rPr>
          <w:rFonts w:ascii="Times New Roman" w:hAnsi="Times New Roman" w:eastAsia="Times New Roman"/>
          <w:color w:val="000000"/>
        </w:rPr>
        <w:t>The improvement in Y-maze spontaneous alternation performance in the treatment group suggests better spatial working memory after hyperbaric oxygen therapy compared with the untreated positive control group. Because spatial working memory is influenced by multiple biological and behavioral factors, the relationship between salivary biomarker changes and cognitive performance cannot be interpreted as causal based on the present data alone. Further studies with direct brain-based measurements are needed to clarify whether these salivary changes correspond to hippocampal pathology, neuronal injury, inflammatory activation, oxidative stress, or amyloid and tau deposition in brain tissue.</w:t>
      </w:r>
    </w:p>
    <w:p>
      <w:pPr>
        <w:spacing w:line="480" w:lineRule="auto" w:after="0"/>
        <w:jc w:val="both"/>
      </w:pPr>
      <w:r>
        <w:rPr>
          <w:rFonts w:ascii="Times New Roman" w:hAnsi="Times New Roman" w:eastAsia="Times New Roman"/>
          <w:color w:val="000000"/>
        </w:rPr>
        <w:t>This study has several limitations. First, the study relied on salivary amyloid-beta, salivary MAPTau, and Y-maze performance without direct brain-based evidence such as hippocampal histology, brain amyloid-beta or tau deposition, microglial activation, oxidative stress markers, inflammatory cytokines, neuronal injury markers, or blood-brain barrier assessment. Second, the study did not include sham hyperbaric air or hyperbaric oxygen therapy-only control groups, which limits the ability to isolate the specific effect of hyperbaric oxygen therapy from pressure exposure or oxygen exposure alone. Third, periodontal destruction was induced experimentally, but quantitative periodontal outcomes were not presented in the main results. Fourth, the statistical reporting was primarily based on overall between-group comparisons. Future studies should include additional control groups, validated periodontal and brain-based outcomes, post hoc comparisons with confidence intervals, and mechanistic biomarkers to strengthen causal interpretation.</w:t>
      </w:r>
    </w:p>
    <w:p>
      <w:pPr>
        <w:pStyle w:val="Heading1"/>
        <w:spacing w:line="480" w:lineRule="auto" w:after="0"/>
      </w:pPr>
      <w:r>
        <w:rPr>
          <w:rFonts w:ascii="Times New Roman" w:hAnsi="Times New Roman" w:eastAsia="Times New Roman"/>
          <w:b/>
          <w:color w:val="000000"/>
        </w:rPr>
        <w:t>Conclusions</w:t>
      </w:r>
    </w:p>
    <w:p>
      <w:pPr>
        <w:spacing w:line="480" w:lineRule="auto" w:after="0"/>
        <w:jc w:val="both"/>
      </w:pPr>
      <w:r>
        <w:rPr>
          <w:rFonts w:ascii="Times New Roman" w:hAnsi="Times New Roman" w:eastAsia="Times New Roman"/>
          <w:color w:val="000000"/>
        </w:rPr>
        <w:t>Hyperbaric oxygen therapy was associated with lower salivary amyloid-beta and MAPTau levels and improved spatial working memory in a P. gingivalis-induced periodontitis rat model. These findings support the potential use of salivary biomarkers for laboratory-based monitoring of biological responses in experimental inflammatory models. However, because direct brain-based outcomes and additional control groups were not included, the findings should be interpreted cautiously and should be confirmed in future studies with more comprehensive periodontal, neurological, inflammatory, and oxidative stress assessments.</w:t>
      </w:r>
    </w:p>
    <w:p>
      <w:pPr>
        <w:pStyle w:val="Heading1"/>
        <w:spacing w:line="480" w:lineRule="auto" w:after="0"/>
      </w:pPr>
      <w:r>
        <w:rPr>
          <w:rFonts w:ascii="Times New Roman" w:hAnsi="Times New Roman" w:eastAsia="Times New Roman"/>
          <w:b/>
          <w:color w:val="000000"/>
        </w:rPr>
        <w:t>Acknowledgments</w:t>
      </w:r>
    </w:p>
    <w:p>
      <w:pPr>
        <w:spacing w:line="480" w:lineRule="auto" w:after="0"/>
        <w:jc w:val="both"/>
      </w:pPr>
      <w:r>
        <w:rPr>
          <w:rFonts w:ascii="Times New Roman" w:hAnsi="Times New Roman" w:eastAsia="Times New Roman"/>
          <w:color w:val="000000"/>
        </w:rPr>
        <w:t>The authors gratefully acknowledge the technical assistance and support provided by the laboratory staff involved in animal handling, hyperbaric oxygen therapy procedures, saliva sample preparation, and biomarker analysis.</w:t>
      </w:r>
    </w:p>
    <w:p>
      <w:pPr>
        <w:pStyle w:val="Heading1"/>
        <w:spacing w:line="480" w:lineRule="auto" w:after="0"/>
      </w:pPr>
      <w:r>
        <w:rPr>
          <w:rFonts w:ascii="Times New Roman" w:hAnsi="Times New Roman" w:eastAsia="Times New Roman"/>
          <w:b/>
          <w:color w:val="000000"/>
        </w:rPr>
        <w:t>Funding</w:t>
      </w:r>
    </w:p>
    <w:p>
      <w:pPr>
        <w:spacing w:line="480" w:lineRule="auto" w:after="0"/>
        <w:jc w:val="both"/>
      </w:pPr>
      <w:r>
        <w:rPr>
          <w:rFonts w:ascii="Times New Roman" w:hAnsi="Times New Roman" w:eastAsia="Times New Roman"/>
          <w:color w:val="000000"/>
        </w:rPr>
        <w:t>This research received no specific grant from any funding agency in the public, commercial, or not-for-profit sectors.</w:t>
      </w:r>
    </w:p>
    <w:p>
      <w:pPr>
        <w:pStyle w:val="Heading1"/>
        <w:spacing w:line="480" w:lineRule="auto" w:after="0"/>
      </w:pPr>
      <w:r>
        <w:rPr>
          <w:rFonts w:ascii="Times New Roman" w:hAnsi="Times New Roman" w:eastAsia="Times New Roman"/>
          <w:b/>
          <w:color w:val="000000"/>
        </w:rPr>
        <w:t>Conflicts of Interest</w:t>
      </w:r>
    </w:p>
    <w:p>
      <w:pPr>
        <w:spacing w:line="480" w:lineRule="auto" w:after="0"/>
        <w:jc w:val="both"/>
      </w:pPr>
      <w:r>
        <w:rPr>
          <w:rFonts w:ascii="Times New Roman" w:hAnsi="Times New Roman" w:eastAsia="Times New Roman"/>
          <w:color w:val="000000"/>
        </w:rPr>
        <w:t>The authors have no conflicts of interest to report.</w:t>
      </w:r>
    </w:p>
    <w:p>
      <w:pPr>
        <w:pStyle w:val="Heading1"/>
        <w:spacing w:line="480" w:lineRule="auto" w:after="0"/>
      </w:pPr>
      <w:r>
        <w:rPr>
          <w:rFonts w:ascii="Times New Roman" w:hAnsi="Times New Roman" w:eastAsia="Times New Roman"/>
          <w:b/>
          <w:color w:val="000000"/>
        </w:rPr>
        <w:t>Author Contribution</w:t>
      </w:r>
    </w:p>
    <w:p>
      <w:pPr>
        <w:spacing w:line="480" w:lineRule="auto" w:after="0"/>
        <w:jc w:val="both"/>
      </w:pPr>
      <w:r>
        <w:rPr>
          <w:rFonts w:ascii="Times New Roman" w:hAnsi="Times New Roman" w:eastAsia="Times New Roman"/>
          <w:color w:val="000000"/>
        </w:rPr>
        <w:t>Y.R.W.: Conceptualization, Methodology, Investigation, Data curation, Writing - Original Draft; S.: Methodology, Supervision, Validation, Writing - Review &amp; Editing; A.K.: Methodology, Supervision, Validation, Writing - Review &amp; Editing.</w:t>
      </w:r>
    </w:p>
    <w:p>
      <w:pPr>
        <w:pStyle w:val="Heading1"/>
        <w:spacing w:line="480" w:lineRule="auto" w:after="0"/>
      </w:pPr>
      <w:r>
        <w:rPr>
          <w:rFonts w:ascii="Times New Roman" w:hAnsi="Times New Roman" w:eastAsia="Times New Roman"/>
          <w:b/>
          <w:color w:val="000000"/>
        </w:rPr>
        <w:t>Institutional Review Board Statement</w:t>
      </w:r>
    </w:p>
    <w:p>
      <w:pPr>
        <w:spacing w:line="480" w:lineRule="auto" w:after="0"/>
        <w:jc w:val="both"/>
      </w:pPr>
      <w:r>
        <w:rPr>
          <w:rFonts w:ascii="Times New Roman" w:hAnsi="Times New Roman" w:eastAsia="Times New Roman"/>
          <w:color w:val="000000"/>
        </w:rPr>
        <w:t>The animal study protocol was approved by the Institutional Research Ethics Committee of the Faculty of Dentistry, Universitas Hang Tuah (protocol code EC/101/KEPK-FKGUHT/X/2024, approval date 31 October 2024).</w:t>
      </w:r>
    </w:p>
    <w:p>
      <w:pPr>
        <w:pStyle w:val="Heading1"/>
        <w:spacing w:line="480" w:lineRule="auto" w:after="0"/>
      </w:pPr>
      <w:r>
        <w:rPr>
          <w:rFonts w:ascii="Times New Roman" w:hAnsi="Times New Roman" w:eastAsia="Times New Roman"/>
          <w:b/>
          <w:color w:val="000000"/>
        </w:rPr>
        <w:t>Informed Consent Statement</w:t>
      </w:r>
    </w:p>
    <w:p>
      <w:pPr>
        <w:spacing w:line="480" w:lineRule="auto" w:after="0"/>
        <w:jc w:val="both"/>
      </w:pPr>
      <w:r>
        <w:rPr>
          <w:rFonts w:ascii="Times New Roman" w:hAnsi="Times New Roman" w:eastAsia="Times New Roman"/>
          <w:color w:val="000000"/>
        </w:rPr>
        <w:t>Not applicable.</w:t>
      </w:r>
    </w:p>
    <w:p>
      <w:pPr>
        <w:pStyle w:val="Heading1"/>
        <w:spacing w:line="480" w:lineRule="auto" w:after="0"/>
      </w:pPr>
      <w:r>
        <w:rPr>
          <w:rFonts w:ascii="Times New Roman" w:hAnsi="Times New Roman" w:eastAsia="Times New Roman"/>
          <w:b/>
          <w:color w:val="000000"/>
        </w:rPr>
        <w:t>Data Availability Statement</w:t>
      </w:r>
    </w:p>
    <w:p>
      <w:pPr>
        <w:spacing w:line="480" w:lineRule="auto" w:after="0"/>
        <w:jc w:val="both"/>
      </w:pPr>
      <w:r>
        <w:rPr>
          <w:rFonts w:ascii="Times New Roman" w:hAnsi="Times New Roman" w:eastAsia="Times New Roman"/>
          <w:color w:val="000000"/>
        </w:rPr>
        <w:t>The data that support the findings of this study are available from the corresponding author upon reasonable request.</w:t>
      </w:r>
    </w:p>
    <w:p>
      <w:pPr>
        <w:pStyle w:val="Heading1"/>
        <w:spacing w:line="480" w:lineRule="auto" w:after="0"/>
      </w:pPr>
      <w:r>
        <w:rPr>
          <w:rFonts w:ascii="Times New Roman" w:hAnsi="Times New Roman" w:eastAsia="Times New Roman"/>
          <w:b/>
          <w:color w:val="000000"/>
        </w:rPr>
        <w:t>Additional Information</w:t>
      </w:r>
    </w:p>
    <w:p>
      <w:pPr>
        <w:spacing w:line="480" w:lineRule="auto" w:after="0"/>
        <w:jc w:val="both"/>
      </w:pPr>
      <w:r>
        <w:rPr>
          <w:rFonts w:ascii="Times New Roman" w:hAnsi="Times New Roman" w:eastAsia="Times New Roman"/>
          <w:color w:val="000000"/>
        </w:rPr>
        <w:t>No supplementary materials were used in this manuscript.</w:t>
      </w:r>
    </w:p>
    <w:p>
      <w:pPr>
        <w:pStyle w:val="Heading1"/>
        <w:spacing w:line="480" w:lineRule="auto" w:after="0"/>
      </w:pPr>
      <w:r>
        <w:rPr>
          <w:rFonts w:ascii="Times New Roman" w:hAnsi="Times New Roman" w:eastAsia="Times New Roman"/>
          <w:b/>
          <w:color w:val="000000"/>
        </w:rPr>
        <w:t>References</w:t>
      </w:r>
    </w:p>
    <w:p>
      <w:pPr>
        <w:spacing w:line="276" w:lineRule="auto" w:after="120"/>
        <w:jc w:val="left"/>
      </w:pPr>
      <w:r>
        <w:rPr>
          <w:rFonts w:ascii="Times New Roman" w:hAnsi="Times New Roman" w:eastAsia="Times New Roman"/>
          <w:color w:val="000000"/>
        </w:rPr>
        <w:t>1. Gui S, Zeng F, Wu Z, Nonaka S, Sano T, Ni J, et al. Lipopolysaccharides from Porphyromonas gingivalis indirectly induce neuronal GSK3β-dependent synaptic defects and cause cognitive decline in a low-amyloid-β-concentration environment in Alzheimer's disease. J Alzheimers Dis. 2025;105:302-16. doi: 10.1177/13872877251326879.</w:t>
      </w:r>
    </w:p>
    <w:p>
      <w:pPr>
        <w:spacing w:line="276" w:lineRule="auto" w:after="120"/>
        <w:jc w:val="left"/>
      </w:pPr>
      <w:r>
        <w:rPr>
          <w:rFonts w:ascii="Times New Roman" w:hAnsi="Times New Roman" w:eastAsia="Times New Roman"/>
          <w:color w:val="000000"/>
        </w:rPr>
        <w:t>2. Aravindraja C, Sakthivel R, Liu X, Goodwin M, Veena P, Godovikova V, et al. Intracerebral but not peripheral infection of live Porphyromonas gingivalis exacerbates Alzheimer's disease-like amyloid pathology in APP-TgCRND8 mice. Int J Mol Sci. 2022;23:3328. doi: 10.3390/ijms23063328.</w:t>
      </w:r>
    </w:p>
    <w:p>
      <w:pPr>
        <w:spacing w:line="276" w:lineRule="auto" w:after="120"/>
        <w:jc w:val="left"/>
      </w:pPr>
      <w:r>
        <w:rPr>
          <w:rFonts w:ascii="Times New Roman" w:hAnsi="Times New Roman" w:eastAsia="Times New Roman"/>
          <w:color w:val="000000"/>
        </w:rPr>
        <w:t>3. Hampel H, Hardy J, Blennow K, Chen C, Perry G, Kim SH, et al. The amyloid-β pathway in Alzheimer's disease. Mol Psychiatry. 2021;26:5481-503. doi: 10.1038/s41380-021-01249-0.</w:t>
      </w:r>
    </w:p>
    <w:p>
      <w:pPr>
        <w:spacing w:line="276" w:lineRule="auto" w:after="120"/>
        <w:jc w:val="left"/>
      </w:pPr>
      <w:r>
        <w:rPr>
          <w:rFonts w:ascii="Times New Roman" w:hAnsi="Times New Roman" w:eastAsia="Times New Roman"/>
          <w:color w:val="000000"/>
        </w:rPr>
        <w:t>4. Kent SA, Spires-Jones TL, Durrant CS. The physiological roles of tau and Aβ: implications for Alzheimer's disease pathology and therapeutics. Acta Neuropathol. 2020;140:417-47. doi: 10.1007/s00401-020-02196-w.</w:t>
      </w:r>
    </w:p>
    <w:p>
      <w:pPr>
        <w:spacing w:line="276" w:lineRule="auto" w:after="120"/>
        <w:jc w:val="left"/>
      </w:pPr>
      <w:r>
        <w:rPr>
          <w:rFonts w:ascii="Times New Roman" w:hAnsi="Times New Roman" w:eastAsia="Times New Roman"/>
          <w:color w:val="000000"/>
        </w:rPr>
        <w:t>5. Nam Y, Shin SJ, Kumar V, Won J, Kim S, Moon M. Dual modulation of amyloid beta and tau aggregation and dissociation in Alzheimer's disease: a comprehensive review of the characteristics and therapeutic strategies. Transl Neurodegener. 2025;14:15. doi: 10.1186/s40035-025-00479-4.</w:t>
      </w:r>
    </w:p>
    <w:p>
      <w:pPr>
        <w:spacing w:line="276" w:lineRule="auto" w:after="120"/>
        <w:jc w:val="left"/>
      </w:pPr>
      <w:r>
        <w:rPr>
          <w:rFonts w:ascii="Times New Roman" w:hAnsi="Times New Roman" w:eastAsia="Times New Roman"/>
          <w:color w:val="000000"/>
        </w:rPr>
        <w:t>6. Haditsch U, Roth T, Rodriguez L, Hancock S, Cecere T, Nguyen M, et al. Alzheimer's disease-like neurodegeneration in Porphyromonas gingivalis infected neurons with persistent expression of active gingipains. J Alzheimers Dis. 2020;75:1361-76. doi: 10.3233/JAD-200393.</w:t>
      </w:r>
    </w:p>
    <w:p>
      <w:pPr>
        <w:spacing w:line="276" w:lineRule="auto" w:after="120"/>
        <w:jc w:val="left"/>
      </w:pPr>
      <w:r>
        <w:rPr>
          <w:rFonts w:ascii="Times New Roman" w:hAnsi="Times New Roman" w:eastAsia="Times New Roman"/>
          <w:color w:val="000000"/>
        </w:rPr>
        <w:t>7. Kong L, Li J, Gao L, Zhao Y, Chen W, Wang X, et al. Periodontitis-induced neuroinflammation triggers IFITM3-Aβ axis to cause Alzheimer's disease-like pathology and cognitive decline. Alzheimers Res Ther. 2025;17:166. doi: 10.1186/s13195-025-01818-3.</w:t>
      </w:r>
    </w:p>
    <w:p>
      <w:pPr>
        <w:spacing w:line="276" w:lineRule="auto" w:after="120"/>
        <w:jc w:val="left"/>
      </w:pPr>
      <w:r>
        <w:rPr>
          <w:rFonts w:ascii="Times New Roman" w:hAnsi="Times New Roman" w:eastAsia="Times New Roman"/>
          <w:color w:val="000000"/>
        </w:rPr>
        <w:t>8. Shapira R, Gdalyahu A, Gottfried I, Sasson E, Hadanny A, Efrati S, et al. Hyperbaric oxygen therapy alleviates vascular dysfunction and amyloid burden in an Alzheimer's disease mouse model and in elderly patients. Aging (Albany NY). 2021;13:20935-61. doi: 10.18632/aging.203485.</w:t>
      </w:r>
    </w:p>
    <w:p>
      <w:pPr>
        <w:spacing w:line="276" w:lineRule="auto" w:after="120"/>
        <w:jc w:val="left"/>
      </w:pPr>
      <w:r>
        <w:rPr>
          <w:rFonts w:ascii="Times New Roman" w:hAnsi="Times New Roman" w:eastAsia="Times New Roman"/>
          <w:color w:val="000000"/>
        </w:rPr>
        <w:t>9. De Wolde SD, Hulskes RH, Weenink RP, Hollmann MW, Van Hulst RA. The effects of hyperbaric oxygenation on oxidative stress, inflammation and angiogenesis. Biomolecules. 2021;11:1210. doi: 10.3390/biom11081210.</w:t>
      </w:r>
    </w:p>
    <w:p>
      <w:pPr>
        <w:spacing w:line="276" w:lineRule="auto" w:after="120"/>
        <w:jc w:val="left"/>
      </w:pPr>
      <w:r>
        <w:rPr>
          <w:rFonts w:ascii="Times New Roman" w:hAnsi="Times New Roman" w:eastAsia="Times New Roman"/>
          <w:color w:val="000000"/>
        </w:rPr>
        <w:t>10. Ortega MA, Fraile-Martinez O, Garcia-Montero C, Callejon-Pelaez E, Saez MA, Alvarez-Mon MA, et al. A general overview on the hyperbaric oxygen therapy: applications, mechanisms and translational opportunities. Medicina (Kaunas). 2021;57:864. doi: 10.3390/medicina57090864.</w:t>
      </w:r>
    </w:p>
    <w:p>
      <w:pPr>
        <w:spacing w:line="276" w:lineRule="auto" w:after="120"/>
        <w:jc w:val="left"/>
      </w:pPr>
      <w:r>
        <w:rPr>
          <w:rFonts w:ascii="Times New Roman" w:hAnsi="Times New Roman" w:eastAsia="Times New Roman"/>
          <w:color w:val="000000"/>
        </w:rPr>
        <w:t>11. Rawat P, Sehar U, Bisht J, Selman A, Culberson J, Reddy PH. Phosphorylated tau in Alzheimer's disease and other tauopathies. Int J Mol Sci. 2022;23:12841. doi: 10.3390/ijms232112841.</w:t>
      </w:r>
    </w:p>
    <w:p>
      <w:pPr>
        <w:spacing w:line="276" w:lineRule="auto" w:after="120"/>
        <w:jc w:val="left"/>
      </w:pPr>
      <w:r>
        <w:rPr>
          <w:rFonts w:ascii="Times New Roman" w:hAnsi="Times New Roman" w:eastAsia="Times New Roman"/>
          <w:color w:val="000000"/>
        </w:rPr>
        <w:t>12. Ashraf M, Sheikh I, Ashraf M. Salivary biomarkers in Alzheimer's. Br Dent J. 2025;239:231-2. doi: 10.1038/s41415-025-9130-4.</w:t>
      </w:r>
    </w:p>
    <w:p>
      <w:pPr>
        <w:spacing w:line="276" w:lineRule="auto" w:after="120"/>
        <w:jc w:val="left"/>
      </w:pPr>
      <w:r>
        <w:rPr>
          <w:rFonts w:ascii="Times New Roman" w:hAnsi="Times New Roman" w:eastAsia="Times New Roman"/>
          <w:color w:val="000000"/>
        </w:rPr>
        <w:t>13. Pawlik P, Blochowiak K. The role of salivary biomarkers in the early diagnosis of Alzheimer's disease and Parkinson's disease. Diagnostics (Basel). 2021;11:371. doi: 10.3390/diagnostics11020371.</w:t>
      </w:r>
    </w:p>
    <w:p>
      <w:pPr>
        <w:spacing w:line="276" w:lineRule="auto" w:after="120"/>
        <w:jc w:val="left"/>
      </w:pPr>
      <w:r>
        <w:rPr>
          <w:rFonts w:ascii="Times New Roman" w:hAnsi="Times New Roman" w:eastAsia="Times New Roman"/>
          <w:color w:val="000000"/>
        </w:rPr>
        <w:t>14. Huang Z, Hao M, Shi N, Wang X, Yuan L, Yuan H, et al. Porphyromonas gingivalis: a potential trigger of neurodegenerative disease. Front Immunol. 2025;16:1482033. doi: 10.3389/fimmu.2025.1482033.</w:t>
      </w:r>
    </w:p>
    <w:p>
      <w:pPr>
        <w:spacing w:line="276" w:lineRule="auto" w:after="120"/>
        <w:jc w:val="left"/>
      </w:pPr>
      <w:r>
        <w:rPr>
          <w:rFonts w:ascii="Times New Roman" w:hAnsi="Times New Roman" w:eastAsia="Times New Roman"/>
          <w:color w:val="000000"/>
        </w:rPr>
        <w:t>15. Jiang Y, Xu L, Zhao X, Shen H, Qiu C, He Z, et al. Porphyromonas gingivalis-induced periodontitis promotes neuroinflammation and neuronal loss associated with dysfunction of the brain barrier. Front Cell Infect Microbiol. 2025;15:1559182. doi: 10.3389/fcimb.2025.1559182.</w:t>
      </w:r>
    </w:p>
    <w:p>
      <w:pPr>
        <w:spacing w:line="276" w:lineRule="auto" w:after="120"/>
        <w:jc w:val="left"/>
      </w:pPr>
      <w:r>
        <w:rPr>
          <w:rFonts w:ascii="Times New Roman" w:hAnsi="Times New Roman" w:eastAsia="Times New Roman"/>
          <w:color w:val="000000"/>
        </w:rPr>
        <w:t>16. Liu S, Butler CA, Ayton S, Reynolds EC, Dashper SG. Porphyromonas gingivalis and the pathogenesis of Alzheimer's disease. Crit Rev Microbiol. 2024;50:127-37. doi: 10.1080/1040841X.2022.2163613.</w:t>
      </w:r>
    </w:p>
    <w:p>
      <w:pPr>
        <w:spacing w:line="276" w:lineRule="auto" w:after="120"/>
        <w:jc w:val="left"/>
      </w:pPr>
      <w:r>
        <w:rPr>
          <w:rFonts w:ascii="Times New Roman" w:hAnsi="Times New Roman" w:eastAsia="Times New Roman"/>
          <w:color w:val="000000"/>
        </w:rPr>
        <w:t>17. Jung S, Park H. Pathological implications of Porphyromonas gingivalis in Alzheimer's disease and therapeutic potential of gingipain inhibitors. Oral Biol Res. 2025;49:2. doi: 10.21851/obr.25.002.</w:t>
      </w:r>
    </w:p>
    <w:p>
      <w:pPr>
        <w:spacing w:line="276" w:lineRule="auto" w:after="120"/>
        <w:jc w:val="left"/>
      </w:pPr>
      <w:r>
        <w:rPr>
          <w:rFonts w:ascii="Times New Roman" w:hAnsi="Times New Roman" w:eastAsia="Times New Roman"/>
          <w:color w:val="000000"/>
        </w:rPr>
        <w:t>18. Picon-Pages P, Gutierrez DA, Barranco-Almohalla A, Crepin G, Tajes M, Ill-Raga G, et al. Amyloid beta-peptide increases BACE1 translation through the phosphorylation of the eukaryotic initiation factor-2 alpha. Oxid Med Cell Longev. 2020;2020:2739459. doi: 10.1155/2020/2739459.</w:t>
      </w:r>
    </w:p>
    <w:p>
      <w:pPr>
        <w:spacing w:line="276" w:lineRule="auto" w:after="120"/>
        <w:jc w:val="left"/>
      </w:pPr>
      <w:r>
        <w:rPr>
          <w:rFonts w:ascii="Times New Roman" w:hAnsi="Times New Roman" w:eastAsia="Times New Roman"/>
          <w:color w:val="000000"/>
        </w:rPr>
        <w:t>19. Sayad A, Najafi S, Hussen BM, Abdullah ST, Movahedpour A, Taheri M, et al. The emerging roles of the beta-secretase BACE1 and the long non-coding RNA BACE1-AS in human diseases: a focus on neurodegenerative diseases and cancer. Front Aging Neurosci. 2022;14:853180. doi: 10.3389/fnagi.2022.853180.</w:t>
      </w:r>
    </w:p>
    <w:p>
      <w:pPr>
        <w:spacing w:line="276" w:lineRule="auto" w:after="120"/>
        <w:jc w:val="left"/>
      </w:pPr>
      <w:r>
        <w:rPr>
          <w:rFonts w:ascii="Times New Roman" w:hAnsi="Times New Roman" w:eastAsia="Times New Roman"/>
          <w:color w:val="000000"/>
        </w:rPr>
        <w:t>20. Liu G, Yang C, Wang X, Chen X, Wang Y, Le W. Oxygen metabolism abnormality and Alzheimer's disease: an update. Redox Biol. 2023;68:102955. doi: 10.1016/j.redox.2023.102955.</w:t>
      </w:r>
    </w:p>
    <w:p>
      <w:pPr>
        <w:spacing w:line="276" w:lineRule="auto" w:after="120"/>
        <w:jc w:val="left"/>
      </w:pPr>
      <w:r>
        <w:rPr>
          <w:rFonts w:ascii="Times New Roman" w:hAnsi="Times New Roman" w:eastAsia="Times New Roman"/>
          <w:color w:val="000000"/>
        </w:rPr>
        <w:t>21. Mukaetova-Ladinska EB, Steptoe J, Critchfield M, Yoon HJ, Sharif M, Arshad Q. Hyperbaric oxygen therapy-a new hope for Alzheimer's patients: a case report and literature review. Explor Neuroprot Ther. 2023;3:457-69. doi: 10.37349/ent.2023.00062.</w:t>
      </w:r>
    </w:p>
    <w:p>
      <w:pPr>
        <w:spacing w:line="276" w:lineRule="auto" w:after="120"/>
        <w:jc w:val="left"/>
      </w:pPr>
      <w:r>
        <w:rPr>
          <w:rFonts w:ascii="Times New Roman" w:hAnsi="Times New Roman" w:eastAsia="Times New Roman"/>
          <w:color w:val="000000"/>
        </w:rPr>
        <w:t>22. Shapira R, Gdalyahu A, Gottfried I, Sasson E, Hadanny A, Efrati S, et al. Hyperbaric oxygen therapy alleviates vascular dysfunction and amyloid burden in an Alzheimer's disease mouse model and in elderly patients. Aging (Albany NY). 2021;13:20935-61. doi: 10.18632/aging.203485.</w:t>
      </w:r>
    </w:p>
    <w:p>
      <w:pPr>
        <w:spacing w:line="276" w:lineRule="auto" w:after="120"/>
        <w:jc w:val="left"/>
      </w:pPr>
      <w:r>
        <w:rPr>
          <w:rFonts w:ascii="Times New Roman" w:hAnsi="Times New Roman" w:eastAsia="Times New Roman"/>
          <w:color w:val="000000"/>
        </w:rPr>
        <w:t>23. Chen Y, Yu Y. Tau and neuroinflammation in Alzheimer's disease: interplay mechanisms and clinical translation. J Neuroinflammation. 2023;20:165. doi: 10.1186/s12974-023-02853-3.</w:t>
      </w:r>
    </w:p>
    <w:p>
      <w:pPr>
        <w:spacing w:line="276" w:lineRule="auto" w:after="120"/>
        <w:jc w:val="left"/>
      </w:pPr>
      <w:r>
        <w:rPr>
          <w:rFonts w:ascii="Times New Roman" w:hAnsi="Times New Roman" w:eastAsia="Times New Roman"/>
          <w:color w:val="000000"/>
        </w:rPr>
        <w:t>24. Zhang X, Wang J, Zhang Z, Ye K. Tau in neurodegenerative diseases: molecular mechanisms, biomarkers, and therapeutic strategies. Transl Neurodegener. 2024;13:42. doi: 10.1186/s40035-024-00429-6.</w:t>
      </w:r>
    </w:p>
    <w:p>
      <w:pPr>
        <w:spacing w:line="276" w:lineRule="auto" w:after="120"/>
        <w:jc w:val="left"/>
      </w:pPr>
      <w:r>
        <w:rPr>
          <w:rFonts w:ascii="Times New Roman" w:hAnsi="Times New Roman" w:eastAsia="Times New Roman"/>
          <w:color w:val="000000"/>
        </w:rPr>
        <w:t>25. Tao B, Gong W, Xu C, Ma Z, Mei J, Chen M. The relationship between hypoxia and Alzheimer's disease: an updated review. Front Aging Neurosci. 2024;16:1402774. doi: 10.3389/fnagi.2024.1402774.</w:t>
      </w:r>
    </w:p>
    <w:p>
      <w:pPr>
        <w:spacing w:line="276" w:lineRule="auto" w:after="120"/>
        <w:jc w:val="left"/>
      </w:pPr>
      <w:r>
        <w:rPr>
          <w:rFonts w:ascii="Times New Roman" w:hAnsi="Times New Roman" w:eastAsia="Times New Roman"/>
          <w:color w:val="000000"/>
        </w:rPr>
        <w:t>26. Yang C, Liu G, Zeng X, Xiang Y, Chen X, Le W. Therapeutic effects of long-term HBOT on Alzheimer's disease neuropathologies and cognitive impairment in APPswe/PS1dE9 mice. Redox Biol. 2024;70:103006. doi: 10.1016/j.redox.2023.103006.</w:t>
      </w:r>
    </w:p>
    <w:p>
      <w:pPr>
        <w:spacing w:line="276" w:lineRule="auto" w:after="120"/>
        <w:jc w:val="left"/>
      </w:pPr>
      <w:r>
        <w:rPr>
          <w:rFonts w:ascii="Times New Roman" w:hAnsi="Times New Roman" w:eastAsia="Times New Roman"/>
          <w:color w:val="000000"/>
        </w:rPr>
        <w:t>27. Wang Y, Ni P, Zhuang D, Zhou P, Zhu F, Yin D, et al. Early hyperbaric oxygen therapy through regulating the HIF-1α signaling pathway attenuates neuroinflammation and behavioral deficits in a mouse model of sepsis-associated encephalopathy. J Neuroimmunol. 2024;391:578367. doi: 10.1016/j.jneuroim.2024.578367.</w:t>
      </w:r>
    </w:p>
    <w:p>
      <w:pPr>
        <w:spacing w:line="276" w:lineRule="auto" w:after="120"/>
        <w:jc w:val="left"/>
      </w:pPr>
      <w:r>
        <w:rPr>
          <w:rFonts w:ascii="Times New Roman" w:hAnsi="Times New Roman" w:eastAsia="Times New Roman"/>
          <w:color w:val="000000"/>
        </w:rPr>
        <w:t>28. Tenchov R, Sasso JM, Zhou QA. Alzheimer's disease: exploring the landscape of cognitive decline. ACS Chem Neurosci. 2024;15:3800-27. doi: 10.1021/acschemneuro.4c00339.</w:t>
      </w:r>
    </w:p>
    <w:p>
      <w:pPr>
        <w:spacing w:line="276" w:lineRule="auto" w:after="120"/>
        <w:jc w:val="left"/>
      </w:pPr>
      <w:r>
        <w:rPr>
          <w:rFonts w:ascii="Times New Roman" w:hAnsi="Times New Roman" w:eastAsia="Times New Roman"/>
          <w:color w:val="000000"/>
        </w:rPr>
        <w:t>29. Jin R, Ning X, Liu X, Zhao Y, Ye G. Porphyromonas gingivalis-induced periodontitis could contribute to cognitive impairment in Sprague-Dawley rats via the P38 MAPK signaling pathway. Front Cell Neurosci. 2023;17:1141339. doi: 10.3389/fncel.2023.1141339.</w:t>
      </w:r>
    </w:p>
    <w:p>
      <w:pPr>
        <w:spacing w:line="276" w:lineRule="auto" w:after="120"/>
        <w:jc w:val="left"/>
      </w:pPr>
      <w:r>
        <w:rPr>
          <w:rFonts w:ascii="Times New Roman" w:hAnsi="Times New Roman" w:eastAsia="Times New Roman"/>
          <w:color w:val="000000"/>
        </w:rPr>
        <w:t>30. Chuang WC, Yang CN, Wang HW, Lin SK, Yu CC, Syu JH, et al. The mechanisms of Porphyromonas gingivalis-derived outer membrane vesicles-induced neurotoxicity and microglia activation. J Dent Sci. 2024;19:1434-42. doi: 10.1016/j.jds.2024.04.002.</w:t>
      </w:r>
    </w:p>
    <w:p>
      <w:pPr>
        <w:spacing w:line="276" w:lineRule="auto" w:after="120"/>
        <w:jc w:val="left"/>
      </w:pPr>
      <w:r>
        <w:rPr>
          <w:rFonts w:ascii="Times New Roman" w:hAnsi="Times New Roman" w:eastAsia="Times New Roman"/>
          <w:color w:val="000000"/>
        </w:rPr>
        <w:t>31. Fan QQ, Chen YM, Fu YS, Li XS, Zeng J, Bian SZ, et al. Enhancement of cognitive function in mice with Alzheimer's disease through hyperbaric oxygen-induced activation of cellular autophagy. Front Aging Neurosci. 2024;16:1418081. doi: 10.3389/fnagi.2024.1418081.</w:t>
      </w:r>
    </w:p>
    <w:p>
      <w:pPr>
        <w:spacing w:line="276" w:lineRule="auto" w:after="120"/>
        <w:jc w:val="left"/>
      </w:pPr>
      <w:r>
        <w:rPr>
          <w:rFonts w:ascii="Times New Roman" w:hAnsi="Times New Roman" w:eastAsia="Times New Roman"/>
          <w:color w:val="000000"/>
        </w:rPr>
        <w:t>32. Harch PG, Kriedt C, Van Meter KW, Sutherland RJ. Hyperbaric oxygen therapy improves spatial learning and memory in a rat model of chronic traumatic brain injury. Brain Res. 2007;1174:120-9. doi: 10.1016/j.brainres.2007.06.105.</w:t>
      </w:r>
    </w:p>
    <w:p>
      <w:pPr>
        <w:spacing w:line="276" w:lineRule="auto" w:after="120"/>
        <w:jc w:val="left"/>
      </w:pPr>
      <w:r>
        <w:rPr>
          <w:rFonts w:ascii="Times New Roman" w:hAnsi="Times New Roman" w:eastAsia="Times New Roman"/>
          <w:color w:val="000000"/>
        </w:rPr>
        <w:t>33. Mensah-Kane P, Sumien N. The potential of hyperbaric oxygen as a therapy for neurodegenerative diseases. Geroscience. 2023;45:747-56. doi: 10.1007/s11357-022-00707-z.</w:t>
      </w:r>
    </w:p>
    <w:p>
      <w:pPr>
        <w:pStyle w:val="Heading1"/>
        <w:spacing w:line="480" w:lineRule="auto" w:after="0"/>
      </w:pPr>
      <w:r>
        <w:rPr>
          <w:rFonts w:ascii="Times New Roman" w:hAnsi="Times New Roman" w:eastAsia="Times New Roman"/>
          <w:b/>
          <w:color w:val="000000"/>
        </w:rPr>
        <w:t>Table Legend</w:t>
      </w:r>
    </w:p>
    <w:p>
      <w:pPr>
        <w:spacing w:line="480" w:lineRule="auto"/>
      </w:pPr>
      <w:r>
        <w:rPr>
          <w:rFonts w:ascii="Times New Roman" w:hAnsi="Times New Roman" w:eastAsia="Times New Roman"/>
          <w:b/>
          <w:color w:val="000000"/>
        </w:rPr>
        <w:t>Table 1</w:t>
      </w:r>
      <w:r>
        <w:rPr>
          <w:rFonts w:ascii="Times New Roman" w:hAnsi="Times New Roman" w:eastAsia="Times New Roman"/>
          <w:color w:val="000000"/>
        </w:rPr>
        <w:t xml:space="preserve"> Differences in salivary amyloid-beta, MAPTau, and spatial working memory among groups at Week 9</w:t>
      </w:r>
    </w:p>
    <w:p>
      <w:pPr>
        <w:pStyle w:val="Heading1"/>
        <w:spacing w:line="480" w:lineRule="auto" w:after="0"/>
      </w:pPr>
      <w:r>
        <w:rPr>
          <w:rFonts w:ascii="Times New Roman" w:hAnsi="Times New Roman" w:eastAsia="Times New Roman"/>
          <w:b/>
          <w:color w:val="000000"/>
        </w:rPr>
        <w:t>Figure Legend</w:t>
      </w:r>
    </w:p>
    <w:p>
      <w:pPr>
        <w:spacing w:line="480" w:lineRule="auto"/>
      </w:pPr>
      <w:r>
        <w:rPr>
          <w:rFonts w:ascii="Times New Roman" w:hAnsi="Times New Roman" w:eastAsia="Times New Roman"/>
          <w:b/>
          <w:color w:val="000000"/>
        </w:rPr>
        <w:t>Fig. 1</w:t>
      </w:r>
      <w:r>
        <w:rPr>
          <w:rFonts w:ascii="Times New Roman" w:hAnsi="Times New Roman" w:eastAsia="Times New Roman"/>
          <w:color w:val="000000"/>
        </w:rPr>
        <w:t xml:space="preserve"> Differences in salivary amyloid-beta, MAPTau, and spatial working memory among the negative control group, positive control group, and hyperbaric oxygen therapy treatment group at Week 9. Aβ, amyloid-beta; MAPTau, microtubule-associated protein tau; HBOT, hyperbaric oxygen therapy</w:t>
      </w:r>
    </w:p>
    <w:sectPr w:rsidR="00FC693F" w:rsidRPr="0006063C" w:rsidSect="00034616">
      <w:head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