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480" w:lineRule="auto" w:after="0"/>
      </w:pPr>
      <w:r>
        <w:rPr>
          <w:rFonts w:ascii="Times New Roman" w:hAnsi="Times New Roman" w:eastAsia="Times New Roman"/>
          <w:b/>
          <w:color w:val="000000"/>
        </w:rPr>
        <w:t>Table 1 Differences in salivary amyloid-beta, MAPTau, and spatial working memory among groups at Week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</w:rPr>
            </w:r>
            <w:r>
              <w:rPr>
                <w:rFonts w:ascii="Times New Roman" w:hAnsi="Times New Roman" w:eastAsia="Times New Roman"/>
                <w:b/>
                <w:color w:val="000000"/>
              </w:rPr>
              <w:t>Variable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</w:rPr>
            </w:r>
            <w:r>
              <w:rPr>
                <w:rFonts w:ascii="Times New Roman" w:hAnsi="Times New Roman" w:eastAsia="Times New Roman"/>
                <w:b/>
                <w:color w:val="000000"/>
              </w:rPr>
              <w:t>Negative control (C-)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</w:rPr>
            </w:r>
            <w:r>
              <w:rPr>
                <w:rFonts w:ascii="Times New Roman" w:hAnsi="Times New Roman" w:eastAsia="Times New Roman"/>
                <w:b/>
                <w:color w:val="000000"/>
              </w:rPr>
              <w:t>Positive control (C+)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</w:rPr>
            </w:r>
            <w:r>
              <w:rPr>
                <w:rFonts w:ascii="Times New Roman" w:hAnsi="Times New Roman" w:eastAsia="Times New Roman"/>
                <w:b/>
                <w:color w:val="000000"/>
              </w:rPr>
              <w:t>Treatment (T)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</w:rPr>
            </w:r>
            <w:r>
              <w:rPr>
                <w:rFonts w:ascii="Times New Roman" w:hAnsi="Times New Roman" w:eastAsia="Times New Roman"/>
                <w:b/>
                <w:color w:val="000000"/>
              </w:rPr>
              <w:t>p-value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</w:rPr>
              <w:t>Amyloid-beta (pg/mL)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</w:rPr>
              <w:t>46.13 ± 5.21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</w:rPr>
              <w:t>188.41 ± 36.11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</w:rPr>
              <w:t>63.21 ± 8.19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</w:rPr>
              <w:t>&lt;0.001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</w:rPr>
              <w:t>MAPTau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</w:rPr>
              <w:t>0.15 ± 0.06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</w:rPr>
              <w:t>0.52 ± 0.23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</w:rPr>
              <w:t>0.26 ± 0.08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</w:rPr>
              <w:t>&lt;0.001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</w:rPr>
              <w:t>Spatial working memory (%)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</w:rPr>
              <w:t>68.00 ± 5.08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</w:rPr>
              <w:t>31.14 ± 18.87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</w:rPr>
              <w:t>52.09 ± 14.03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</w:rPr>
              <w:t>&lt;0.001</w:t>
            </w:r>
          </w:p>
        </w:tc>
      </w:tr>
    </w:tbl>
    <w:p>
      <w:pPr>
        <w:spacing w:line="480" w:lineRule="auto" w:after="0"/>
        <w:jc w:val="both"/>
      </w:pPr>
      <w:r>
        <w:rPr>
          <w:rFonts w:ascii="Times New Roman" w:hAnsi="Times New Roman" w:eastAsia="Times New Roman"/>
          <w:color w:val="000000"/>
        </w:rPr>
        <w:t>Data are presented as mean ± standard deviation. MAPTau, microtubule-associated protein tau. The p-value represents overall between-group comparison by one-way analysis of variance.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jc w:val="both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48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