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77A50" w14:textId="00843FA5" w:rsidR="002B5E7D" w:rsidRDefault="00E96C5E" w:rsidP="001A17D1">
      <w:pPr>
        <w:rPr>
          <w:rFonts w:ascii="Times New Roman" w:hAnsi="Times New Roman" w:cs="Times New Roman"/>
          <w:b/>
          <w:bCs/>
          <w:sz w:val="24"/>
          <w:szCs w:val="24"/>
        </w:rPr>
      </w:pPr>
      <w:r w:rsidRPr="00E96C5E">
        <w:rPr>
          <w:rFonts w:ascii="Times New Roman" w:hAnsi="Times New Roman" w:cs="Times New Roman"/>
          <w:b/>
          <w:bCs/>
          <w:sz w:val="24"/>
          <w:szCs w:val="24"/>
        </w:rPr>
        <w:t>Association between periodontitis and cognitive impairment or neurodegenerative disease: A systematic review and meta-analysis</w:t>
      </w:r>
    </w:p>
    <w:p w14:paraId="521E723D" w14:textId="51C38D60" w:rsidR="001F407B" w:rsidRDefault="001A17D1" w:rsidP="001A17D1">
      <w:pPr>
        <w:spacing w:after="0"/>
        <w:rPr>
          <w:rFonts w:ascii="Times New Roman" w:hAnsi="Times New Roman" w:cs="Times New Roman"/>
          <w:b/>
          <w:bCs/>
          <w:sz w:val="24"/>
          <w:szCs w:val="24"/>
        </w:rPr>
      </w:pPr>
      <w:r>
        <w:rPr>
          <w:rFonts w:ascii="Times New Roman" w:hAnsi="Times New Roman" w:cs="Times New Roman"/>
          <w:b/>
          <w:bCs/>
          <w:sz w:val="24"/>
          <w:szCs w:val="24"/>
        </w:rPr>
        <w:t>Abstract</w:t>
      </w:r>
    </w:p>
    <w:p w14:paraId="745591C6" w14:textId="30220DC1" w:rsidR="001A17D1" w:rsidRPr="001A17D1" w:rsidRDefault="001A17D1" w:rsidP="001A17D1">
      <w:pPr>
        <w:spacing w:after="0"/>
        <w:jc w:val="both"/>
        <w:rPr>
          <w:rFonts w:ascii="Times New Roman" w:hAnsi="Times New Roman" w:cs="Times New Roman"/>
          <w:sz w:val="24"/>
          <w:szCs w:val="24"/>
        </w:rPr>
      </w:pPr>
      <w:r w:rsidRPr="001A17D1">
        <w:rPr>
          <w:rFonts w:ascii="Times New Roman" w:hAnsi="Times New Roman" w:cs="Times New Roman"/>
          <w:b/>
          <w:bCs/>
          <w:sz w:val="24"/>
          <w:szCs w:val="24"/>
        </w:rPr>
        <w:t>Background:</w:t>
      </w:r>
      <w:r>
        <w:rPr>
          <w:rFonts w:ascii="Times New Roman" w:hAnsi="Times New Roman" w:cs="Times New Roman"/>
          <w:sz w:val="24"/>
          <w:szCs w:val="24"/>
        </w:rPr>
        <w:t xml:space="preserve"> </w:t>
      </w:r>
      <w:r w:rsidR="00E96C5E" w:rsidRPr="00E96C5E">
        <w:rPr>
          <w:rFonts w:ascii="Times New Roman" w:hAnsi="Times New Roman" w:cs="Times New Roman"/>
          <w:sz w:val="24"/>
          <w:szCs w:val="24"/>
          <w:highlight w:val="yellow"/>
        </w:rPr>
        <w:t>Periodontitis is a chronic inflammatory periodontal disease that may be associated with systemic conditions beyond the oral cavity. Evidence has suggested a possible association between periodontal inflammation and cognitive impairment or neurodegenerative disease. This systematic review and meta-analysis aimed to evaluate the association between periodontitis and cognitive impairment or neurodegenerative disease</w:t>
      </w:r>
      <w:r w:rsidRPr="001A17D1">
        <w:rPr>
          <w:rFonts w:ascii="Times New Roman" w:hAnsi="Times New Roman" w:cs="Times New Roman"/>
          <w:sz w:val="24"/>
          <w:szCs w:val="24"/>
        </w:rPr>
        <w:t>.</w:t>
      </w:r>
    </w:p>
    <w:p w14:paraId="01A3DBB0" w14:textId="70C18166" w:rsidR="001A17D1" w:rsidRPr="001A17D1" w:rsidRDefault="001A17D1" w:rsidP="001A17D1">
      <w:pPr>
        <w:spacing w:after="0"/>
        <w:jc w:val="both"/>
        <w:rPr>
          <w:rFonts w:ascii="Times New Roman" w:hAnsi="Times New Roman" w:cs="Times New Roman"/>
          <w:sz w:val="24"/>
          <w:szCs w:val="24"/>
        </w:rPr>
      </w:pPr>
      <w:r w:rsidRPr="001A17D1">
        <w:rPr>
          <w:rFonts w:ascii="Times New Roman" w:hAnsi="Times New Roman" w:cs="Times New Roman"/>
          <w:b/>
          <w:bCs/>
          <w:sz w:val="24"/>
          <w:szCs w:val="24"/>
        </w:rPr>
        <w:t>Methods:</w:t>
      </w:r>
      <w:r w:rsidRPr="001A17D1">
        <w:rPr>
          <w:rFonts w:ascii="Times New Roman" w:hAnsi="Times New Roman" w:cs="Times New Roman"/>
          <w:sz w:val="24"/>
          <w:szCs w:val="24"/>
        </w:rPr>
        <w:t xml:space="preserve"> </w:t>
      </w:r>
      <w:r w:rsidR="00E96C5E" w:rsidRPr="00E96C5E">
        <w:rPr>
          <w:rFonts w:ascii="Times New Roman" w:hAnsi="Times New Roman" w:cs="Times New Roman"/>
          <w:sz w:val="24"/>
          <w:szCs w:val="24"/>
        </w:rPr>
        <w:t xml:space="preserve">A systematic review and meta-analysis was conducted according to the PRISMA 2020 guideline. Articles were searched in three databases, namely PubMed/MEDLINE, Scopus, and Web of Science. Eligible studies included observational studies involving adult or older adult populations, periodontitis or periodontal disease as the exposure, and cognitive impairment, dementia, Alzheimer’s disease, Parkinson’s disease, or other neurodegenerative outcomes as the outcome. Effect estimates, confidence intervals, and p-values were extracted from the included studies. </w:t>
      </w:r>
      <w:r w:rsidR="00205E77" w:rsidRPr="00205E77">
        <w:rPr>
          <w:rFonts w:ascii="Times New Roman" w:hAnsi="Times New Roman" w:cs="Times New Roman"/>
          <w:sz w:val="24"/>
          <w:szCs w:val="24"/>
        </w:rPr>
        <w:t>The meta-analysis was performed using a random-effects model</w:t>
      </w:r>
      <w:r w:rsidR="00205E77" w:rsidRPr="00205E77">
        <w:rPr>
          <w:rFonts w:ascii="Times New Roman" w:hAnsi="Times New Roman" w:cs="Times New Roman"/>
          <w:sz w:val="24"/>
          <w:szCs w:val="24"/>
        </w:rPr>
        <w:t xml:space="preserve">. </w:t>
      </w:r>
      <w:r w:rsidR="00E96C5E" w:rsidRPr="00205E77">
        <w:rPr>
          <w:rFonts w:ascii="Times New Roman" w:hAnsi="Times New Roman" w:cs="Times New Roman"/>
          <w:sz w:val="24"/>
          <w:szCs w:val="24"/>
        </w:rPr>
        <w:t>Risk</w:t>
      </w:r>
      <w:r w:rsidR="00E96C5E" w:rsidRPr="00E96C5E">
        <w:rPr>
          <w:rFonts w:ascii="Times New Roman" w:hAnsi="Times New Roman" w:cs="Times New Roman"/>
          <w:sz w:val="24"/>
          <w:szCs w:val="24"/>
        </w:rPr>
        <w:t xml:space="preserve"> of bias was assessed using </w:t>
      </w:r>
      <w:r w:rsidR="00205E77" w:rsidRPr="00205E77">
        <w:rPr>
          <w:rFonts w:ascii="Times New Roman" w:hAnsi="Times New Roman" w:cs="Times New Roman"/>
          <w:sz w:val="24"/>
          <w:szCs w:val="24"/>
        </w:rPr>
        <w:t>the Joanna Briggs Institute (JBI) critical appraisal tools according to the study design of the included articles</w:t>
      </w:r>
      <w:r w:rsidRPr="001A17D1">
        <w:rPr>
          <w:rFonts w:ascii="Times New Roman" w:hAnsi="Times New Roman" w:cs="Times New Roman"/>
          <w:sz w:val="24"/>
          <w:szCs w:val="24"/>
        </w:rPr>
        <w:t>.</w:t>
      </w:r>
    </w:p>
    <w:p w14:paraId="694ED285" w14:textId="7EADB358" w:rsidR="001A17D1" w:rsidRPr="001A17D1" w:rsidRDefault="001A17D1" w:rsidP="001A17D1">
      <w:pPr>
        <w:spacing w:after="0"/>
        <w:jc w:val="both"/>
        <w:rPr>
          <w:rFonts w:ascii="Times New Roman" w:hAnsi="Times New Roman" w:cs="Times New Roman"/>
          <w:sz w:val="24"/>
          <w:szCs w:val="24"/>
        </w:rPr>
      </w:pPr>
      <w:r w:rsidRPr="001A17D1">
        <w:rPr>
          <w:rFonts w:ascii="Times New Roman" w:hAnsi="Times New Roman" w:cs="Times New Roman"/>
          <w:b/>
          <w:bCs/>
          <w:sz w:val="24"/>
          <w:szCs w:val="24"/>
        </w:rPr>
        <w:t>Results:</w:t>
      </w:r>
      <w:r w:rsidRPr="001A17D1">
        <w:rPr>
          <w:rFonts w:ascii="Times New Roman" w:hAnsi="Times New Roman" w:cs="Times New Roman"/>
          <w:sz w:val="24"/>
          <w:szCs w:val="24"/>
        </w:rPr>
        <w:t xml:space="preserve"> </w:t>
      </w:r>
      <w:r w:rsidR="00511873" w:rsidRPr="00511873">
        <w:rPr>
          <w:rFonts w:ascii="Times New Roman" w:hAnsi="Times New Roman" w:cs="Times New Roman"/>
          <w:sz w:val="24"/>
          <w:szCs w:val="24"/>
        </w:rPr>
        <w:t xml:space="preserve">Twelve studies met the inclusion criteria and were included in the qualitative and quantitative synthesis. The included studies varied in study design, periodontal exposure definition, neurological outcome, comparison group, and statistical measure. </w:t>
      </w:r>
      <w:r w:rsidR="006848E1" w:rsidRPr="006848E1">
        <w:rPr>
          <w:rFonts w:ascii="Times New Roman" w:hAnsi="Times New Roman" w:cs="Times New Roman"/>
          <w:sz w:val="24"/>
          <w:szCs w:val="24"/>
        </w:rPr>
        <w:t>The pooled effect estimate was 0.15, representing a standardized effect size</w:t>
      </w:r>
      <w:r w:rsidR="00511873" w:rsidRPr="00511873">
        <w:rPr>
          <w:rFonts w:ascii="Times New Roman" w:hAnsi="Times New Roman" w:cs="Times New Roman"/>
          <w:sz w:val="24"/>
          <w:szCs w:val="24"/>
        </w:rPr>
        <w:t xml:space="preserve">, with a 95% confidence interval of 0.05–0.26 and p = 0.007. Heterogeneity was </w:t>
      </w:r>
      <w:r w:rsidR="00511873" w:rsidRPr="00511873">
        <w:rPr>
          <w:rFonts w:ascii="Times New Roman" w:hAnsi="Times New Roman" w:cs="Times New Roman"/>
          <w:b/>
          <w:bCs/>
          <w:sz w:val="24"/>
          <w:szCs w:val="24"/>
        </w:rPr>
        <w:t>[CONFIRM WITH AUTHOR: insert I² value]</w:t>
      </w:r>
      <w:r w:rsidR="00511873" w:rsidRPr="00511873">
        <w:rPr>
          <w:rFonts w:ascii="Times New Roman" w:hAnsi="Times New Roman" w:cs="Times New Roman"/>
          <w:sz w:val="24"/>
          <w:szCs w:val="24"/>
        </w:rPr>
        <w:t>, indicating variability across included studies</w:t>
      </w:r>
      <w:r w:rsidRPr="001A17D1">
        <w:rPr>
          <w:rFonts w:ascii="Times New Roman" w:hAnsi="Times New Roman" w:cs="Times New Roman"/>
          <w:sz w:val="24"/>
          <w:szCs w:val="24"/>
        </w:rPr>
        <w:t>.</w:t>
      </w:r>
    </w:p>
    <w:p w14:paraId="5F7454B1" w14:textId="52D614EB" w:rsidR="001F407B" w:rsidRPr="001F407B" w:rsidRDefault="001A17D1" w:rsidP="001A17D1">
      <w:pPr>
        <w:jc w:val="both"/>
        <w:rPr>
          <w:rFonts w:ascii="Times New Roman" w:hAnsi="Times New Roman" w:cs="Times New Roman"/>
          <w:sz w:val="24"/>
          <w:szCs w:val="24"/>
        </w:rPr>
      </w:pPr>
      <w:r w:rsidRPr="001A17D1">
        <w:rPr>
          <w:rFonts w:ascii="Times New Roman" w:hAnsi="Times New Roman" w:cs="Times New Roman"/>
          <w:b/>
          <w:bCs/>
          <w:sz w:val="24"/>
          <w:szCs w:val="24"/>
        </w:rPr>
        <w:t>Conclusion:</w:t>
      </w:r>
      <w:r w:rsidRPr="001A17D1">
        <w:rPr>
          <w:rFonts w:ascii="Times New Roman" w:hAnsi="Times New Roman" w:cs="Times New Roman"/>
          <w:sz w:val="24"/>
          <w:szCs w:val="24"/>
        </w:rPr>
        <w:t xml:space="preserve"> </w:t>
      </w:r>
      <w:r w:rsidR="00511873" w:rsidRPr="00511873">
        <w:rPr>
          <w:rFonts w:ascii="Times New Roman" w:hAnsi="Times New Roman" w:cs="Times New Roman"/>
          <w:sz w:val="24"/>
          <w:szCs w:val="24"/>
        </w:rPr>
        <w:t>Periodontitis may be associated with cognitive impairment and neurodegenerative disease; however, the evidence should be interpreted cautiously because of methodological and clinical heterogeneity among the included studies. Further longitudinal studies with standardized periodontal definitions, comparable outcome measures, and adequate control of confounding factors are needed</w:t>
      </w:r>
      <w:r w:rsidRPr="001A17D1">
        <w:rPr>
          <w:rFonts w:ascii="Times New Roman" w:hAnsi="Times New Roman" w:cs="Times New Roman"/>
          <w:sz w:val="24"/>
          <w:szCs w:val="24"/>
        </w:rPr>
        <w:t>.</w:t>
      </w:r>
    </w:p>
    <w:p w14:paraId="77FBE08D" w14:textId="00FD620F" w:rsidR="001F407B" w:rsidRPr="002D0E91" w:rsidRDefault="00063423" w:rsidP="002D0E91">
      <w:pPr>
        <w:jc w:val="both"/>
        <w:rPr>
          <w:rFonts w:ascii="Times New Roman" w:hAnsi="Times New Roman" w:cs="Times New Roman"/>
          <w:sz w:val="24"/>
          <w:szCs w:val="24"/>
        </w:rPr>
      </w:pPr>
      <w:r>
        <w:rPr>
          <w:rFonts w:ascii="Times New Roman" w:hAnsi="Times New Roman" w:cs="Times New Roman"/>
          <w:b/>
          <w:bCs/>
          <w:sz w:val="24"/>
          <w:szCs w:val="24"/>
        </w:rPr>
        <w:t>Keywords</w:t>
      </w:r>
      <w:r w:rsidR="001F407B" w:rsidRPr="001F407B">
        <w:rPr>
          <w:rFonts w:ascii="Times New Roman" w:hAnsi="Times New Roman" w:cs="Times New Roman"/>
          <w:b/>
          <w:bCs/>
          <w:sz w:val="24"/>
          <w:szCs w:val="24"/>
        </w:rPr>
        <w:t>:</w:t>
      </w:r>
      <w:r w:rsidR="001F407B" w:rsidRPr="001F407B">
        <w:rPr>
          <w:rFonts w:ascii="Times New Roman" w:hAnsi="Times New Roman" w:cs="Times New Roman"/>
          <w:sz w:val="24"/>
          <w:szCs w:val="24"/>
        </w:rPr>
        <w:t xml:space="preserve"> </w:t>
      </w:r>
      <w:r w:rsidR="001A17D1" w:rsidRPr="001A17D1">
        <w:rPr>
          <w:rFonts w:ascii="Times New Roman" w:hAnsi="Times New Roman" w:cs="Times New Roman"/>
          <w:sz w:val="24"/>
          <w:szCs w:val="24"/>
        </w:rPr>
        <w:t>alzheimer disease; cognitive dysfunction; dementia; neurodegenerative diseases; periodontitis</w:t>
      </w:r>
    </w:p>
    <w:p w14:paraId="13C5816C" w14:textId="11FADBEC" w:rsidR="002B5E7D" w:rsidRPr="007F0F25" w:rsidRDefault="00063423" w:rsidP="00063423">
      <w:pPr>
        <w:rPr>
          <w:rFonts w:ascii="Times New Roman" w:hAnsi="Times New Roman" w:cs="Times New Roman"/>
          <w:b/>
          <w:bCs/>
          <w:sz w:val="24"/>
          <w:szCs w:val="24"/>
        </w:rPr>
      </w:pPr>
      <w:r w:rsidRPr="00063423">
        <w:rPr>
          <w:rFonts w:ascii="Times New Roman" w:hAnsi="Times New Roman" w:cs="Times New Roman"/>
          <w:b/>
          <w:bCs/>
          <w:sz w:val="24"/>
          <w:szCs w:val="24"/>
        </w:rPr>
        <w:t>INTRODUCTION</w:t>
      </w:r>
    </w:p>
    <w:p w14:paraId="2BB7E75A" w14:textId="7FCD3C81"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Periodontitis is a chronic inflammatory disease affecting the supporting tissues of the teeth. It is characterized by gingival inflammation, bleeding, periodontal pocket formation, clinical attachment loss, alveolar bone destruction, and, in advanced stages, tooth loss. Severe periodontal disease remains a major global oral health burden and affects a large adult population worldwide.¹ Beyond its local effects on oral function, chewing ability, nutrition, and quality of life, periodontitis is increasingly recognized as a chronic inflammatory condition that may contribute to systemic health problems.</w:t>
      </w:r>
    </w:p>
    <w:p w14:paraId="25B8F2C1" w14:textId="77777777" w:rsidR="00F07A35" w:rsidRDefault="00F07A35" w:rsidP="002D0E91">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 xml:space="preserve">Cognitive impairment and neurodegenerative diseases are also important health problems in adult and older populations. Dementia affects millions of people worldwide and is associated with progressive decline in memory, thinking, behavior, and ability to perform daily activities.² Alzheimer disease is the most common form of dementia, while other neurodegenerative diseases, including Parkinson disease and vascular dementia, also contribute to functional decline in older adults. The coexistence of periodontal disease and </w:t>
      </w:r>
      <w:r w:rsidRPr="00F07A35">
        <w:rPr>
          <w:rFonts w:ascii="Times New Roman" w:hAnsi="Times New Roman" w:cs="Times New Roman"/>
          <w:sz w:val="24"/>
          <w:szCs w:val="24"/>
        </w:rPr>
        <w:lastRenderedPageBreak/>
        <w:t>cognitive decline in aging populations creates an important question regarding whether periodontal health may be related to brain health.</w:t>
      </w:r>
    </w:p>
    <w:p w14:paraId="0E9E48CF" w14:textId="43459B6C"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Several biological mechanisms have been proposed to explain the possible relationship between periodontitis and cognitive impairment. Periodontal pathogens and periodontal inflammation can stimulate the release of inflammatory mediators, including interleukin-1β, interleukin-6, tumor necrosis factor-α, and C-reactive protein. These inflammatory mediators may enter systemic circulation and contribute to endothelial dysfunction, oxidative stress, blood-brain barrier disruption, and neuroinflammatory processes. The oral-brain axis has been described as one possible pathway through which periodontal pathogens and inflammatory responses may influence pathological processes in the brain.³</w:t>
      </w:r>
    </w:p>
    <w:p w14:paraId="062B8E7D" w14:textId="00163B8D"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Porphyromonas gingivalis has received particular attention because of its virulence factors, lipopolysaccharides, gingipains, and possible involvement in neurodegenerative pathways. Previous evidence suggests that P. gingivalis may cross the blood-brain barrier or mediate neural injury through inflammatory pathways and the gut-brain axis.⁴ Experimental evidence has also shown that P. gingivalis-induced periodontitis may promote neuroinflammation, tau hyperphosphorylation, neuronal loss, and dysfunction of the brain barrier.⁵ These findings provide biological plausibility for the association between chronic periodontal inflammation and cognitive or neurodegenerative outcomes.</w:t>
      </w:r>
    </w:p>
    <w:p w14:paraId="100DA020" w14:textId="2718AFA6"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The epidemiological relationship between periodontal health and cognitive decline has been reported in previous longitudinal evidence. Poor periodontal health, including periodontitis, tooth loss, deep periodontal pockets, and alveolar bone loss, has been associated with increased risk of cognitive decline and dementia.⁶ Other reviews have also reported associations between periodontal disease, cognitive impairment, dementia, and Alzheimer disease pathology, including possible involvement of inflammatory biomarkers.⁷,⁸ Evidence in older populations suggests that periodontitis, tooth loss, compromised occlusal support, and reduced masticatory ability may be related to a higher risk of cognitive impairment.⁹</w:t>
      </w:r>
    </w:p>
    <w:p w14:paraId="14886991" w14:textId="05013545"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However, the strength of evidence differs across neurological outcomes. The association appears more consistent for Alzheimer disease and dementia, while evidence for Parkinson disease and other neurodegenerative disorders remains less robust.¹⁰ Other authors have also suggested that periodontal disease and Alzheimer disease may be linked through inflammatory and microbial pathways, although causality has not yet been established.¹¹,¹² This variation indicates that the relationship between periodontitis and neurodegenerative outcomes should be interpreted carefully according to the type of periodontal exposure, neurological outcome, study design, and confounding factors.</w:t>
      </w:r>
    </w:p>
    <w:p w14:paraId="3FEC80CE" w14:textId="67DF4BD6" w:rsidR="00F07A35" w:rsidRPr="00F07A35" w:rsidRDefault="002D0E91" w:rsidP="00F07A35">
      <w:pPr>
        <w:spacing w:after="0"/>
        <w:ind w:firstLine="709"/>
        <w:jc w:val="both"/>
        <w:rPr>
          <w:rFonts w:ascii="Times New Roman" w:hAnsi="Times New Roman" w:cs="Times New Roman"/>
          <w:sz w:val="24"/>
          <w:szCs w:val="24"/>
        </w:rPr>
      </w:pPr>
      <w:r w:rsidRPr="002D0E91">
        <w:rPr>
          <w:rFonts w:ascii="Times New Roman" w:hAnsi="Times New Roman" w:cs="Times New Roman"/>
          <w:sz w:val="24"/>
          <w:szCs w:val="24"/>
        </w:rPr>
        <w:t>Evidence from aging populations also supports the relevance of modifiable factors in cognitive impairment</w:t>
      </w:r>
      <w:r w:rsidR="00F07A35" w:rsidRPr="00F07A35">
        <w:rPr>
          <w:rFonts w:ascii="Times New Roman" w:hAnsi="Times New Roman" w:cs="Times New Roman"/>
          <w:sz w:val="24"/>
          <w:szCs w:val="24"/>
        </w:rPr>
        <w:t>. Cognitive impairment among older adults has been associated with social, behavioral, nutritional, and health-related factors.¹³ Dementia care in Indonesia also remains an important public health issue, especially because awareness, care networks, and access to support services vary across communities.¹⁴ Although these studies do not directly position periodontitis as the main exposure, they support the need to examine potentially modifiable health factors that may contribute to cognitive decline.</w:t>
      </w:r>
    </w:p>
    <w:p w14:paraId="40A06C81" w14:textId="159C6A23" w:rsidR="00F07A35" w:rsidRPr="00F07A35" w:rsidRDefault="00F07A35" w:rsidP="00F07A35">
      <w:pPr>
        <w:spacing w:after="0"/>
        <w:ind w:firstLine="709"/>
        <w:jc w:val="both"/>
        <w:rPr>
          <w:rFonts w:ascii="Times New Roman" w:hAnsi="Times New Roman" w:cs="Times New Roman"/>
          <w:sz w:val="24"/>
          <w:szCs w:val="24"/>
        </w:rPr>
      </w:pPr>
      <w:r w:rsidRPr="00F07A35">
        <w:rPr>
          <w:rFonts w:ascii="Times New Roman" w:hAnsi="Times New Roman" w:cs="Times New Roman"/>
          <w:sz w:val="24"/>
          <w:szCs w:val="24"/>
        </w:rPr>
        <w:t>The research gap in this field lies in several issues. First, definitions of periodontitis are not uniform across studies because some studies use clinical attachment loss, probing pocket depth, bleeding on probing, alveolar bone loss, periodontal diagnosis, treatment status, tooth loss, or other indicators of poor periodontal health. Second, neurological outcomes are often combined, including mild cognitive impairment, cognitive decline, Alzheimer disease, all-</w:t>
      </w:r>
      <w:r w:rsidRPr="00F07A35">
        <w:rPr>
          <w:rFonts w:ascii="Times New Roman" w:hAnsi="Times New Roman" w:cs="Times New Roman"/>
          <w:sz w:val="24"/>
          <w:szCs w:val="24"/>
        </w:rPr>
        <w:lastRenderedPageBreak/>
        <w:t>cause dementia, vascular dementia, Parkinson disease, and amyloid pathology, although these outcomes differ clinically. Third, most available evidence is observational and may be affected by age, smoking, diabetes, education, depression, socioeconomic status, oral hygiene, and reverse causality. Fourth, previous reviews have reported associations, but further synthesis is still needed to clarify the direction of association using quantitative effect estimates.</w:t>
      </w:r>
    </w:p>
    <w:p w14:paraId="1FDFE535" w14:textId="656F744B" w:rsidR="00451960" w:rsidRPr="007F0F25" w:rsidRDefault="00F07A35" w:rsidP="00F07A35">
      <w:pPr>
        <w:ind w:firstLine="709"/>
        <w:jc w:val="both"/>
        <w:rPr>
          <w:rFonts w:ascii="Times New Roman" w:hAnsi="Times New Roman" w:cs="Times New Roman"/>
          <w:sz w:val="24"/>
          <w:szCs w:val="24"/>
        </w:rPr>
      </w:pPr>
      <w:r w:rsidRPr="00F07A35">
        <w:rPr>
          <w:rFonts w:ascii="Times New Roman" w:hAnsi="Times New Roman" w:cs="Times New Roman"/>
          <w:sz w:val="24"/>
          <w:szCs w:val="24"/>
        </w:rPr>
        <w:t>Therefore, this systematic review and meta-analysis was conducted to analyze the association between periodontitis and cognitive impairment or neurodegenerative disease. This study also aims to position periodontal health as a potentially modifiable factor in preventive periodontal care for adult and older populations</w:t>
      </w:r>
      <w:r w:rsidR="00762B5B" w:rsidRPr="00762B5B">
        <w:rPr>
          <w:rFonts w:ascii="Times New Roman" w:hAnsi="Times New Roman" w:cs="Times New Roman"/>
          <w:sz w:val="24"/>
          <w:szCs w:val="24"/>
        </w:rPr>
        <w:t>.</w:t>
      </w:r>
    </w:p>
    <w:p w14:paraId="490D290A" w14:textId="6C25F1A1" w:rsidR="00273299" w:rsidRPr="007F0F25" w:rsidRDefault="00F07A35">
      <w:pPr>
        <w:rPr>
          <w:rFonts w:ascii="Times New Roman" w:hAnsi="Times New Roman" w:cs="Times New Roman"/>
          <w:b/>
          <w:bCs/>
          <w:sz w:val="24"/>
          <w:szCs w:val="24"/>
        </w:rPr>
      </w:pPr>
      <w:r w:rsidRPr="00762B5B">
        <w:rPr>
          <w:rFonts w:ascii="Times New Roman" w:hAnsi="Times New Roman" w:cs="Times New Roman"/>
          <w:b/>
          <w:bCs/>
          <w:sz w:val="24"/>
          <w:szCs w:val="24"/>
        </w:rPr>
        <w:t>Method</w:t>
      </w:r>
      <w:r>
        <w:rPr>
          <w:rFonts w:ascii="Times New Roman" w:hAnsi="Times New Roman" w:cs="Times New Roman"/>
          <w:b/>
          <w:bCs/>
          <w:sz w:val="24"/>
          <w:szCs w:val="24"/>
        </w:rPr>
        <w:t>s</w:t>
      </w:r>
    </w:p>
    <w:p w14:paraId="1D6278A3" w14:textId="3F75D146"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Study design</w:t>
      </w:r>
    </w:p>
    <w:p w14:paraId="475D6F32" w14:textId="25EA4C5D"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This study used a systematic review and meta-analysis design to analyze the association between periodontitis and cognitive impairment or neurodegenerative disease. The review was conducted according to the PRISMA 2020 guideline.¹⁵ A meta-analysis was performed because this study aimed not only to summarize previous findings but also to combine quantitative data from eligible primary studies to estimate the direction and significance of the association between periodontitis and cognitive or neurodegenerative outcomes. The principles of quantitative synthesis and heterogeneity assessment followed general recommendations for systematic reviews and meta-analyses.¹⁶</w:t>
      </w:r>
    </w:p>
    <w:p w14:paraId="4CCA0046" w14:textId="7D20975F"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PECO framework</w:t>
      </w:r>
    </w:p>
    <w:p w14:paraId="568E7E4E" w14:textId="6566578C" w:rsidR="006E41C2" w:rsidRPr="006E41C2" w:rsidRDefault="00511873" w:rsidP="006E41C2">
      <w:pPr>
        <w:spacing w:after="0"/>
        <w:ind w:firstLine="709"/>
        <w:jc w:val="both"/>
        <w:rPr>
          <w:rFonts w:ascii="Times New Roman" w:hAnsi="Times New Roman" w:cs="Times New Roman"/>
          <w:sz w:val="24"/>
          <w:szCs w:val="24"/>
        </w:rPr>
      </w:pPr>
      <w:r w:rsidRPr="00511873">
        <w:rPr>
          <w:rFonts w:ascii="Times New Roman" w:hAnsi="Times New Roman" w:cs="Times New Roman"/>
          <w:sz w:val="24"/>
          <w:szCs w:val="24"/>
        </w:rPr>
        <w:t>The research question was developed using the PECO framework. The population consisted of adult or older adult individuals whose periodontal and cognitive or neurological status were assessed. Tooth loss was not considered as the population, but as a periodontal-related indicator when the original study clearly linked it to periodontal disease or periodontal health status. The exposure was periodontitis or periodontal disease, including clinical diagnosis of periodontitis, clinical attachment loss, probing pocket depth, bleeding on probing, alveolar bone loss, periodontal treatment status, or other periodontal indicators reported in the included studies. Because these indicators do not represent identical exposure definitions, they were interpreted as related but heterogeneous measures of periodontal status. The comparison group consisted of individuals without periodontitis, individuals with less severe periodontal disease, individuals with better periodontal health, or reference groups defined in the original studies. The outcomes included cognitive impairment, mild cognitive impairment, cognitive decline, dementia, Alzheimer’s disease, Parkinson’s disease, vascular dementia, and other neurodegenerative outcomes. These outcomes were considered related but clinically distinct; therefore, the findings were interpreted cautiously because of clinical heterogeneity across outcome categories</w:t>
      </w:r>
      <w:r w:rsidR="006E41C2" w:rsidRPr="006E41C2">
        <w:rPr>
          <w:rFonts w:ascii="Times New Roman" w:hAnsi="Times New Roman" w:cs="Times New Roman"/>
          <w:sz w:val="24"/>
          <w:szCs w:val="24"/>
        </w:rPr>
        <w:t>.</w:t>
      </w:r>
    </w:p>
    <w:p w14:paraId="451E0077" w14:textId="76629516"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Search strategy</w:t>
      </w:r>
    </w:p>
    <w:p w14:paraId="6C7565F4" w14:textId="71F5B1E4"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 xml:space="preserve">A systematic literature search was conducted in PubMed/MEDLINE, Scopus, and Web of Science. </w:t>
      </w:r>
      <w:r w:rsidR="0073106B" w:rsidRPr="0073106B">
        <w:rPr>
          <w:rFonts w:ascii="Times New Roman" w:hAnsi="Times New Roman" w:cs="Times New Roman"/>
          <w:sz w:val="24"/>
          <w:szCs w:val="24"/>
        </w:rPr>
        <w:t>The final literature search was conducted in December 2025. Articles published from 2017 to 2025 were considered eligible for inclusion</w:t>
      </w:r>
      <w:r w:rsidRPr="006E41C2">
        <w:rPr>
          <w:rFonts w:ascii="Times New Roman" w:hAnsi="Times New Roman" w:cs="Times New Roman"/>
          <w:sz w:val="24"/>
          <w:szCs w:val="24"/>
        </w:rPr>
        <w:t xml:space="preserve">. Keywords were combined using Boolean operators. The periodontal exposure terms included “periodontitis,” “periodontal disease,” “periodontal health,” “clinical attachment loss,” “probing pocket depth,” “alveolar bone loss,” and “tooth loss.” The cognitive and neurodegenerative outcome terms included “cognitive impairment,” “cognitive decline,” “mild cognitive impairment,” “dementia,” “Alzheimer disease,” “Parkinson disease,” and “neurodegenerative disease.” Terms related to </w:t>
      </w:r>
      <w:r w:rsidRPr="006E41C2">
        <w:rPr>
          <w:rFonts w:ascii="Times New Roman" w:hAnsi="Times New Roman" w:cs="Times New Roman"/>
          <w:sz w:val="24"/>
          <w:szCs w:val="24"/>
        </w:rPr>
        <w:lastRenderedPageBreak/>
        <w:t>statistical measures, including “odds ratio,” “confidence interval,” “risk factor,” and “association,” were also used to identify studies suitable for quantitative synthesis. The number of articles identified from each database is shown in Table 2.</w:t>
      </w:r>
    </w:p>
    <w:p w14:paraId="01E4FFEA" w14:textId="40261AB4"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Eligibility criteria</w:t>
      </w:r>
    </w:p>
    <w:p w14:paraId="623EBF19" w14:textId="0A201F21"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The inclusion criteria were as follows: articles published in 2017 or later; primary quantitative studies; adult or older adult populations; studies examining periodontitis or periodontal disease as the main exposure; studies evaluating cognitive impairment, cognitive decline, dementia, Alzheimer disease, Parkinson disease, or other neurodegenerative diseases as outcomes; studies reporting odds ratio, hazard ratio, confidence interval, p-value, or data that could be used for effect size calculation; full-text availability; and articles written in English or Indonesian.</w:t>
      </w:r>
    </w:p>
    <w:p w14:paraId="5EBDB684" w14:textId="0D56DC41"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The exclusion criteria were as follows: review articles, systematic reviews, meta-analyses, scoping reviews, narrative reviews, editorials, letters, protocols, case reports, and case series; studies that did not separate periodontitis data from other oral health exposures; studies that only discussed periodontal microbiology without cognitive or neurological outcomes; studies that only discussed tooth loss without explaining its periodontal association; studies without usable statistical data; and duplicate studies from the same dataset.</w:t>
      </w:r>
    </w:p>
    <w:p w14:paraId="0CBEA395" w14:textId="584C63FB" w:rsidR="006E41C2" w:rsidRPr="006E41C2" w:rsidRDefault="006E41C2" w:rsidP="006E41C2">
      <w:pPr>
        <w:spacing w:after="0"/>
        <w:jc w:val="both"/>
        <w:rPr>
          <w:rFonts w:ascii="Times New Roman" w:hAnsi="Times New Roman" w:cs="Times New Roman"/>
          <w:sz w:val="24"/>
          <w:szCs w:val="24"/>
        </w:rPr>
      </w:pPr>
      <w:r w:rsidRPr="006E41C2">
        <w:rPr>
          <w:rFonts w:ascii="Times New Roman" w:hAnsi="Times New Roman" w:cs="Times New Roman"/>
          <w:sz w:val="24"/>
          <w:szCs w:val="24"/>
        </w:rPr>
        <w:t>Study selection</w:t>
      </w:r>
    </w:p>
    <w:p w14:paraId="071D6FC9" w14:textId="05A48122"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The initial search identified 378 articles from PubMed/MEDLINE, Scopus, and Web of Science. These consisted of 124 articles from PubMed/MEDLINE, 156 articles from Scopus, and 98 articles from Web of Science. After duplicate checking, 5 duplicate articles were removed, leaving 373 articles for title and abstract screening. At this stage, 291 articles were excluded because they were not aligned with the focus of the study, did not discuss periodontitis as the main exposure, did not evaluate cognitive impairment or neurodegenerative disease as outcomes, did not report relevant statistical data, or had inappropriate publication designs. Therefore, 82 articles were assessed in full text.</w:t>
      </w:r>
    </w:p>
    <w:p w14:paraId="77D7E012" w14:textId="12FAACE0"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During full-text assessment, 70 articles were excluded for specific reasons. Twenty-two articles did not report odds ratio, p-value, or confidence interval values; 13 articles did not clearly describe periodontal exposure; 11 articles did not specify neurological outcomes related to cognitive impairment or neurodegenerative disease; 8 articles had unsuitable study populations; 7 articles had inappropriate study designs; 6 articles reported data that could not be used for meta-analysis; and 3 articles were not available in full text. Finally, 12 articles met the inclusion criteria and were included in the qualitative and quantitative synthesis. The complete study selection process is shown in Figure 1.</w:t>
      </w:r>
    </w:p>
    <w:p w14:paraId="460EA0A6" w14:textId="77777777" w:rsidR="00661F1D" w:rsidRPr="00661F1D" w:rsidRDefault="00661F1D" w:rsidP="00661F1D">
      <w:pPr>
        <w:spacing w:after="0"/>
        <w:jc w:val="both"/>
        <w:rPr>
          <w:rFonts w:ascii="Times New Roman" w:hAnsi="Times New Roman" w:cs="Times New Roman"/>
          <w:b/>
          <w:bCs/>
          <w:sz w:val="24"/>
          <w:szCs w:val="24"/>
        </w:rPr>
      </w:pPr>
      <w:r w:rsidRPr="00661F1D">
        <w:rPr>
          <w:rFonts w:ascii="Times New Roman" w:hAnsi="Times New Roman" w:cs="Times New Roman"/>
          <w:b/>
          <w:bCs/>
          <w:sz w:val="24"/>
          <w:szCs w:val="24"/>
        </w:rPr>
        <w:t>Study selection</w:t>
      </w:r>
    </w:p>
    <w:p w14:paraId="137F46AA" w14:textId="77777777" w:rsidR="00661F1D" w:rsidRPr="00661F1D" w:rsidRDefault="00661F1D" w:rsidP="00661F1D">
      <w:pPr>
        <w:spacing w:after="0"/>
        <w:jc w:val="both"/>
        <w:rPr>
          <w:rFonts w:ascii="Times New Roman" w:hAnsi="Times New Roman" w:cs="Times New Roman"/>
          <w:sz w:val="24"/>
          <w:szCs w:val="24"/>
        </w:rPr>
      </w:pPr>
      <w:r w:rsidRPr="00661F1D">
        <w:rPr>
          <w:rFonts w:ascii="Times New Roman" w:hAnsi="Times New Roman" w:cs="Times New Roman"/>
          <w:sz w:val="24"/>
          <w:szCs w:val="24"/>
        </w:rPr>
        <w:t>Study screening was performed by five reviewers. Titles and abstracts were screened first, followed by full-text assessment of potentially eligible articles. Any differences in eligibility decisions were resolved through discussion among the reviewers. The study selection process was documented using the PRISMA flow diagram.</w:t>
      </w:r>
    </w:p>
    <w:p w14:paraId="5D922FE9" w14:textId="3F6EAA12" w:rsidR="006E41C2" w:rsidRPr="006E41C2" w:rsidRDefault="006E41C2" w:rsidP="00661F1D">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Data extraction</w:t>
      </w:r>
    </w:p>
    <w:p w14:paraId="081FA0D1" w14:textId="284DF56D" w:rsidR="006E41C2" w:rsidRPr="006E41C2" w:rsidRDefault="006E41C2" w:rsidP="006E41C2">
      <w:pPr>
        <w:spacing w:after="0"/>
        <w:ind w:firstLine="709"/>
        <w:jc w:val="both"/>
        <w:rPr>
          <w:rFonts w:ascii="Times New Roman" w:hAnsi="Times New Roman" w:cs="Times New Roman"/>
          <w:sz w:val="24"/>
          <w:szCs w:val="24"/>
        </w:rPr>
      </w:pPr>
      <w:r w:rsidRPr="006E41C2">
        <w:rPr>
          <w:rFonts w:ascii="Times New Roman" w:hAnsi="Times New Roman" w:cs="Times New Roman"/>
          <w:sz w:val="24"/>
          <w:szCs w:val="24"/>
        </w:rPr>
        <w:t xml:space="preserve">Data were extracted from each eligible study, including author name, year of publication, country or data source, study design, sample size, periodontal exposure, cognitive or neurodegenerative outcome, statistical measure, effect estimate, confidence interval, p-value, and main conclusion. The extracted outcomes included cognitive impairment, mild cognitive impairment, cognitive decline, dementia, Alzheimer disease, Parkinson disease, vascular dementia, and beta-amyloid accumulation. The extracted periodontal exposures </w:t>
      </w:r>
      <w:r w:rsidRPr="006E41C2">
        <w:rPr>
          <w:rFonts w:ascii="Times New Roman" w:hAnsi="Times New Roman" w:cs="Times New Roman"/>
          <w:sz w:val="24"/>
          <w:szCs w:val="24"/>
        </w:rPr>
        <w:lastRenderedPageBreak/>
        <w:t>included periodontitis, periodontal disease, chronic periodontitis, severe periodontitis, clinical attachment loss, tooth loss related to periodontal disease, and periodontal treatment status where available.</w:t>
      </w:r>
    </w:p>
    <w:p w14:paraId="1E288272" w14:textId="51CD12B0"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Data analysis</w:t>
      </w:r>
    </w:p>
    <w:p w14:paraId="7BF3080F" w14:textId="2673E547" w:rsidR="002144A1" w:rsidRPr="002144A1" w:rsidRDefault="002144A1" w:rsidP="002144A1">
      <w:pPr>
        <w:spacing w:after="0"/>
        <w:ind w:firstLine="709"/>
        <w:jc w:val="both"/>
        <w:rPr>
          <w:rFonts w:ascii="Times New Roman" w:hAnsi="Times New Roman" w:cs="Times New Roman"/>
          <w:sz w:val="24"/>
          <w:szCs w:val="24"/>
        </w:rPr>
      </w:pPr>
      <w:r w:rsidRPr="002144A1">
        <w:rPr>
          <w:rFonts w:ascii="Times New Roman" w:hAnsi="Times New Roman" w:cs="Times New Roman"/>
          <w:sz w:val="24"/>
          <w:szCs w:val="24"/>
        </w:rPr>
        <w:t>The meta-analysis was conducted using JASP. Effect estimates and 95% confidence intervals from the included studies were entered as the main quantitative data. Odds ratios, adjusted odds ratios, hazard ratios, and adjusted hazard ratios were extracted according to the reporting format of each original study.</w:t>
      </w:r>
    </w:p>
    <w:p w14:paraId="66114E09" w14:textId="472F8EF0" w:rsidR="002144A1" w:rsidRPr="002144A1" w:rsidRDefault="002144A1" w:rsidP="002144A1">
      <w:pPr>
        <w:spacing w:after="0"/>
        <w:ind w:firstLine="709"/>
        <w:jc w:val="both"/>
        <w:rPr>
          <w:rFonts w:ascii="Times New Roman" w:hAnsi="Times New Roman" w:cs="Times New Roman"/>
          <w:sz w:val="24"/>
          <w:szCs w:val="24"/>
        </w:rPr>
      </w:pPr>
      <w:r w:rsidRPr="002144A1">
        <w:rPr>
          <w:rFonts w:ascii="Times New Roman" w:hAnsi="Times New Roman" w:cs="Times New Roman"/>
          <w:sz w:val="24"/>
          <w:szCs w:val="24"/>
        </w:rPr>
        <w:t>Odds ratios, adjusted odds ratios, hazard ratios, and adjusted hazard ratios were transformed before being combined in the meta-analysis. This transformation was performed to improve comparability across studies reporting different effect measures. The pooled effect estimate was presented as a standardized effect size.</w:t>
      </w:r>
    </w:p>
    <w:p w14:paraId="2AF43AEF" w14:textId="068B653B" w:rsidR="002144A1" w:rsidRPr="002144A1" w:rsidRDefault="002144A1" w:rsidP="002144A1">
      <w:pPr>
        <w:spacing w:after="0"/>
        <w:ind w:firstLine="709"/>
        <w:jc w:val="both"/>
        <w:rPr>
          <w:rFonts w:ascii="Times New Roman" w:hAnsi="Times New Roman" w:cs="Times New Roman"/>
          <w:sz w:val="24"/>
          <w:szCs w:val="24"/>
        </w:rPr>
      </w:pPr>
      <w:r w:rsidRPr="002144A1">
        <w:rPr>
          <w:rFonts w:ascii="Times New Roman" w:hAnsi="Times New Roman" w:cs="Times New Roman"/>
          <w:sz w:val="24"/>
          <w:szCs w:val="24"/>
        </w:rPr>
        <w:t>The pooled effect estimate was calculated using a random-effects model because clinical and methodological heterogeneity was expected across the included studies. The included studies differed in study design, periodontal exposure definition, comparison group, cognitive or neurodegenerative outcome, and statistical measure. Therefore, the pooled estimate was interpreted cautiously as an overall association rather than as evidence of causality.</w:t>
      </w:r>
    </w:p>
    <w:p w14:paraId="02CC0122" w14:textId="2CB74C52" w:rsidR="002144A1" w:rsidRPr="002144A1" w:rsidRDefault="002144A1" w:rsidP="002144A1">
      <w:pPr>
        <w:spacing w:after="0"/>
        <w:ind w:firstLine="709"/>
        <w:jc w:val="both"/>
        <w:rPr>
          <w:rFonts w:ascii="Times New Roman" w:hAnsi="Times New Roman" w:cs="Times New Roman"/>
          <w:sz w:val="24"/>
          <w:szCs w:val="24"/>
        </w:rPr>
      </w:pPr>
      <w:r w:rsidRPr="002144A1">
        <w:rPr>
          <w:rFonts w:ascii="Times New Roman" w:hAnsi="Times New Roman" w:cs="Times New Roman"/>
          <w:sz w:val="24"/>
          <w:szCs w:val="24"/>
        </w:rPr>
        <w:t>Heterogeneity was assessed using the Q statistic and I² statistic. The Q statistic was used to test whether heterogeneity was statistically significant, while the I² statistic was used to quantify the proportion of variability across studies that was due to heterogeneity rather than chance. The I² value was [INSERT I² VALUE AFTER AUTHOR CONFIRMATION].</w:t>
      </w:r>
    </w:p>
    <w:p w14:paraId="22F41B97" w14:textId="0EF7AEFF" w:rsidR="002144A1" w:rsidRPr="002144A1" w:rsidRDefault="002144A1" w:rsidP="002144A1">
      <w:pPr>
        <w:spacing w:after="0"/>
        <w:ind w:firstLine="709"/>
        <w:jc w:val="both"/>
        <w:rPr>
          <w:rFonts w:ascii="Times New Roman" w:hAnsi="Times New Roman" w:cs="Times New Roman"/>
          <w:sz w:val="24"/>
          <w:szCs w:val="24"/>
        </w:rPr>
      </w:pPr>
      <w:r w:rsidRPr="002144A1">
        <w:rPr>
          <w:rFonts w:ascii="Times New Roman" w:hAnsi="Times New Roman" w:cs="Times New Roman"/>
          <w:sz w:val="24"/>
          <w:szCs w:val="24"/>
        </w:rPr>
        <w:t>Sensitivity analysis was performed to evaluate the robustness of the pooled estimate. The sensitivity analysis showed that the pooled estimate remained stable, indicating that no single study substantially influenced the overall result.</w:t>
      </w:r>
    </w:p>
    <w:p w14:paraId="040DA4E8" w14:textId="4F0131DF" w:rsidR="002144A1" w:rsidRPr="002144A1" w:rsidRDefault="002144A1" w:rsidP="002144A1">
      <w:pPr>
        <w:spacing w:after="0"/>
        <w:ind w:firstLine="709"/>
        <w:jc w:val="both"/>
        <w:rPr>
          <w:rFonts w:ascii="Times New Roman" w:hAnsi="Times New Roman" w:cs="Times New Roman"/>
          <w:sz w:val="24"/>
          <w:szCs w:val="24"/>
        </w:rPr>
      </w:pPr>
      <w:r w:rsidRPr="002144A1">
        <w:rPr>
          <w:rFonts w:ascii="Times New Roman" w:hAnsi="Times New Roman" w:cs="Times New Roman"/>
          <w:sz w:val="24"/>
          <w:szCs w:val="24"/>
        </w:rPr>
        <w:t>A funnel plot was used to visually assess possible publication bias. However, because only 12 studies were included, the funnel plot was interpreted with caution, as funnel plot asymmetry is difficult to assess reliably when the number of studies is small.</w:t>
      </w:r>
    </w:p>
    <w:p w14:paraId="0182D90B" w14:textId="7BE30B8E" w:rsidR="006E41C2" w:rsidRPr="006E41C2" w:rsidRDefault="002144A1" w:rsidP="002144A1">
      <w:pPr>
        <w:spacing w:after="0"/>
        <w:ind w:firstLine="709"/>
        <w:jc w:val="both"/>
        <w:rPr>
          <w:rFonts w:ascii="Times New Roman" w:hAnsi="Times New Roman" w:cs="Times New Roman"/>
          <w:sz w:val="24"/>
          <w:szCs w:val="24"/>
        </w:rPr>
      </w:pPr>
      <w:r w:rsidRPr="002144A1">
        <w:rPr>
          <w:rFonts w:ascii="Times New Roman" w:hAnsi="Times New Roman" w:cs="Times New Roman"/>
          <w:sz w:val="24"/>
          <w:szCs w:val="24"/>
        </w:rPr>
        <w:t>A p-value of less than 0.05 was considered statistically significant.</w:t>
      </w:r>
    </w:p>
    <w:p w14:paraId="4203C38D" w14:textId="5D100E37" w:rsidR="006E41C2" w:rsidRPr="006E41C2" w:rsidRDefault="006E41C2" w:rsidP="006E41C2">
      <w:pPr>
        <w:spacing w:after="0"/>
        <w:jc w:val="both"/>
        <w:rPr>
          <w:rFonts w:ascii="Times New Roman" w:hAnsi="Times New Roman" w:cs="Times New Roman"/>
          <w:b/>
          <w:bCs/>
          <w:sz w:val="24"/>
          <w:szCs w:val="24"/>
        </w:rPr>
      </w:pPr>
      <w:r w:rsidRPr="006E41C2">
        <w:rPr>
          <w:rFonts w:ascii="Times New Roman" w:hAnsi="Times New Roman" w:cs="Times New Roman"/>
          <w:b/>
          <w:bCs/>
          <w:sz w:val="24"/>
          <w:szCs w:val="24"/>
        </w:rPr>
        <w:t>Ethical approval</w:t>
      </w:r>
    </w:p>
    <w:p w14:paraId="743A9FC3" w14:textId="1BF4A19B" w:rsidR="00273299" w:rsidRDefault="006E41C2" w:rsidP="002D0E91">
      <w:pPr>
        <w:ind w:firstLine="709"/>
        <w:jc w:val="both"/>
        <w:rPr>
          <w:rFonts w:ascii="Times New Roman" w:hAnsi="Times New Roman" w:cs="Times New Roman"/>
          <w:sz w:val="24"/>
          <w:szCs w:val="24"/>
        </w:rPr>
      </w:pPr>
      <w:r w:rsidRPr="006E41C2">
        <w:rPr>
          <w:rFonts w:ascii="Times New Roman" w:hAnsi="Times New Roman" w:cs="Times New Roman"/>
          <w:sz w:val="24"/>
          <w:szCs w:val="24"/>
        </w:rPr>
        <w:t>This study was a systematic review and meta-analysis based on previously published studies. It did not involve direct recruitment of human participants, direct collection of human biological samples, or animal experiments. Therefore, ethical approval and informed consent were not required</w:t>
      </w:r>
      <w:r w:rsidR="00762B5B" w:rsidRPr="00762B5B">
        <w:rPr>
          <w:rFonts w:ascii="Times New Roman" w:hAnsi="Times New Roman" w:cs="Times New Roman"/>
          <w:sz w:val="24"/>
          <w:szCs w:val="24"/>
        </w:rPr>
        <w:t>.</w:t>
      </w:r>
    </w:p>
    <w:p w14:paraId="6C0E38C1" w14:textId="77777777" w:rsidR="006E41C2" w:rsidRPr="006E41C2" w:rsidRDefault="006E41C2" w:rsidP="002D0E91">
      <w:pPr>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Results</w:t>
      </w:r>
    </w:p>
    <w:p w14:paraId="78A445F6" w14:textId="77777777" w:rsidR="006E41C2" w:rsidRPr="006E41C2" w:rsidRDefault="006E41C2" w:rsidP="002D0E91">
      <w:pPr>
        <w:spacing w:after="0"/>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Study selection</w:t>
      </w:r>
    </w:p>
    <w:p w14:paraId="511CE654" w14:textId="151A5073" w:rsidR="006E41C2" w:rsidRP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The article selection process followed the PRISMA 2020 guideline.¹⁵ A total of 378 articles were identified from three databases, consisting of 124 articles from PubMed/MEDLINE, 156 articles from Scopus, and 98 articles from Web of Science. After removing 5 duplicate records, 373 articles were screened by title and abstract. A total of 291 articles were excluded during the screening stage. The remaining 82 articles were assessed in full text, and 70 articles were excluded for specific reasons. Finally, 12 studies met the inclusion criteria and were included in the qualitative and quantitative synthesis. </w:t>
      </w:r>
      <w:r w:rsidR="00661F1D" w:rsidRPr="00661F1D">
        <w:rPr>
          <w:rFonts w:ascii="Times New Roman" w:hAnsi="Times New Roman" w:cs="Times New Roman"/>
          <w:sz w:val="24"/>
          <w:szCs w:val="24"/>
        </w:rPr>
        <w:t>The 12 included studies involved a total of 7,335,538 participants across different study designs and data sources</w:t>
      </w:r>
      <w:r w:rsidR="00661F1D">
        <w:rPr>
          <w:rFonts w:ascii="Times New Roman" w:hAnsi="Times New Roman" w:cs="Times New Roman"/>
          <w:sz w:val="24"/>
          <w:szCs w:val="24"/>
        </w:rPr>
        <w:t xml:space="preserve">. </w:t>
      </w:r>
      <w:r w:rsidRPr="006E41C2">
        <w:rPr>
          <w:rFonts w:ascii="Times New Roman" w:hAnsi="Times New Roman" w:cs="Times New Roman"/>
          <w:sz w:val="24"/>
          <w:szCs w:val="24"/>
          <w:lang w:val="en-ID"/>
        </w:rPr>
        <w:t>The PRISMA flow diagram is shown in Figure 1.</w:t>
      </w:r>
    </w:p>
    <w:p w14:paraId="5CBCF703" w14:textId="77777777" w:rsidR="006E41C2" w:rsidRPr="006E41C2" w:rsidRDefault="006E41C2" w:rsidP="006E41C2">
      <w:pPr>
        <w:spacing w:after="0"/>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lastRenderedPageBreak/>
        <w:t>Characteristics of the included studies</w:t>
      </w:r>
    </w:p>
    <w:p w14:paraId="06B92C18" w14:textId="77777777" w:rsid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12 included studies were published between 2017 and 2025. The highest number of publications appeared in 2017 and 2025, with 3 studies or 25.0% each. Based on country or data source, Taiwan, South Korea, and the United States were the most common sources, each contributing 3 studies. Other studies were conducted in Mexico, Japan, and Spain.</w:t>
      </w:r>
    </w:p>
    <w:p w14:paraId="03F1E80B" w14:textId="46E97EFB" w:rsidR="006E41C2" w:rsidRP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included studies consisted of cohort or population-based cohort studies and cross-sectional or observational analytical studies. Six studies used cohort or population-based cohort designs, while six studies used cross-sectional or observational analytical designs. The most frequently examined outcomes were cognitive impairment, mild cognitive impairment, and amyloid pathology, which were reported in 6 studies. Dementia, Alzheimer disease, and vascular dementia were reported in 5 studies, while Parkinson disease was reported in 1 study. The main statistical measures were hazard ratio or adjusted hazard ratio in 6 studies, odds ratio or adjusted odds ratio in 5 studies, and beta coefficient with p-value in 1 study. The characteristics of the included studies are summarized in Table 3.</w:t>
      </w:r>
    </w:p>
    <w:p w14:paraId="725F9781" w14:textId="77777777" w:rsidR="006E41C2" w:rsidRPr="006E41C2" w:rsidRDefault="006E41C2" w:rsidP="006E41C2">
      <w:pPr>
        <w:spacing w:after="0"/>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Summary of the included studies</w:t>
      </w:r>
    </w:p>
    <w:p w14:paraId="17D9F128" w14:textId="77777777" w:rsid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Most included studies reported a positive association between periodontitis or periodontal disease and cognitive impairment or neurodegenerative disease. Chen et al.¹⁷ reported that patients with long-term chronic periodontitis had a higher risk of Alzheimer disease than those without chronic periodontitis. YT Lee et al.¹⁸ also found that periodontitis was associated with the risk of new-onset dementia. YL Lee et al.¹⁹ showed that untreated periodontal disease and tooth extraction groups had a higher incidence of dementia compared with periodontal treatment groups.</w:t>
      </w:r>
    </w:p>
    <w:p w14:paraId="6D5E4C33" w14:textId="77777777" w:rsid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Evidence from South Korea also supported this association. Choi et al.²⁰ reported that chronic periodontitis was associated with increased risk of overall dementia and Alzheimer disease. Jeong et al.²² found that individuals with periodontitis and a need for further dental visits had a higher risk of Parkinson disease. Kim et al.²³ showed that severe chronic periodontitis was associated with a higher risk of dementia than mild chronic periodontitis.</w:t>
      </w:r>
    </w:p>
    <w:p w14:paraId="0B26C165" w14:textId="77777777" w:rsid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Cross-sectional and observational studies also reported associations between periodontal disease and cognitive outcomes. Sung et al.²¹ showed an association between periodontitis and impaired cognitive function in a national adult sample. Luo et al.²⁴ found that tooth loss and periodontal disease were related to mild cognitive impairment among Hispanic/Latino immigrants. Igase et al.²⁵ reported that severe periodontitis was strongly associated with mild cognitive impairment in older adults. Gil-Montoya et al.²⁶ showed that moderate-to-severe periodontitis was associated with abnormal brain beta-amyloid accumulation in patients with mild cognitive impairment. Sun and Li²⁷ reported that moderate/severe periodontitis was associated with cognitive impairment among older adults. Aranda Romo et al.²⁸ also found that clinical attachment loss and gingival index were associated with mild cognitive impairment.</w:t>
      </w:r>
    </w:p>
    <w:p w14:paraId="3AB5574C" w14:textId="2FCA9E46" w:rsidR="006E41C2" w:rsidRP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reported effect sizes varied across studies, ranging from smaller but statistically significant associations in large population-based cohort studies to stronger associations in smaller clinical studies. This variation may reflect differences in study design, sample size, periodontal definitions, cognitive outcome measures, adjustment for confounding variables, and data sources. Overall, the direction of findings supports the view that periodontitis may be associated with cognitive decline and neurodegenerative outcomes, although the magnitude of association differs among studies. A detailed summary of the included studies is presented in Table 4.</w:t>
      </w:r>
    </w:p>
    <w:p w14:paraId="59E2DBAB" w14:textId="77777777" w:rsidR="006E41C2" w:rsidRPr="006E41C2" w:rsidRDefault="006E41C2" w:rsidP="006E41C2">
      <w:pPr>
        <w:spacing w:after="0"/>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lastRenderedPageBreak/>
        <w:t>Funnel plot</w:t>
      </w:r>
    </w:p>
    <w:p w14:paraId="6F121FE3" w14:textId="77777777" w:rsidR="006E41C2" w:rsidRP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funnel plot was used to assess the distribution of studies based on residual values and standard errors. Most studies were located near the central line, suggesting that several studies had relatively stable effect estimates and small standard errors. However, some studies were positioned farther from the center, indicating visual imbalance in the plot. This pattern may be influenced by differences in study design, sample size, outcome type, and statistical measures used across the included studies. The funnel plot is shown in Figure 2.</w:t>
      </w:r>
    </w:p>
    <w:p w14:paraId="255E2F78" w14:textId="77777777" w:rsidR="006E41C2" w:rsidRPr="006E41C2" w:rsidRDefault="006E41C2" w:rsidP="006E41C2">
      <w:pPr>
        <w:spacing w:after="0"/>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Forest plot and pooled effect</w:t>
      </w:r>
    </w:p>
    <w:p w14:paraId="3102B5B1" w14:textId="77777777" w:rsidR="006E41C2" w:rsidRDefault="006E41C2" w:rsidP="006E41C2">
      <w:pPr>
        <w:spacing w:after="0"/>
        <w:ind w:firstLine="709"/>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forest plot showed that most studies had a positive direction of effect. This indicates that periodontitis tended to be associated with an increased risk of cognitive impairment, dementia, Alzheimer disease, Parkinson disease, or other neurodegenerative outcomes. Several studies showed stronger effect estimates, particularly those involving severe periodontitis, mild cognitive impairment, or beta-amyloid accumulation.²⁵,²⁶,²⁸ Other large cohort studies showed smaller but more stable effect estimates.¹⁷–²⁰,²²,²³</w:t>
      </w:r>
    </w:p>
    <w:p w14:paraId="25AA0873" w14:textId="64084D21" w:rsidR="006E41C2" w:rsidRPr="006E41C2" w:rsidRDefault="00205E77" w:rsidP="002D0E91">
      <w:pPr>
        <w:ind w:firstLine="709"/>
        <w:jc w:val="both"/>
        <w:rPr>
          <w:rFonts w:ascii="Times New Roman" w:hAnsi="Times New Roman" w:cs="Times New Roman"/>
          <w:sz w:val="24"/>
          <w:szCs w:val="24"/>
          <w:lang w:val="en-ID"/>
        </w:rPr>
      </w:pPr>
      <w:r w:rsidRPr="00205E77">
        <w:rPr>
          <w:rFonts w:ascii="Times New Roman" w:hAnsi="Times New Roman" w:cs="Times New Roman"/>
          <w:sz w:val="24"/>
          <w:szCs w:val="24"/>
        </w:rPr>
        <w:t>The pooled effect estimate was 0.15, representing a standardized effect size, with a 95% confidence interval of 0.05–0.26 and p = 0.007</w:t>
      </w:r>
      <w:r w:rsidR="006E41C2" w:rsidRPr="006E41C2">
        <w:rPr>
          <w:rFonts w:ascii="Times New Roman" w:hAnsi="Times New Roman" w:cs="Times New Roman"/>
          <w:sz w:val="24"/>
          <w:szCs w:val="24"/>
          <w:lang w:val="en-ID"/>
        </w:rPr>
        <w:t>. This result indicates a statistically significant association between periodontitis and cognitive impairment or neurodegenerative disease. Heterogeneity was significant, with Q(11) = 39.24 and p &lt; 0.001, indicating variation in results across the included studies. This heterogeneity should be considered when interpreting the pooled findings because the included studies differed in population characteristics, periodontal exposure definitions, neurological outcomes, and statistical methods. The forest plot is shown in Figure 3.</w:t>
      </w:r>
    </w:p>
    <w:p w14:paraId="0712E232" w14:textId="77777777" w:rsidR="006E41C2" w:rsidRPr="006E41C2" w:rsidRDefault="006E41C2" w:rsidP="002D0E91">
      <w:pPr>
        <w:jc w:val="both"/>
        <w:rPr>
          <w:rFonts w:ascii="Times New Roman" w:hAnsi="Times New Roman" w:cs="Times New Roman"/>
          <w:b/>
          <w:bCs/>
          <w:sz w:val="24"/>
          <w:szCs w:val="24"/>
          <w:lang w:val="en-ID"/>
        </w:rPr>
      </w:pPr>
      <w:r w:rsidRPr="006E41C2">
        <w:rPr>
          <w:rFonts w:ascii="Times New Roman" w:hAnsi="Times New Roman" w:cs="Times New Roman"/>
          <w:b/>
          <w:bCs/>
          <w:sz w:val="24"/>
          <w:szCs w:val="24"/>
          <w:lang w:val="en-ID"/>
        </w:rPr>
        <w:t>Discussion</w:t>
      </w:r>
    </w:p>
    <w:p w14:paraId="5BE287A2"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This systematic review and meta-analysis found a significant positive association between periodontitis and cognitive impairment or neurodegenerative disease. The pooled effect estimate was 0.15 with a 95% confidence interval of 0.05–0.26 and p = 0.007. This finding suggests that periodontal disease may be related to cognitive and neurodegenerative outcomes, although the strength of the association varies across studies. From a periodontal perspective, this result supports the possibility that chronic periodontal inflammation may have broader systemic implications beyond oral tissues.</w:t>
      </w:r>
    </w:p>
    <w:p w14:paraId="485F685C"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findings are consistent with previous longitudinal evidence showing that poor periodontal health is associated with cognitive decline and dementia.⁶ The present results also align with previous reviews reporting associations between periodontal disease, cognitive disorders, dementia, depression, and Alzheimer disease pathology.⁷,⁸ Evidence in older populations has further suggested that periodontitis, tooth loss, compromised occlusal support, and reduced masticatory ability may increase the risk of cognitive impairment.⁹</w:t>
      </w:r>
    </w:p>
    <w:p w14:paraId="0BCBAC66"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Several included cohort studies showed that chronic, untreated, or severe periodontitis was associated with dementia or Alzheimer disease. Chen et al.¹⁷ found that long-term exposure to chronic periodontitis increased the risk of Alzheimer disease. YT Lee et al.¹⁸ reported that periodontitis was associated with incident dementia, while YL Lee et al.¹⁹ showed that untreated periodontal disease was related to a higher risk of dementia. Choi et al.²⁰ also demonstrated an association between chronic periodontitis and overall dementia or Alzheimer disease. These findings suggest that prolonged periodontal inflammation may be relevant to cognitive and neurodegenerative outcomes.</w:t>
      </w:r>
    </w:p>
    <w:p w14:paraId="302A3F38"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lastRenderedPageBreak/>
        <w:t>The severity of periodontal disease may also be important. Kim et al.²³ reported that severe chronic periodontitis increased the risk of dementia compared with mild chronic periodontitis. Igase et al.²⁵ found that severe periodontitis was strongly associated with mild cognitive impairment. Aranda Romo et al.²⁸ showed that clinical attachment loss was associated with mild cognitive impairment. These findings indicate that periodontal parameters reflecting more advanced tissue destruction may be more closely related to cognitive outcomes than general oral health status alone.</w:t>
      </w:r>
    </w:p>
    <w:p w14:paraId="50657689"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The possible biological link between periodontitis and cognitive impairment may involve inflammatory, microbial, vascular, and immune pathways. Periodontal pathogens can stimulate local and systemic inflammatory responses, and inflammatory mediators may contribute to endothelial dysfunction, oxidative stress, and neuroinflammation. The oral-brain axis has been proposed as one pathway through which periodontal pathogens may influence pathological processes in the brain.³ </w:t>
      </w:r>
      <w:r w:rsidRPr="006E41C2">
        <w:rPr>
          <w:rFonts w:ascii="Times New Roman" w:hAnsi="Times New Roman" w:cs="Times New Roman"/>
          <w:i/>
          <w:iCs/>
          <w:sz w:val="24"/>
          <w:szCs w:val="24"/>
          <w:lang w:val="en-ID"/>
        </w:rPr>
        <w:t>P. gingivalis</w:t>
      </w:r>
      <w:r w:rsidRPr="006E41C2">
        <w:rPr>
          <w:rFonts w:ascii="Times New Roman" w:hAnsi="Times New Roman" w:cs="Times New Roman"/>
          <w:sz w:val="24"/>
          <w:szCs w:val="24"/>
          <w:lang w:val="en-ID"/>
        </w:rPr>
        <w:t xml:space="preserve"> has also been discussed as a potential trigger of neurodegenerative disease because of its ability to interact with inflammatory and neural pathways.⁴ Experimental findings further suggest that </w:t>
      </w:r>
      <w:r w:rsidRPr="006E41C2">
        <w:rPr>
          <w:rFonts w:ascii="Times New Roman" w:hAnsi="Times New Roman" w:cs="Times New Roman"/>
          <w:i/>
          <w:iCs/>
          <w:sz w:val="24"/>
          <w:szCs w:val="24"/>
          <w:lang w:val="en-ID"/>
        </w:rPr>
        <w:t>P. gingivalis</w:t>
      </w:r>
      <w:r w:rsidRPr="006E41C2">
        <w:rPr>
          <w:rFonts w:ascii="Times New Roman" w:hAnsi="Times New Roman" w:cs="Times New Roman"/>
          <w:sz w:val="24"/>
          <w:szCs w:val="24"/>
          <w:lang w:val="en-ID"/>
        </w:rPr>
        <w:t>-induced periodontitis may promote neuroinflammation, neuronal loss, and dysfunction of the brain barrier.⁵</w:t>
      </w:r>
    </w:p>
    <w:p w14:paraId="5105E925"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relationship between periodontitis and neurodegenerative disease may differ according to the type of neurological outcome. Evidence appears more consistent for dementia and Alzheimer disease, while evidence for Parkinson disease is more limited.¹⁰ In this review, only one included study specifically examined Parkinson disease and reported that periodontitis and the need for further dental visits were associated with a higher risk of Parkinson disease.²² Therefore, further studies are needed before stronger conclusions can be drawn regarding Parkinson disease and other neurodegenerative disorders.</w:t>
      </w:r>
    </w:p>
    <w:p w14:paraId="56878651"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Mild cognitive impairment and beta-amyloid pathology also showed relevant associations with periodontal disease. Gil-Montoya et al.²⁶ reported that moderate-to-severe periodontitis was associated with abnormal beta-amyloid accumulation in patients with mild cognitive impairment. Sun and Li²⁷ found that moderate/severe periodontitis was associated with cognitive impairment among older adults. These findings are important because mild cognitive impairment and beta-amyloid accumulation may represent earlier stages or markers of cognitive deterioration. From a preventive periodontal perspective, identifying oral health factors associated with early cognitive changes may be clinically meaningful.</w:t>
      </w:r>
    </w:p>
    <w:p w14:paraId="545839D6"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heterogeneity observed in this meta-analysis was significant. This is understandable because the included studies differed in several important aspects, including study design, sample size, periodontal disease definition, cognitive assessment method, type of neurological outcome, and adjustment for confounding variables. Some studies used clinical periodontal parameters such as probing pocket depth or clinical attachment loss, while others used diagnosis codes, periodontal treatment history, tooth loss, or broader indicators of periodontal health. Similarly, outcomes ranged from mild cognitive impairment and cognitive test performance to dementia, Alzheimer disease, Parkinson disease, and amyloid pathology. These differences may explain the variation in effect estimates across studies.</w:t>
      </w:r>
    </w:p>
    <w:p w14:paraId="17EF1603"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Another important issue is the possibility of reverse causality. Cognitive impairment may reduce a person’s ability to maintain oral hygiene, attend dental visits, and follow periodontal treatment recommendations. As a result, periodontal disease may worsen after cognitive decline has already begun. At the same time, chronic periodontitis may contribute to systemic inflammation that increases the risk of cognitive decline. This possible bidirectional </w:t>
      </w:r>
      <w:r w:rsidRPr="006E41C2">
        <w:rPr>
          <w:rFonts w:ascii="Times New Roman" w:hAnsi="Times New Roman" w:cs="Times New Roman"/>
          <w:sz w:val="24"/>
          <w:szCs w:val="24"/>
          <w:lang w:val="en-ID"/>
        </w:rPr>
        <w:lastRenderedPageBreak/>
        <w:t>relationship has also been discussed in previous literature.¹⁰–¹² Therefore, the present findings should be interpreted as evidence of association rather than proof of direct causality.</w:t>
      </w:r>
    </w:p>
    <w:p w14:paraId="1AA3AA65" w14:textId="77777777"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The findings have practical implications for preventive periodontology and community dental care. Periodontal assessment in adult and older populations may have value beyond preventing tooth loss and maintaining masticatory function. Regular periodontal screening, oral hygiene education, periodontal treatment, and maintenance care may contribute to broader health promotion strategies, especially in populations at risk of cognitive decline. However, clinical recommendations should be made carefully because the current evidence is mainly observational and does not confirm a direct causal relationship.</w:t>
      </w:r>
    </w:p>
    <w:p w14:paraId="05A115E2" w14:textId="59D11FBD" w:rsidR="006E41C2" w:rsidRDefault="006E41C2" w:rsidP="006E41C2">
      <w:pPr>
        <w:spacing w:after="0"/>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 xml:space="preserve">This study has several limitations. First, most included studies were observational, which limits causal interpretation. Second, the definitions of periodontitis and periodontal disease varied across studies. Third, cognitive and neurodegenerative outcomes were measured using different instruments, clinical diagnoses, or registry data. Fourth, the included studies used different statistical measures, including hazard ratios, odds ratios, adjusted estimates, and beta coefficients. </w:t>
      </w:r>
      <w:r w:rsidR="00E37E3C" w:rsidRPr="00E37E3C">
        <w:rPr>
          <w:rFonts w:ascii="Times New Roman" w:hAnsi="Times New Roman" w:cs="Times New Roman"/>
          <w:sz w:val="24"/>
          <w:szCs w:val="24"/>
        </w:rPr>
        <w:t>Fifth, heterogeneity across studies was significant. Subgroup analysis according to outcome type, study design, exposure definition, or statistical measure was not performed; therefore, the sources of heterogeneity could not be explored in detail. These limitations indicate that the pooled estimate should be interpreted as evidence of association rather than proof of causality</w:t>
      </w:r>
      <w:r w:rsidRPr="006E41C2">
        <w:rPr>
          <w:rFonts w:ascii="Times New Roman" w:hAnsi="Times New Roman" w:cs="Times New Roman"/>
          <w:sz w:val="24"/>
          <w:szCs w:val="24"/>
          <w:lang w:val="en-ID"/>
        </w:rPr>
        <w:t>.</w:t>
      </w:r>
    </w:p>
    <w:p w14:paraId="6A5B4087" w14:textId="2D32818F" w:rsidR="006E41C2" w:rsidRPr="006E41C2" w:rsidRDefault="006E41C2" w:rsidP="006E41C2">
      <w:pPr>
        <w:ind w:firstLine="567"/>
        <w:jc w:val="both"/>
        <w:rPr>
          <w:rFonts w:ascii="Times New Roman" w:hAnsi="Times New Roman" w:cs="Times New Roman"/>
          <w:sz w:val="24"/>
          <w:szCs w:val="24"/>
          <w:lang w:val="en-ID"/>
        </w:rPr>
      </w:pPr>
      <w:r w:rsidRPr="006E41C2">
        <w:rPr>
          <w:rFonts w:ascii="Times New Roman" w:hAnsi="Times New Roman" w:cs="Times New Roman"/>
          <w:sz w:val="24"/>
          <w:szCs w:val="24"/>
          <w:lang w:val="en-ID"/>
        </w:rPr>
        <w:t>Future studies should use longitudinal designs with longer follow-up periods, standardized periodontal definitions, repeated cognitive assessments, and careful control of confounding factors. Studies should also separate outcomes such as mild cognitive impairment, Alzheimer disease, vascular dementia, Parkinson disease, and other neurodegenerative diseases. Further research involving inflammatory biomarkers and periodontal pathogen profiles may help clarify the biological pathways linking periodontal disease and cognitive health.</w:t>
      </w:r>
    </w:p>
    <w:p w14:paraId="097E8B9B" w14:textId="0440362D" w:rsidR="006E41C2" w:rsidRPr="006E41C2" w:rsidRDefault="006E41C2" w:rsidP="002D0E91">
      <w:pPr>
        <w:jc w:val="both"/>
        <w:rPr>
          <w:rFonts w:ascii="Times New Roman" w:hAnsi="Times New Roman" w:cs="Times New Roman"/>
          <w:b/>
          <w:bCs/>
          <w:sz w:val="24"/>
          <w:szCs w:val="24"/>
        </w:rPr>
      </w:pPr>
      <w:r w:rsidRPr="006E41C2">
        <w:rPr>
          <w:rFonts w:ascii="Times New Roman" w:hAnsi="Times New Roman" w:cs="Times New Roman"/>
          <w:b/>
          <w:bCs/>
          <w:sz w:val="24"/>
          <w:szCs w:val="24"/>
        </w:rPr>
        <w:t>Conclusion</w:t>
      </w:r>
    </w:p>
    <w:p w14:paraId="26E680AD" w14:textId="77777777" w:rsidR="006E41C2" w:rsidRDefault="006E41C2" w:rsidP="006E41C2">
      <w:pPr>
        <w:spacing w:after="0"/>
        <w:ind w:firstLine="567"/>
        <w:jc w:val="both"/>
        <w:rPr>
          <w:rFonts w:ascii="Times New Roman" w:hAnsi="Times New Roman" w:cs="Times New Roman"/>
          <w:sz w:val="24"/>
          <w:szCs w:val="24"/>
        </w:rPr>
      </w:pPr>
      <w:r w:rsidRPr="006E41C2">
        <w:rPr>
          <w:rFonts w:ascii="Times New Roman" w:hAnsi="Times New Roman" w:cs="Times New Roman"/>
          <w:sz w:val="24"/>
          <w:szCs w:val="24"/>
        </w:rPr>
        <w:t>This systematic review and meta-analysis found a positive and statistically significant association between periodontitis and cognitive impairment or neurodegenerative disease. Most included studies showed that severe, long-standing, or untreated periodontal disease was associated with a higher risk of dementia, Alzheimer disease, Parkinson disease, mild cognitive impairment, or beta-amyloid accumulation. The pooled effect was 0.15 with a 95% confidence interval of 0.05–0.26 and p = 0.007</w:t>
      </w:r>
      <w:r>
        <w:rPr>
          <w:rFonts w:ascii="Times New Roman" w:hAnsi="Times New Roman" w:cs="Times New Roman"/>
          <w:sz w:val="24"/>
          <w:szCs w:val="24"/>
        </w:rPr>
        <w:t>.</w:t>
      </w:r>
    </w:p>
    <w:p w14:paraId="75E7ECA4" w14:textId="6916B339" w:rsidR="006E41C2" w:rsidRDefault="006E41C2" w:rsidP="006E41C2">
      <w:pPr>
        <w:spacing w:after="0"/>
        <w:ind w:firstLine="567"/>
        <w:jc w:val="both"/>
        <w:rPr>
          <w:rFonts w:ascii="Times New Roman" w:hAnsi="Times New Roman" w:cs="Times New Roman"/>
          <w:sz w:val="24"/>
          <w:szCs w:val="24"/>
        </w:rPr>
      </w:pPr>
      <w:r w:rsidRPr="006E41C2">
        <w:rPr>
          <w:rFonts w:ascii="Times New Roman" w:hAnsi="Times New Roman" w:cs="Times New Roman"/>
          <w:sz w:val="24"/>
          <w:szCs w:val="24"/>
        </w:rPr>
        <w:t>These findings support the relevance of periodontal health as a potentially modifiable factor in adult and older populations. Periodontal examination, oral hygiene education, periodontal treatment, and maintenance care may have broader implications beyond oral health, particularly in relation to cognitive health. However, because the available evidence is largely observational and heterogeneous, further longitudinal studies are needed to clarify causality and the biological mechanisms underlying this association.</w:t>
      </w:r>
    </w:p>
    <w:p w14:paraId="6CD31B0A" w14:textId="77777777" w:rsidR="002B349D" w:rsidRPr="007F0F25" w:rsidRDefault="002B349D" w:rsidP="006E41C2">
      <w:pPr>
        <w:spacing w:after="0"/>
        <w:ind w:firstLine="567"/>
        <w:jc w:val="both"/>
        <w:rPr>
          <w:rFonts w:ascii="Times New Roman" w:hAnsi="Times New Roman" w:cs="Times New Roman"/>
          <w:sz w:val="24"/>
          <w:szCs w:val="24"/>
        </w:rPr>
      </w:pPr>
    </w:p>
    <w:p w14:paraId="70B3408E" w14:textId="37794513" w:rsidR="00273299" w:rsidRPr="007F0F25" w:rsidRDefault="009431E0">
      <w:pPr>
        <w:rPr>
          <w:rFonts w:ascii="Times New Roman" w:hAnsi="Times New Roman" w:cs="Times New Roman"/>
          <w:b/>
          <w:bCs/>
          <w:sz w:val="24"/>
          <w:szCs w:val="24"/>
        </w:rPr>
      </w:pPr>
      <w:r>
        <w:rPr>
          <w:rFonts w:ascii="Times New Roman" w:hAnsi="Times New Roman" w:cs="Times New Roman"/>
          <w:b/>
          <w:bCs/>
          <w:sz w:val="24"/>
          <w:szCs w:val="24"/>
        </w:rPr>
        <w:t>REFERENCES</w:t>
      </w:r>
    </w:p>
    <w:p w14:paraId="654AD2BF" w14:textId="77777777" w:rsidR="00CE7E55" w:rsidRDefault="009431E0"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sz w:val="24"/>
          <w:szCs w:val="24"/>
        </w:rPr>
        <w:fldChar w:fldCharType="begin" w:fldLock="1"/>
      </w:r>
      <w:r w:rsidRPr="00CE7E55">
        <w:rPr>
          <w:rFonts w:ascii="Times New Roman" w:hAnsi="Times New Roman" w:cs="Times New Roman"/>
          <w:sz w:val="24"/>
          <w:szCs w:val="24"/>
        </w:rPr>
        <w:instrText xml:space="preserve">ADDIN Mendeley Bibliography CSL_BIBLIOGRAPHY </w:instrText>
      </w:r>
      <w:r w:rsidRPr="00CE7E55">
        <w:rPr>
          <w:rFonts w:ascii="Times New Roman" w:hAnsi="Times New Roman" w:cs="Times New Roman"/>
          <w:sz w:val="24"/>
          <w:szCs w:val="24"/>
        </w:rPr>
        <w:fldChar w:fldCharType="separate"/>
      </w:r>
      <w:r w:rsidR="00CE7E55" w:rsidRPr="00CE7E55">
        <w:rPr>
          <w:rFonts w:ascii="Times New Roman" w:hAnsi="Times New Roman" w:cs="Times New Roman"/>
          <w:noProof/>
          <w:kern w:val="0"/>
          <w:sz w:val="24"/>
        </w:rPr>
        <w:t>World Health Organization. Oral health [Internet]. Geneva: World Health Organization; 2025 [cited 2026 Jun 5]. Available from: https://www.who.int/news-room/fact-sheets/detail/oral-health</w:t>
      </w:r>
    </w:p>
    <w:p w14:paraId="4D98730A"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lastRenderedPageBreak/>
        <w:t>World Health Organization. Dementia [Internet]. Geneva: World Health Organization; 2025 [cited 2026 Jun 5]. Available from: https://www.who.int/news-room/fact-sheets/detail/dementia</w:t>
      </w:r>
    </w:p>
    <w:p w14:paraId="21589A67"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Li R, Wang J, Xiong W, Luo Y, Feng H, Zhou H, et al. The oral-brain axis: can periodontal pathogens trigger the onset and progression of Alzheimer’s disease? Front Microbiol. 2024;15:1358179. doi:10.3389/fmicb.2024.1358179.</w:t>
      </w:r>
    </w:p>
    <w:p w14:paraId="701671D3"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Huang Z, Hao M, Shi N, Wang X, Yuan L, Yuan H, et al. Porphyromonas gingivalis: a potential trigger of neurodegenerative disease. Front Immunol. 2025;16:1482033. doi:10.3389/fimmu.2025.1482033.</w:t>
      </w:r>
    </w:p>
    <w:p w14:paraId="241F61F6"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Jiang Y, Xu L, Zhao X, Shen H, Qiu C, He Z, et al. Porphyromonas gingivalis-induced periodontitis promotes neuroinflammation and neuronal loss associated with dysfunction of the brain barrier. Front Cell Infect Microbiol. 2025;15:1559182. doi:10.3389/fcimb.2025.1559182.</w:t>
      </w:r>
    </w:p>
    <w:p w14:paraId="387D5618"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Asher S, Stephen R, Mäntylä P, Suominen AL, Solomon A. Periodontal health, cognitive decline, and dementia: a systematic review and meta-analysis of longitudinal studies. J Am Geriatr Soc. 2022;70(9):2695-2709. doi:10.1111/jgs.17978.</w:t>
      </w:r>
    </w:p>
    <w:p w14:paraId="70EFF8AA"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Said-Sadier N, Sayegh B, Farah R, Abbas LA, Dweik R, Tang N, et al. Association between periodontal disease and cognitive impairment in adults. Int J Environ Res Public Health. 2023;20:4707. doi:10.3390/ijerph20064707.</w:t>
      </w:r>
    </w:p>
    <w:p w14:paraId="22D3F80E"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Dibello V, Custodero C, Cavalcanti R, Lafornara D, Dibello A, Lozupone M, et al. Impact of periodontal disease on cognitive disorders, dementia, and depression: a systematic review and meta-analysis. GeroScience. 2024;46(5):5133-5169. doi:10.1007/s11357-024-01243-8.</w:t>
      </w:r>
    </w:p>
    <w:p w14:paraId="1DD6C31F"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Fu YD, Li CL, Hu CL, Pei MD, Cai WY, Li YQ, et al. Meta analysis of the correlation between periodontal health and cognitive impairment in the older population. J Prev Alzheimers Dis. 2024;11. doi:10.14283/jpad.2024.87.</w:t>
      </w:r>
    </w:p>
    <w:p w14:paraId="6A24C85D"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Plachokova AS, Gjaltema J, Hagens ERC, Hashemi Z, Knüppe TBA, Kootstra TJM, et al. Periodontitis: a plausible modifiable risk factor for neurodegenerative diseases? A comprehensive review. Int J Mol Sci. 2024;25(8):4504. doi:10.3390/ijms25084504.</w:t>
      </w:r>
    </w:p>
    <w:p w14:paraId="26CD4BAF"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Villar A, Paladini S, Cossatis J. Periodontal disease and Alzheimer’s: insights from a systematic literature network analysis. J Prev Alzheimers Dis. 2024;11(4):1148-1165. doi:10.14283/jpad.2024.79.</w:t>
      </w:r>
    </w:p>
    <w:p w14:paraId="4B48D293"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Barbarisi A, Visconti V, Lauritano D, Cremonini F, Caccianiga G, Ceraulo S. Correlation between periodontitis and onset of Alzheimer’s disease: a literature review. Dent J. 2024;12(10):331. doi:10.3390/dj12100331.</w:t>
      </w:r>
    </w:p>
    <w:p w14:paraId="243B61C9"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Erlianti CP, Trihandini I. Factors associated with cognitive impairment among Indonesian older adults. Aging Med Healthc. 2024;15(3):105-113. doi:10.33879/AMH.153.2022.05048.</w:t>
      </w:r>
    </w:p>
    <w:p w14:paraId="3E63FD38"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van der Ploeg ES, Handajani YS, Schröder-Butterfill E. Dementia care in Indonesia: care networks, awareness &amp; perception. J Cross Cult Gerontol. 2025;40(4):441-461. doi:10.1007/s10823-025-09544-x.</w:t>
      </w:r>
    </w:p>
    <w:p w14:paraId="3793E4CE"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Page MJ, McKenzie JE, Bossuyt PM, Boutron I, Hoffmann TC, Mulrow CD, et al. The PRISMA 2020 statement: an updated guideline for reporting systematic reviews. BMJ. 2021;372:n71. doi:10.1136/bmj.n71.</w:t>
      </w:r>
    </w:p>
    <w:p w14:paraId="45DEC3E0"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lastRenderedPageBreak/>
        <w:t>Higgins JPT, Thomas J, Chandler J, Cumpston M, Li T, Page MJ, et al, editors. Cochrane handbook for systematic reviews of interventions. Version 6.5. Cochrane; 2024. Available from: https://training.cochrane.org/handbook</w:t>
      </w:r>
    </w:p>
    <w:p w14:paraId="2F9CC2BD"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Chen CK, Wu YT, Chang YC. Association between chronic periodontitis and the risk of Alzheimer’s disease: a retrospective, population-based, matched-cohort study. Alzheimers Res Ther. 2017;9:56. doi:10.1186/s13195-017-0282-6.</w:t>
      </w:r>
    </w:p>
    <w:p w14:paraId="376087C8"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Lee YT, Lee HC, Hu CJ, Huang LK, Chao SP, Lin CP, Su ECY, et al. Periodontitis as a modifiable risk factor for dementia: a nationwide population-based cohort study. J Am Geriatr Soc. 2017;65(2):301-305. doi:10.1111/jgs.14449.</w:t>
      </w:r>
    </w:p>
    <w:p w14:paraId="7789907D"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Lee YL, Hu HY, Huang LY, Chou P, Chu DK. Periodontal disease associated with higher risk of dementia: population-based cohort study in Taiwan. J Am Geriatr Soc. 2017;65(9):1975-1980. doi:10.1111/jgs.14944.</w:t>
      </w:r>
    </w:p>
    <w:p w14:paraId="6346A968"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Choi S, Kim K, Chang J, Kim SM, Kim SJ, Cho HJ, et al. Association of chronic periodontitis on Alzheimer’s disease or vascular dementia. J Am Geriatr Soc. 2019;67(6):1234-1239. doi:10.1111/jgs.15828.</w:t>
      </w:r>
    </w:p>
    <w:p w14:paraId="25ED369E"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Sung CE, Huang RY, Cheng WC, Kao TW, Chen WL. Association between periodontitis and cognitive impairment: analysis of National Health and Nutrition Examination Survey III. J Clin Periodontol. 2019;46(8):790-798. doi:10.1111/jcpe.13155.</w:t>
      </w:r>
    </w:p>
    <w:p w14:paraId="09127F9F"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Jeong E, Park JB, Park YG. Evaluation of the association between periodontitis and risk of Parkinson’s disease: a nationwide retrospective cohort study. Sci Rep. 2021;11:16594. doi:10.1038/s41598-021-96147-4.</w:t>
      </w:r>
    </w:p>
    <w:p w14:paraId="12DC8B2D"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Kim SR, Son M, Kim YR, Kang HK. Risk of dementia according to the severity of chronic periodontitis in Korea: a nationwide retrospective cohort study. Epidemiol Health. 2022;44:e2022077. doi:10.4178/epih.e2022077.</w:t>
      </w:r>
    </w:p>
    <w:p w14:paraId="7B5C2C83"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Luo H, Wu B, González HM, Stickel A, Kaste LM, Tarraf W, et al. Tooth loss, periodontal disease, and mild cognitive impairment among Hispanic/Latino immigrants: the moderating effects of age at immigration. J Gerontol A Biol Sci Med Sci. 2023;78(6):949-957. doi:10.1093/gerona/glac178.</w:t>
      </w:r>
    </w:p>
    <w:p w14:paraId="0478B690"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Igase M, Igase K, Hino S, Uchida D, Okada Y, Ochi M, et al. Association of periodontitis with mild cognitive impairment in older adults. J Aging Res Lifestyle. 2024;13:108-112. doi:10.14283/jarlife.2024.16.</w:t>
      </w:r>
    </w:p>
    <w:p w14:paraId="1D0C15E9"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Gil-Montoya JA, Gerez-Muñoz MJ, Triviño-Ibáñez E, Carrera-Muñoz I, Bravo M, Rashki M, et al. Periodontal disease and brain amyloid pathology in mild cognitive impairment. Neurologia. 2025;40(7):641-650. doi:10.1016/j.nrleng.2025.07.008.</w:t>
      </w:r>
    </w:p>
    <w:p w14:paraId="2E5B5044" w14:textId="77777777" w:rsid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Sun Q, Li M. Association between periodontitis and cognitive impairment in older adults: a cross-sectional study of the National Health and Nutrition Examination Survey. Clin Epidemiol Glob Health. 2025;33:102020. doi:10.1016/j.cegh.2025.102020.</w:t>
      </w:r>
    </w:p>
    <w:p w14:paraId="5E64D0AA" w14:textId="3C980E5E" w:rsidR="00CE7E55" w:rsidRPr="00CE7E55" w:rsidRDefault="00CE7E55" w:rsidP="00CE7E55">
      <w:pPr>
        <w:pStyle w:val="ListParagraph"/>
        <w:numPr>
          <w:ilvl w:val="0"/>
          <w:numId w:val="2"/>
        </w:numPr>
        <w:ind w:left="426" w:hanging="426"/>
        <w:jc w:val="both"/>
        <w:rPr>
          <w:rFonts w:ascii="Times New Roman" w:hAnsi="Times New Roman" w:cs="Times New Roman"/>
          <w:noProof/>
          <w:kern w:val="0"/>
          <w:sz w:val="24"/>
        </w:rPr>
      </w:pPr>
      <w:r w:rsidRPr="00CE7E55">
        <w:rPr>
          <w:rFonts w:ascii="Times New Roman" w:hAnsi="Times New Roman" w:cs="Times New Roman"/>
          <w:noProof/>
          <w:kern w:val="0"/>
          <w:sz w:val="24"/>
        </w:rPr>
        <w:t>Aranda Romo S, Garrocho-Rangel A, Marín González A, Cepeda-Bravo A, Jiménez-Capdeville ME, Ortega Rodríguez C, et al. Cognitive status and periodontitis: is there a correlation? A cross-sectional study. Dent Med Probl. 2025;62(4):591-600. doi:10.17219/dmp/177412.</w:t>
      </w:r>
      <w:r w:rsidRPr="00CE7E55">
        <w:rPr>
          <w:rFonts w:ascii="Times New Roman" w:hAnsi="Times New Roman" w:cs="Times New Roman"/>
          <w:noProof/>
          <w:kern w:val="0"/>
          <w:sz w:val="24"/>
          <w:szCs w:val="24"/>
        </w:rPr>
        <w:t xml:space="preserve"> </w:t>
      </w:r>
      <w:r w:rsidR="009431E0" w:rsidRPr="00CE7E55">
        <w:rPr>
          <w:rFonts w:ascii="Times New Roman" w:hAnsi="Times New Roman" w:cs="Times New Roman"/>
          <w:sz w:val="24"/>
          <w:szCs w:val="24"/>
        </w:rPr>
        <w:fldChar w:fldCharType="end"/>
      </w:r>
    </w:p>
    <w:p w14:paraId="38A21567" w14:textId="77777777" w:rsidR="00CE7E55" w:rsidRDefault="00CE7E55" w:rsidP="00CE7E55">
      <w:pPr>
        <w:jc w:val="both"/>
        <w:rPr>
          <w:rFonts w:ascii="Times New Roman" w:hAnsi="Times New Roman" w:cs="Times New Roman"/>
          <w:noProof/>
          <w:kern w:val="0"/>
          <w:sz w:val="24"/>
        </w:rPr>
      </w:pPr>
    </w:p>
    <w:p w14:paraId="45F478D7" w14:textId="77777777" w:rsidR="00CE7E55" w:rsidRPr="00CE7E55" w:rsidRDefault="00CE7E55" w:rsidP="00CE7E55">
      <w:pPr>
        <w:jc w:val="both"/>
        <w:rPr>
          <w:rFonts w:ascii="Times New Roman" w:hAnsi="Times New Roman" w:cs="Times New Roman"/>
          <w:b/>
          <w:bCs/>
          <w:noProof/>
          <w:kern w:val="0"/>
          <w:sz w:val="24"/>
        </w:rPr>
      </w:pPr>
      <w:r w:rsidRPr="00CE7E55">
        <w:rPr>
          <w:rFonts w:ascii="Times New Roman" w:hAnsi="Times New Roman" w:cs="Times New Roman"/>
          <w:b/>
          <w:bCs/>
          <w:noProof/>
          <w:kern w:val="0"/>
          <w:sz w:val="24"/>
        </w:rPr>
        <w:t>Tables</w:t>
      </w:r>
    </w:p>
    <w:p w14:paraId="4ECCB136" w14:textId="77777777" w:rsidR="00CE7E55" w:rsidRPr="00CE7E55" w:rsidRDefault="00CE7E55" w:rsidP="00CE7E55">
      <w:pPr>
        <w:jc w:val="both"/>
        <w:rPr>
          <w:rFonts w:ascii="Times New Roman" w:hAnsi="Times New Roman" w:cs="Times New Roman"/>
          <w:noProof/>
          <w:kern w:val="0"/>
          <w:sz w:val="24"/>
        </w:rPr>
      </w:pPr>
      <w:r w:rsidRPr="00CE7E55">
        <w:rPr>
          <w:rFonts w:ascii="Times New Roman" w:hAnsi="Times New Roman" w:cs="Times New Roman"/>
          <w:b/>
          <w:bCs/>
          <w:noProof/>
          <w:kern w:val="0"/>
          <w:sz w:val="24"/>
        </w:rPr>
        <w:t>Table 1.</w:t>
      </w:r>
      <w:r w:rsidRPr="00CE7E55">
        <w:rPr>
          <w:rFonts w:ascii="Times New Roman" w:hAnsi="Times New Roman" w:cs="Times New Roman"/>
          <w:noProof/>
          <w:kern w:val="0"/>
          <w:sz w:val="24"/>
        </w:rPr>
        <w:t xml:space="preserve"> Research PECO</w:t>
      </w:r>
    </w:p>
    <w:tbl>
      <w:tblPr>
        <w:tblW w:w="9067" w:type="dxa"/>
        <w:tblLook w:val="04A0" w:firstRow="1" w:lastRow="0" w:firstColumn="1" w:lastColumn="0" w:noHBand="0" w:noVBand="1"/>
      </w:tblPr>
      <w:tblGrid>
        <w:gridCol w:w="1563"/>
        <w:gridCol w:w="7504"/>
      </w:tblGrid>
      <w:tr w:rsidR="00CE7E55" w:rsidRPr="00CE7E55" w14:paraId="6F931020" w14:textId="77777777" w:rsidTr="00FA79AF">
        <w:trPr>
          <w:trHeight w:val="290"/>
        </w:trPr>
        <w:tc>
          <w:tcPr>
            <w:tcW w:w="1563" w:type="dxa"/>
            <w:tcBorders>
              <w:top w:val="single" w:sz="4" w:space="0" w:color="auto"/>
              <w:left w:val="single" w:sz="4" w:space="0" w:color="auto"/>
              <w:bottom w:val="single" w:sz="4" w:space="0" w:color="auto"/>
              <w:right w:val="single" w:sz="4" w:space="0" w:color="auto"/>
            </w:tcBorders>
            <w:noWrap/>
            <w:vAlign w:val="center"/>
            <w:hideMark/>
          </w:tcPr>
          <w:p w14:paraId="2626856F" w14:textId="77777777" w:rsidR="00CE7E55" w:rsidRPr="00CE7E55" w:rsidRDefault="00CE7E55" w:rsidP="00CE7E55">
            <w:pPr>
              <w:jc w:val="both"/>
              <w:rPr>
                <w:rFonts w:ascii="Times New Roman" w:hAnsi="Times New Roman" w:cs="Times New Roman"/>
                <w:b/>
                <w:bCs/>
                <w:noProof/>
                <w:kern w:val="0"/>
                <w:sz w:val="24"/>
              </w:rPr>
            </w:pPr>
            <w:r w:rsidRPr="00CE7E55">
              <w:rPr>
                <w:rFonts w:ascii="Times New Roman" w:hAnsi="Times New Roman" w:cs="Times New Roman"/>
                <w:b/>
                <w:bCs/>
                <w:noProof/>
                <w:kern w:val="0"/>
                <w:sz w:val="24"/>
              </w:rPr>
              <w:lastRenderedPageBreak/>
              <w:t>Component</w:t>
            </w:r>
          </w:p>
        </w:tc>
        <w:tc>
          <w:tcPr>
            <w:tcW w:w="7504" w:type="dxa"/>
            <w:tcBorders>
              <w:top w:val="single" w:sz="4" w:space="0" w:color="auto"/>
              <w:left w:val="nil"/>
              <w:bottom w:val="single" w:sz="4" w:space="0" w:color="auto"/>
              <w:right w:val="single" w:sz="4" w:space="0" w:color="auto"/>
            </w:tcBorders>
            <w:noWrap/>
            <w:vAlign w:val="center"/>
            <w:hideMark/>
          </w:tcPr>
          <w:p w14:paraId="2ED9AB72" w14:textId="77777777" w:rsidR="00CE7E55" w:rsidRPr="00CE7E55" w:rsidRDefault="00CE7E55" w:rsidP="00CE7E55">
            <w:pPr>
              <w:jc w:val="both"/>
              <w:rPr>
                <w:rFonts w:ascii="Times New Roman" w:hAnsi="Times New Roman" w:cs="Times New Roman"/>
                <w:b/>
                <w:bCs/>
                <w:noProof/>
                <w:kern w:val="0"/>
                <w:sz w:val="24"/>
              </w:rPr>
            </w:pPr>
            <w:r w:rsidRPr="00CE7E55">
              <w:rPr>
                <w:rFonts w:ascii="Times New Roman" w:hAnsi="Times New Roman" w:cs="Times New Roman"/>
                <w:b/>
                <w:bCs/>
                <w:noProof/>
                <w:kern w:val="0"/>
                <w:sz w:val="24"/>
              </w:rPr>
              <w:t>Description</w:t>
            </w:r>
          </w:p>
        </w:tc>
      </w:tr>
      <w:tr w:rsidR="00CE7E55" w:rsidRPr="00CE7E55" w14:paraId="0538FFE3" w14:textId="77777777" w:rsidTr="00FA79AF">
        <w:trPr>
          <w:trHeight w:val="290"/>
        </w:trPr>
        <w:tc>
          <w:tcPr>
            <w:tcW w:w="1563" w:type="dxa"/>
            <w:tcBorders>
              <w:top w:val="nil"/>
              <w:left w:val="single" w:sz="4" w:space="0" w:color="auto"/>
              <w:bottom w:val="single" w:sz="4" w:space="0" w:color="auto"/>
              <w:right w:val="single" w:sz="4" w:space="0" w:color="auto"/>
            </w:tcBorders>
            <w:noWrap/>
            <w:vAlign w:val="center"/>
            <w:hideMark/>
          </w:tcPr>
          <w:p w14:paraId="77DE820D" w14:textId="77777777" w:rsidR="00CE7E55" w:rsidRPr="00CE7E55" w:rsidRDefault="00CE7E55" w:rsidP="00CE7E55">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P (</w:t>
            </w:r>
            <w:r w:rsidRPr="00CE7E55">
              <w:rPr>
                <w:rFonts w:ascii="Times New Roman" w:hAnsi="Times New Roman" w:cs="Times New Roman"/>
                <w:i/>
                <w:iCs/>
                <w:noProof/>
                <w:kern w:val="0"/>
                <w:sz w:val="24"/>
              </w:rPr>
              <w:t>Population</w:t>
            </w:r>
            <w:r w:rsidRPr="00CE7E55">
              <w:rPr>
                <w:rFonts w:ascii="Times New Roman" w:hAnsi="Times New Roman" w:cs="Times New Roman"/>
                <w:noProof/>
                <w:kern w:val="0"/>
                <w:sz w:val="24"/>
              </w:rPr>
              <w:t>)</w:t>
            </w:r>
          </w:p>
        </w:tc>
        <w:tc>
          <w:tcPr>
            <w:tcW w:w="7504" w:type="dxa"/>
            <w:tcBorders>
              <w:top w:val="nil"/>
              <w:left w:val="nil"/>
              <w:bottom w:val="single" w:sz="4" w:space="0" w:color="auto"/>
              <w:right w:val="single" w:sz="4" w:space="0" w:color="auto"/>
            </w:tcBorders>
            <w:noWrap/>
            <w:vAlign w:val="center"/>
            <w:hideMark/>
          </w:tcPr>
          <w:p w14:paraId="2E301240" w14:textId="3FE1DD32" w:rsidR="00CE7E55" w:rsidRPr="00CE7E55" w:rsidRDefault="00511873" w:rsidP="00CE7E55">
            <w:pPr>
              <w:spacing w:after="0" w:line="240" w:lineRule="auto"/>
              <w:jc w:val="both"/>
              <w:rPr>
                <w:rFonts w:ascii="Times New Roman" w:hAnsi="Times New Roman" w:cs="Times New Roman"/>
                <w:noProof/>
                <w:kern w:val="0"/>
                <w:sz w:val="24"/>
              </w:rPr>
            </w:pPr>
            <w:r w:rsidRPr="00511873">
              <w:rPr>
                <w:rFonts w:ascii="Times New Roman" w:hAnsi="Times New Roman" w:cs="Times New Roman"/>
                <w:noProof/>
                <w:kern w:val="0"/>
                <w:sz w:val="24"/>
              </w:rPr>
              <w:t>Adult or older adult individuals whose periodontal status and cognitive or neurological status were assessed</w:t>
            </w:r>
            <w:r w:rsidR="00CE7E55" w:rsidRPr="00CE7E55">
              <w:rPr>
                <w:rFonts w:ascii="Times New Roman" w:hAnsi="Times New Roman" w:cs="Times New Roman"/>
                <w:noProof/>
                <w:kern w:val="0"/>
                <w:sz w:val="24"/>
              </w:rPr>
              <w:t>.</w:t>
            </w:r>
          </w:p>
        </w:tc>
      </w:tr>
      <w:tr w:rsidR="00CE7E55" w:rsidRPr="00CE7E55" w14:paraId="4F7D281A" w14:textId="77777777" w:rsidTr="00FA79AF">
        <w:trPr>
          <w:trHeight w:val="290"/>
        </w:trPr>
        <w:tc>
          <w:tcPr>
            <w:tcW w:w="1563" w:type="dxa"/>
            <w:tcBorders>
              <w:top w:val="nil"/>
              <w:left w:val="single" w:sz="4" w:space="0" w:color="auto"/>
              <w:bottom w:val="single" w:sz="4" w:space="0" w:color="auto"/>
              <w:right w:val="single" w:sz="4" w:space="0" w:color="auto"/>
            </w:tcBorders>
            <w:noWrap/>
            <w:vAlign w:val="center"/>
            <w:hideMark/>
          </w:tcPr>
          <w:p w14:paraId="76BD6ABF" w14:textId="77777777" w:rsidR="00CE7E55" w:rsidRPr="00CE7E55" w:rsidRDefault="00CE7E55" w:rsidP="00CE7E55">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E (</w:t>
            </w:r>
            <w:r w:rsidRPr="00CE7E55">
              <w:rPr>
                <w:rFonts w:ascii="Times New Roman" w:hAnsi="Times New Roman" w:cs="Times New Roman"/>
                <w:i/>
                <w:iCs/>
                <w:noProof/>
                <w:kern w:val="0"/>
                <w:sz w:val="24"/>
              </w:rPr>
              <w:t>Exposure</w:t>
            </w:r>
            <w:r w:rsidRPr="00CE7E55">
              <w:rPr>
                <w:rFonts w:ascii="Times New Roman" w:hAnsi="Times New Roman" w:cs="Times New Roman"/>
                <w:noProof/>
                <w:kern w:val="0"/>
                <w:sz w:val="24"/>
              </w:rPr>
              <w:t>)</w:t>
            </w:r>
          </w:p>
        </w:tc>
        <w:tc>
          <w:tcPr>
            <w:tcW w:w="7504" w:type="dxa"/>
            <w:tcBorders>
              <w:top w:val="nil"/>
              <w:left w:val="nil"/>
              <w:bottom w:val="single" w:sz="4" w:space="0" w:color="auto"/>
              <w:right w:val="single" w:sz="4" w:space="0" w:color="auto"/>
            </w:tcBorders>
            <w:noWrap/>
            <w:vAlign w:val="center"/>
            <w:hideMark/>
          </w:tcPr>
          <w:p w14:paraId="5BB525EF" w14:textId="128F4A27" w:rsidR="00CE7E55" w:rsidRPr="00CE7E55" w:rsidRDefault="00511873" w:rsidP="00CE7E55">
            <w:pPr>
              <w:spacing w:after="0" w:line="240" w:lineRule="auto"/>
              <w:jc w:val="both"/>
              <w:rPr>
                <w:rFonts w:ascii="Times New Roman" w:hAnsi="Times New Roman" w:cs="Times New Roman"/>
                <w:noProof/>
                <w:kern w:val="0"/>
                <w:sz w:val="24"/>
              </w:rPr>
            </w:pPr>
            <w:r w:rsidRPr="00511873">
              <w:rPr>
                <w:rFonts w:ascii="Times New Roman" w:hAnsi="Times New Roman" w:cs="Times New Roman"/>
                <w:noProof/>
                <w:kern w:val="0"/>
                <w:sz w:val="24"/>
              </w:rPr>
              <w:t>Periodontitis or periodontal disease, including clinical diagnosis, clinical attachment loss, probing pocket depth, bleeding on probing, alveolar bone loss, periodontal treatment status, or other periodontal indicators reported in the included studies. These exposure definitions were considered heterogeneous</w:t>
            </w:r>
            <w:r w:rsidR="00CE7E55" w:rsidRPr="00CE7E55">
              <w:rPr>
                <w:rFonts w:ascii="Times New Roman" w:hAnsi="Times New Roman" w:cs="Times New Roman"/>
                <w:noProof/>
                <w:kern w:val="0"/>
                <w:sz w:val="24"/>
              </w:rPr>
              <w:t>.</w:t>
            </w:r>
          </w:p>
        </w:tc>
      </w:tr>
      <w:tr w:rsidR="00CE7E55" w:rsidRPr="00CE7E55" w14:paraId="09D59795" w14:textId="77777777" w:rsidTr="00FA79AF">
        <w:trPr>
          <w:trHeight w:val="290"/>
        </w:trPr>
        <w:tc>
          <w:tcPr>
            <w:tcW w:w="1563" w:type="dxa"/>
            <w:tcBorders>
              <w:top w:val="nil"/>
              <w:left w:val="single" w:sz="4" w:space="0" w:color="auto"/>
              <w:bottom w:val="single" w:sz="4" w:space="0" w:color="auto"/>
              <w:right w:val="single" w:sz="4" w:space="0" w:color="auto"/>
            </w:tcBorders>
            <w:noWrap/>
            <w:vAlign w:val="center"/>
            <w:hideMark/>
          </w:tcPr>
          <w:p w14:paraId="0F7844F7" w14:textId="77777777" w:rsidR="00CE7E55" w:rsidRPr="00CE7E55" w:rsidRDefault="00CE7E55" w:rsidP="00CE7E55">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C (</w:t>
            </w:r>
            <w:r w:rsidRPr="00CE7E55">
              <w:rPr>
                <w:rFonts w:ascii="Times New Roman" w:hAnsi="Times New Roman" w:cs="Times New Roman"/>
                <w:i/>
                <w:iCs/>
                <w:noProof/>
                <w:kern w:val="0"/>
                <w:sz w:val="24"/>
              </w:rPr>
              <w:t>Comparison</w:t>
            </w:r>
            <w:r w:rsidRPr="00CE7E55">
              <w:rPr>
                <w:rFonts w:ascii="Times New Roman" w:hAnsi="Times New Roman" w:cs="Times New Roman"/>
                <w:noProof/>
                <w:kern w:val="0"/>
                <w:sz w:val="24"/>
              </w:rPr>
              <w:t>)</w:t>
            </w:r>
          </w:p>
        </w:tc>
        <w:tc>
          <w:tcPr>
            <w:tcW w:w="7504" w:type="dxa"/>
            <w:tcBorders>
              <w:top w:val="nil"/>
              <w:left w:val="nil"/>
              <w:bottom w:val="single" w:sz="4" w:space="0" w:color="auto"/>
              <w:right w:val="single" w:sz="4" w:space="0" w:color="auto"/>
            </w:tcBorders>
            <w:noWrap/>
            <w:vAlign w:val="center"/>
            <w:hideMark/>
          </w:tcPr>
          <w:p w14:paraId="13FA7134" w14:textId="03C088CB" w:rsidR="00CE7E55" w:rsidRPr="00CE7E55" w:rsidRDefault="00511873" w:rsidP="00CE7E55">
            <w:pPr>
              <w:spacing w:after="0" w:line="240" w:lineRule="auto"/>
              <w:jc w:val="both"/>
              <w:rPr>
                <w:rFonts w:ascii="Times New Roman" w:hAnsi="Times New Roman" w:cs="Times New Roman"/>
                <w:noProof/>
                <w:kern w:val="0"/>
                <w:sz w:val="24"/>
              </w:rPr>
            </w:pPr>
            <w:r w:rsidRPr="00511873">
              <w:rPr>
                <w:rFonts w:ascii="Times New Roman" w:hAnsi="Times New Roman" w:cs="Times New Roman"/>
                <w:noProof/>
                <w:kern w:val="0"/>
                <w:sz w:val="24"/>
              </w:rPr>
              <w:t>Individuals without periodontitis, individuals with less severe periodontal disease, individuals with better periodontal health, or reference groups defined in the original studies. These comparison groups were not identical across studies</w:t>
            </w:r>
            <w:r w:rsidR="00CE7E55" w:rsidRPr="00CE7E55">
              <w:rPr>
                <w:rFonts w:ascii="Times New Roman" w:hAnsi="Times New Roman" w:cs="Times New Roman"/>
                <w:noProof/>
                <w:kern w:val="0"/>
                <w:sz w:val="24"/>
              </w:rPr>
              <w:t>.</w:t>
            </w:r>
          </w:p>
        </w:tc>
      </w:tr>
      <w:tr w:rsidR="00CE7E55" w:rsidRPr="00CE7E55" w14:paraId="3C4B757D" w14:textId="77777777" w:rsidTr="00FA79AF">
        <w:trPr>
          <w:trHeight w:val="290"/>
        </w:trPr>
        <w:tc>
          <w:tcPr>
            <w:tcW w:w="1563" w:type="dxa"/>
            <w:tcBorders>
              <w:top w:val="nil"/>
              <w:left w:val="single" w:sz="4" w:space="0" w:color="auto"/>
              <w:bottom w:val="single" w:sz="4" w:space="0" w:color="auto"/>
              <w:right w:val="single" w:sz="4" w:space="0" w:color="auto"/>
            </w:tcBorders>
            <w:noWrap/>
            <w:vAlign w:val="center"/>
            <w:hideMark/>
          </w:tcPr>
          <w:p w14:paraId="6224F1BD" w14:textId="77777777" w:rsidR="00CE7E55" w:rsidRPr="00CE7E55" w:rsidRDefault="00CE7E55" w:rsidP="00CE7E55">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O (</w:t>
            </w:r>
            <w:r w:rsidRPr="00CE7E55">
              <w:rPr>
                <w:rFonts w:ascii="Times New Roman" w:hAnsi="Times New Roman" w:cs="Times New Roman"/>
                <w:i/>
                <w:iCs/>
                <w:noProof/>
                <w:kern w:val="0"/>
                <w:sz w:val="24"/>
              </w:rPr>
              <w:t>Outcome</w:t>
            </w:r>
            <w:r w:rsidRPr="00CE7E55">
              <w:rPr>
                <w:rFonts w:ascii="Times New Roman" w:hAnsi="Times New Roman" w:cs="Times New Roman"/>
                <w:noProof/>
                <w:kern w:val="0"/>
                <w:sz w:val="24"/>
              </w:rPr>
              <w:t>)</w:t>
            </w:r>
          </w:p>
        </w:tc>
        <w:tc>
          <w:tcPr>
            <w:tcW w:w="7504" w:type="dxa"/>
            <w:tcBorders>
              <w:top w:val="nil"/>
              <w:left w:val="nil"/>
              <w:bottom w:val="single" w:sz="4" w:space="0" w:color="auto"/>
              <w:right w:val="single" w:sz="4" w:space="0" w:color="auto"/>
            </w:tcBorders>
            <w:noWrap/>
            <w:vAlign w:val="center"/>
            <w:hideMark/>
          </w:tcPr>
          <w:p w14:paraId="3E5ACBDB" w14:textId="77777777" w:rsidR="00CE7E55" w:rsidRPr="00CE7E55" w:rsidRDefault="00CE7E55" w:rsidP="00CE7E55">
            <w:pPr>
              <w:spacing w:after="0" w:line="240" w:lineRule="auto"/>
              <w:jc w:val="both"/>
              <w:rPr>
                <w:rFonts w:ascii="Times New Roman" w:hAnsi="Times New Roman" w:cs="Times New Roman"/>
                <w:i/>
                <w:iCs/>
                <w:noProof/>
                <w:kern w:val="0"/>
                <w:sz w:val="24"/>
              </w:rPr>
            </w:pPr>
            <w:r w:rsidRPr="00CE7E55">
              <w:rPr>
                <w:rFonts w:ascii="Times New Roman" w:hAnsi="Times New Roman" w:cs="Times New Roman"/>
                <w:noProof/>
                <w:kern w:val="0"/>
                <w:sz w:val="24"/>
              </w:rPr>
              <w:t>Cognitive impairment, mild cognitive impairment, cognitive decline, dementia, Alzheimer’s disease, Parkinson’s disease, and other neurodegenerative diseases assessed through clinical diagnosis, registry data, medical records, or standardized cognitive instruments.</w:t>
            </w:r>
          </w:p>
        </w:tc>
      </w:tr>
    </w:tbl>
    <w:p w14:paraId="6F5200FE" w14:textId="77777777" w:rsidR="00CE7E55" w:rsidRPr="00CE7E55" w:rsidRDefault="00CE7E55" w:rsidP="00CE7E55">
      <w:pPr>
        <w:jc w:val="both"/>
        <w:rPr>
          <w:rFonts w:ascii="Times New Roman" w:hAnsi="Times New Roman" w:cs="Times New Roman"/>
          <w:noProof/>
          <w:kern w:val="0"/>
          <w:sz w:val="24"/>
        </w:rPr>
      </w:pPr>
    </w:p>
    <w:p w14:paraId="37FD0610" w14:textId="77777777" w:rsidR="00CE7E55" w:rsidRPr="00CE7E55" w:rsidRDefault="00CE7E55" w:rsidP="00CE7E55">
      <w:pPr>
        <w:jc w:val="both"/>
        <w:rPr>
          <w:rFonts w:ascii="Times New Roman" w:hAnsi="Times New Roman" w:cs="Times New Roman"/>
          <w:noProof/>
          <w:kern w:val="0"/>
          <w:sz w:val="24"/>
        </w:rPr>
      </w:pPr>
      <w:r w:rsidRPr="00CE7E55">
        <w:rPr>
          <w:rFonts w:ascii="Times New Roman" w:hAnsi="Times New Roman" w:cs="Times New Roman"/>
          <w:b/>
          <w:bCs/>
          <w:noProof/>
          <w:kern w:val="0"/>
          <w:sz w:val="24"/>
        </w:rPr>
        <w:t>Table 2.</w:t>
      </w:r>
      <w:r w:rsidRPr="00CE7E55">
        <w:rPr>
          <w:rFonts w:ascii="Times New Roman" w:hAnsi="Times New Roman" w:cs="Times New Roman"/>
          <w:noProof/>
          <w:kern w:val="0"/>
          <w:sz w:val="24"/>
        </w:rPr>
        <w:t xml:space="preserve"> Number of articles based on search databases</w:t>
      </w:r>
    </w:p>
    <w:tbl>
      <w:tblPr>
        <w:tblW w:w="9351" w:type="dxa"/>
        <w:tblLayout w:type="fixed"/>
        <w:tblLook w:val="04A0" w:firstRow="1" w:lastRow="0" w:firstColumn="1" w:lastColumn="0" w:noHBand="0" w:noVBand="1"/>
      </w:tblPr>
      <w:tblGrid>
        <w:gridCol w:w="1271"/>
        <w:gridCol w:w="6662"/>
        <w:gridCol w:w="1418"/>
      </w:tblGrid>
      <w:tr w:rsidR="00CE7E55" w:rsidRPr="00CE7E55" w14:paraId="4B24DDE6" w14:textId="77777777" w:rsidTr="0059166D">
        <w:trPr>
          <w:trHeight w:val="290"/>
        </w:trPr>
        <w:tc>
          <w:tcPr>
            <w:tcW w:w="1271" w:type="dxa"/>
            <w:tcBorders>
              <w:top w:val="single" w:sz="4" w:space="0" w:color="auto"/>
              <w:left w:val="single" w:sz="4" w:space="0" w:color="auto"/>
              <w:bottom w:val="single" w:sz="4" w:space="0" w:color="auto"/>
              <w:right w:val="single" w:sz="4" w:space="0" w:color="auto"/>
            </w:tcBorders>
            <w:noWrap/>
            <w:vAlign w:val="center"/>
            <w:hideMark/>
          </w:tcPr>
          <w:p w14:paraId="13E1FBE8" w14:textId="77777777" w:rsidR="00CE7E55" w:rsidRPr="00CE7E55" w:rsidRDefault="00CE7E55" w:rsidP="0059166D">
            <w:pPr>
              <w:spacing w:after="0" w:line="240" w:lineRule="auto"/>
              <w:jc w:val="center"/>
              <w:rPr>
                <w:rFonts w:ascii="Times New Roman" w:hAnsi="Times New Roman" w:cs="Times New Roman"/>
                <w:b/>
                <w:bCs/>
                <w:noProof/>
                <w:kern w:val="0"/>
                <w:sz w:val="24"/>
              </w:rPr>
            </w:pPr>
            <w:r w:rsidRPr="00CE7E55">
              <w:rPr>
                <w:rFonts w:ascii="Times New Roman" w:hAnsi="Times New Roman" w:cs="Times New Roman"/>
                <w:b/>
                <w:bCs/>
                <w:noProof/>
                <w:kern w:val="0"/>
                <w:sz w:val="24"/>
              </w:rPr>
              <w:t>Database</w:t>
            </w:r>
          </w:p>
        </w:tc>
        <w:tc>
          <w:tcPr>
            <w:tcW w:w="6662" w:type="dxa"/>
            <w:tcBorders>
              <w:top w:val="single" w:sz="4" w:space="0" w:color="auto"/>
              <w:left w:val="nil"/>
              <w:bottom w:val="single" w:sz="4" w:space="0" w:color="auto"/>
              <w:right w:val="single" w:sz="4" w:space="0" w:color="auto"/>
            </w:tcBorders>
            <w:noWrap/>
            <w:vAlign w:val="center"/>
            <w:hideMark/>
          </w:tcPr>
          <w:p w14:paraId="5F89AD20" w14:textId="77777777" w:rsidR="00CE7E55" w:rsidRPr="00CE7E55" w:rsidRDefault="00CE7E55" w:rsidP="0059166D">
            <w:pPr>
              <w:spacing w:after="0" w:line="240" w:lineRule="auto"/>
              <w:jc w:val="center"/>
              <w:rPr>
                <w:rFonts w:ascii="Times New Roman" w:hAnsi="Times New Roman" w:cs="Times New Roman"/>
                <w:b/>
                <w:bCs/>
                <w:noProof/>
                <w:kern w:val="0"/>
                <w:sz w:val="24"/>
              </w:rPr>
            </w:pPr>
            <w:r w:rsidRPr="00CE7E55">
              <w:rPr>
                <w:rFonts w:ascii="Times New Roman" w:hAnsi="Times New Roman" w:cs="Times New Roman"/>
                <w:b/>
                <w:bCs/>
                <w:noProof/>
                <w:kern w:val="0"/>
                <w:sz w:val="24"/>
              </w:rPr>
              <w:t>Keyword</w:t>
            </w:r>
          </w:p>
        </w:tc>
        <w:tc>
          <w:tcPr>
            <w:tcW w:w="1418" w:type="dxa"/>
            <w:tcBorders>
              <w:top w:val="single" w:sz="4" w:space="0" w:color="auto"/>
              <w:left w:val="nil"/>
              <w:bottom w:val="single" w:sz="4" w:space="0" w:color="auto"/>
              <w:right w:val="single" w:sz="4" w:space="0" w:color="auto"/>
            </w:tcBorders>
            <w:noWrap/>
            <w:vAlign w:val="center"/>
            <w:hideMark/>
          </w:tcPr>
          <w:p w14:paraId="3FC38728" w14:textId="77777777" w:rsidR="00CE7E55" w:rsidRPr="00CE7E55" w:rsidRDefault="00CE7E55" w:rsidP="0059166D">
            <w:pPr>
              <w:spacing w:after="0" w:line="240" w:lineRule="auto"/>
              <w:jc w:val="center"/>
              <w:rPr>
                <w:rFonts w:ascii="Times New Roman" w:hAnsi="Times New Roman" w:cs="Times New Roman"/>
                <w:b/>
                <w:bCs/>
                <w:noProof/>
                <w:kern w:val="0"/>
                <w:sz w:val="24"/>
              </w:rPr>
            </w:pPr>
            <w:r w:rsidRPr="00CE7E55">
              <w:rPr>
                <w:rFonts w:ascii="Times New Roman" w:hAnsi="Times New Roman" w:cs="Times New Roman"/>
                <w:b/>
                <w:bCs/>
                <w:noProof/>
                <w:kern w:val="0"/>
                <w:sz w:val="24"/>
              </w:rPr>
              <w:t>Number of Articles</w:t>
            </w:r>
          </w:p>
        </w:tc>
      </w:tr>
      <w:tr w:rsidR="00CE7E55" w:rsidRPr="00CE7E55" w14:paraId="706FBE51" w14:textId="77777777" w:rsidTr="0059166D">
        <w:trPr>
          <w:trHeight w:val="290"/>
        </w:trPr>
        <w:tc>
          <w:tcPr>
            <w:tcW w:w="1271" w:type="dxa"/>
            <w:tcBorders>
              <w:top w:val="nil"/>
              <w:left w:val="single" w:sz="4" w:space="0" w:color="auto"/>
              <w:bottom w:val="single" w:sz="4" w:space="0" w:color="auto"/>
              <w:right w:val="single" w:sz="4" w:space="0" w:color="auto"/>
            </w:tcBorders>
            <w:noWrap/>
            <w:vAlign w:val="center"/>
            <w:hideMark/>
          </w:tcPr>
          <w:p w14:paraId="6061AE9F"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PubMed/MEDLINE</w:t>
            </w:r>
          </w:p>
        </w:tc>
        <w:tc>
          <w:tcPr>
            <w:tcW w:w="6662" w:type="dxa"/>
            <w:tcBorders>
              <w:top w:val="nil"/>
              <w:left w:val="nil"/>
              <w:bottom w:val="single" w:sz="4" w:space="0" w:color="auto"/>
              <w:right w:val="single" w:sz="4" w:space="0" w:color="auto"/>
            </w:tcBorders>
            <w:noWrap/>
            <w:vAlign w:val="center"/>
            <w:hideMark/>
          </w:tcPr>
          <w:p w14:paraId="1E750373" w14:textId="39349E9C" w:rsidR="00CE7E55" w:rsidRPr="00CE7E55" w:rsidRDefault="00CE7E55" w:rsidP="0059166D">
            <w:pPr>
              <w:spacing w:after="0" w:line="240" w:lineRule="auto"/>
              <w:jc w:val="both"/>
              <w:rPr>
                <w:rFonts w:ascii="Times New Roman" w:hAnsi="Times New Roman" w:cs="Times New Roman"/>
                <w:noProof/>
                <w:kern w:val="0"/>
                <w:sz w:val="24"/>
              </w:rPr>
            </w:pPr>
            <w:r w:rsidRPr="00CE7E55">
              <w:rPr>
                <w:rFonts w:ascii="Times New Roman" w:hAnsi="Times New Roman" w:cs="Times New Roman"/>
                <w:noProof/>
                <w:kern w:val="0"/>
                <w:sz w:val="24"/>
              </w:rPr>
              <w:t>(“periodontitis” OR “periodontal disease” OR “periodontal health” OR “clinical attachment loss” OR “probing pocket depth” OR “alveolar bone loss” OR “tooth loss”) AND (“cognitive impairment” OR “cognitive decline” OR “mild cognitive impairment” OR dementia OR “Alzheimer disease” OR “Parkinson disease” OR “neurodegenerative disease”) AND (“</w:t>
            </w:r>
            <w:r w:rsidR="00735F64" w:rsidRPr="00735F64">
              <w:rPr>
                <w:rFonts w:ascii="Times New Roman" w:hAnsi="Times New Roman" w:cs="Times New Roman"/>
                <w:noProof/>
                <w:kern w:val="0"/>
                <w:sz w:val="24"/>
              </w:rPr>
              <w:t>odds ratio” OR “hazard ratio” OR “confidence interval” OR “p-value” OR association</w:t>
            </w:r>
            <w:r w:rsidRPr="00CE7E55">
              <w:rPr>
                <w:rFonts w:ascii="Times New Roman" w:hAnsi="Times New Roman" w:cs="Times New Roman"/>
                <w:noProof/>
                <w:kern w:val="0"/>
                <w:sz w:val="24"/>
              </w:rPr>
              <w:t>)</w:t>
            </w:r>
          </w:p>
        </w:tc>
        <w:tc>
          <w:tcPr>
            <w:tcW w:w="1418" w:type="dxa"/>
            <w:tcBorders>
              <w:top w:val="nil"/>
              <w:left w:val="nil"/>
              <w:bottom w:val="single" w:sz="4" w:space="0" w:color="auto"/>
              <w:right w:val="single" w:sz="4" w:space="0" w:color="auto"/>
            </w:tcBorders>
            <w:noWrap/>
            <w:vAlign w:val="center"/>
            <w:hideMark/>
          </w:tcPr>
          <w:p w14:paraId="0A1205A8"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124</w:t>
            </w:r>
          </w:p>
        </w:tc>
      </w:tr>
      <w:tr w:rsidR="00CE7E55" w:rsidRPr="00CE7E55" w14:paraId="58E5CDD1" w14:textId="77777777" w:rsidTr="0059166D">
        <w:trPr>
          <w:trHeight w:val="290"/>
        </w:trPr>
        <w:tc>
          <w:tcPr>
            <w:tcW w:w="1271" w:type="dxa"/>
            <w:tcBorders>
              <w:top w:val="nil"/>
              <w:left w:val="single" w:sz="4" w:space="0" w:color="auto"/>
              <w:bottom w:val="single" w:sz="4" w:space="0" w:color="auto"/>
              <w:right w:val="single" w:sz="4" w:space="0" w:color="auto"/>
            </w:tcBorders>
            <w:noWrap/>
            <w:vAlign w:val="center"/>
            <w:hideMark/>
          </w:tcPr>
          <w:p w14:paraId="09E523CA"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Scopus</w:t>
            </w:r>
          </w:p>
        </w:tc>
        <w:tc>
          <w:tcPr>
            <w:tcW w:w="6662" w:type="dxa"/>
            <w:tcBorders>
              <w:top w:val="nil"/>
              <w:left w:val="nil"/>
              <w:bottom w:val="single" w:sz="4" w:space="0" w:color="auto"/>
              <w:right w:val="single" w:sz="4" w:space="0" w:color="auto"/>
            </w:tcBorders>
            <w:noWrap/>
            <w:vAlign w:val="center"/>
            <w:hideMark/>
          </w:tcPr>
          <w:p w14:paraId="369AA153" w14:textId="77777777" w:rsidR="00CE7E55" w:rsidRPr="00CE7E55" w:rsidRDefault="00CE7E55" w:rsidP="0059166D">
            <w:pPr>
              <w:spacing w:after="0" w:line="240" w:lineRule="auto"/>
              <w:jc w:val="both"/>
              <w:rPr>
                <w:rFonts w:ascii="Times New Roman" w:hAnsi="Times New Roman" w:cs="Times New Roman"/>
                <w:noProof/>
                <w:kern w:val="0"/>
                <w:sz w:val="24"/>
              </w:rPr>
            </w:pPr>
            <w:r w:rsidRPr="00CE7E55">
              <w:rPr>
                <w:rFonts w:ascii="Times New Roman" w:hAnsi="Times New Roman" w:cs="Times New Roman"/>
                <w:noProof/>
                <w:kern w:val="0"/>
                <w:sz w:val="24"/>
              </w:rPr>
              <w:t>TITLE-ABS-KEY (“periodontitis” OR “periodontal disease” OR “periodontal health” OR “tooth loss” OR “alveolar bone loss”) AND TITLE-ABS-KEY (“cognitive impairment” OR “cognitive decline” OR dementia OR “Alzheimer disease” OR “Parkinson disease” OR “neurodegenerative disease”) AND TITLE-ABS-KEY (“odds ratio” OR “confidence interval” OR association OR “risk factor”) AND PUBYEAR &gt; 2016</w:t>
            </w:r>
          </w:p>
        </w:tc>
        <w:tc>
          <w:tcPr>
            <w:tcW w:w="1418" w:type="dxa"/>
            <w:tcBorders>
              <w:top w:val="nil"/>
              <w:left w:val="nil"/>
              <w:bottom w:val="single" w:sz="4" w:space="0" w:color="auto"/>
              <w:right w:val="single" w:sz="4" w:space="0" w:color="auto"/>
            </w:tcBorders>
            <w:noWrap/>
            <w:vAlign w:val="center"/>
            <w:hideMark/>
          </w:tcPr>
          <w:p w14:paraId="652BB5AE"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156</w:t>
            </w:r>
          </w:p>
        </w:tc>
      </w:tr>
      <w:tr w:rsidR="00CE7E55" w:rsidRPr="00CE7E55" w14:paraId="17636DD9" w14:textId="77777777" w:rsidTr="0059166D">
        <w:trPr>
          <w:trHeight w:val="290"/>
        </w:trPr>
        <w:tc>
          <w:tcPr>
            <w:tcW w:w="1271" w:type="dxa"/>
            <w:tcBorders>
              <w:top w:val="nil"/>
              <w:left w:val="single" w:sz="4" w:space="0" w:color="auto"/>
              <w:bottom w:val="single" w:sz="4" w:space="0" w:color="auto"/>
              <w:right w:val="single" w:sz="4" w:space="0" w:color="auto"/>
            </w:tcBorders>
            <w:noWrap/>
            <w:vAlign w:val="center"/>
            <w:hideMark/>
          </w:tcPr>
          <w:p w14:paraId="0315C390"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Web of Science</w:t>
            </w:r>
          </w:p>
        </w:tc>
        <w:tc>
          <w:tcPr>
            <w:tcW w:w="6662" w:type="dxa"/>
            <w:tcBorders>
              <w:top w:val="nil"/>
              <w:left w:val="nil"/>
              <w:bottom w:val="single" w:sz="4" w:space="0" w:color="auto"/>
              <w:right w:val="single" w:sz="4" w:space="0" w:color="auto"/>
            </w:tcBorders>
            <w:noWrap/>
            <w:vAlign w:val="center"/>
            <w:hideMark/>
          </w:tcPr>
          <w:p w14:paraId="74FC2FB8" w14:textId="77777777" w:rsidR="00CE7E55" w:rsidRPr="00CE7E55" w:rsidRDefault="00CE7E55" w:rsidP="0059166D">
            <w:pPr>
              <w:spacing w:after="0" w:line="240" w:lineRule="auto"/>
              <w:jc w:val="both"/>
              <w:rPr>
                <w:rFonts w:ascii="Times New Roman" w:hAnsi="Times New Roman" w:cs="Times New Roman"/>
                <w:noProof/>
                <w:kern w:val="0"/>
                <w:sz w:val="24"/>
              </w:rPr>
            </w:pPr>
            <w:r w:rsidRPr="00CE7E55">
              <w:rPr>
                <w:rFonts w:ascii="Times New Roman" w:hAnsi="Times New Roman" w:cs="Times New Roman"/>
                <w:noProof/>
                <w:kern w:val="0"/>
                <w:sz w:val="24"/>
              </w:rPr>
              <w:t>TS=(“periodontitis” OR “periodontal disease” OR “periodontal health” OR “clinical attachment loss” OR “probing pocket depth” OR “tooth loss”) AND TS=(“cognitive impairment” OR “cognitive decline” OR dementia OR “Alzheimer disease” OR “Parkinson disease” OR “neurodegenerative disease”) AND TS=(“odds ratio” OR “confidence interval” OR association OR “risk factor”)</w:t>
            </w:r>
          </w:p>
        </w:tc>
        <w:tc>
          <w:tcPr>
            <w:tcW w:w="1418" w:type="dxa"/>
            <w:tcBorders>
              <w:top w:val="nil"/>
              <w:left w:val="nil"/>
              <w:bottom w:val="single" w:sz="4" w:space="0" w:color="auto"/>
              <w:right w:val="single" w:sz="4" w:space="0" w:color="auto"/>
            </w:tcBorders>
            <w:noWrap/>
            <w:vAlign w:val="center"/>
            <w:hideMark/>
          </w:tcPr>
          <w:p w14:paraId="09BF9FD5" w14:textId="77777777" w:rsidR="00CE7E55" w:rsidRPr="00CE7E55" w:rsidRDefault="00CE7E55" w:rsidP="0059166D">
            <w:pPr>
              <w:spacing w:after="0" w:line="240" w:lineRule="auto"/>
              <w:jc w:val="center"/>
              <w:rPr>
                <w:rFonts w:ascii="Times New Roman" w:hAnsi="Times New Roman" w:cs="Times New Roman"/>
                <w:noProof/>
                <w:kern w:val="0"/>
                <w:sz w:val="24"/>
              </w:rPr>
            </w:pPr>
            <w:r w:rsidRPr="00CE7E55">
              <w:rPr>
                <w:rFonts w:ascii="Times New Roman" w:hAnsi="Times New Roman" w:cs="Times New Roman"/>
                <w:noProof/>
                <w:kern w:val="0"/>
                <w:sz w:val="24"/>
              </w:rPr>
              <w:t>98</w:t>
            </w:r>
          </w:p>
        </w:tc>
      </w:tr>
      <w:tr w:rsidR="00CE7E55" w:rsidRPr="00CE7E55" w14:paraId="6AC45D51" w14:textId="77777777" w:rsidTr="0059166D">
        <w:trPr>
          <w:trHeight w:val="290"/>
        </w:trPr>
        <w:tc>
          <w:tcPr>
            <w:tcW w:w="7933" w:type="dxa"/>
            <w:gridSpan w:val="2"/>
            <w:tcBorders>
              <w:top w:val="single" w:sz="4" w:space="0" w:color="auto"/>
              <w:left w:val="single" w:sz="4" w:space="0" w:color="auto"/>
              <w:bottom w:val="single" w:sz="4" w:space="0" w:color="auto"/>
              <w:right w:val="single" w:sz="4" w:space="0" w:color="auto"/>
            </w:tcBorders>
            <w:noWrap/>
            <w:vAlign w:val="center"/>
            <w:hideMark/>
          </w:tcPr>
          <w:p w14:paraId="5C79CB89" w14:textId="77777777" w:rsidR="00CE7E55" w:rsidRPr="00CE7E55" w:rsidRDefault="00CE7E55" w:rsidP="0059166D">
            <w:pPr>
              <w:spacing w:after="0" w:line="240" w:lineRule="auto"/>
              <w:jc w:val="center"/>
              <w:rPr>
                <w:rFonts w:ascii="Times New Roman" w:hAnsi="Times New Roman" w:cs="Times New Roman"/>
                <w:b/>
                <w:bCs/>
                <w:noProof/>
                <w:kern w:val="0"/>
                <w:sz w:val="24"/>
              </w:rPr>
            </w:pPr>
            <w:r w:rsidRPr="00CE7E55">
              <w:rPr>
                <w:rFonts w:ascii="Times New Roman" w:hAnsi="Times New Roman" w:cs="Times New Roman"/>
                <w:b/>
                <w:bCs/>
                <w:noProof/>
                <w:kern w:val="0"/>
                <w:sz w:val="24"/>
              </w:rPr>
              <w:t>Total articles identified</w:t>
            </w:r>
          </w:p>
        </w:tc>
        <w:tc>
          <w:tcPr>
            <w:tcW w:w="1418" w:type="dxa"/>
            <w:tcBorders>
              <w:top w:val="nil"/>
              <w:left w:val="nil"/>
              <w:bottom w:val="single" w:sz="4" w:space="0" w:color="auto"/>
              <w:right w:val="single" w:sz="4" w:space="0" w:color="auto"/>
            </w:tcBorders>
            <w:noWrap/>
            <w:vAlign w:val="center"/>
            <w:hideMark/>
          </w:tcPr>
          <w:p w14:paraId="47823F54" w14:textId="77777777" w:rsidR="00CE7E55" w:rsidRPr="00CE7E55" w:rsidRDefault="00CE7E55" w:rsidP="0059166D">
            <w:pPr>
              <w:spacing w:after="0" w:line="240" w:lineRule="auto"/>
              <w:jc w:val="center"/>
              <w:rPr>
                <w:rFonts w:ascii="Times New Roman" w:hAnsi="Times New Roman" w:cs="Times New Roman"/>
                <w:b/>
                <w:bCs/>
                <w:noProof/>
                <w:kern w:val="0"/>
                <w:sz w:val="24"/>
              </w:rPr>
            </w:pPr>
            <w:r w:rsidRPr="00CE7E55">
              <w:rPr>
                <w:rFonts w:ascii="Times New Roman" w:hAnsi="Times New Roman" w:cs="Times New Roman"/>
                <w:b/>
                <w:bCs/>
                <w:noProof/>
                <w:kern w:val="0"/>
                <w:sz w:val="24"/>
              </w:rPr>
              <w:t>378</w:t>
            </w:r>
          </w:p>
        </w:tc>
      </w:tr>
    </w:tbl>
    <w:p w14:paraId="251C51CD" w14:textId="77777777" w:rsidR="00CE7E55" w:rsidRPr="00CE7E55" w:rsidRDefault="00CE7E55" w:rsidP="00CE7E55">
      <w:pPr>
        <w:jc w:val="both"/>
        <w:rPr>
          <w:rFonts w:ascii="Times New Roman" w:hAnsi="Times New Roman" w:cs="Times New Roman"/>
          <w:noProof/>
          <w:kern w:val="0"/>
          <w:sz w:val="24"/>
        </w:rPr>
      </w:pPr>
    </w:p>
    <w:p w14:paraId="4A7AF39F" w14:textId="77777777" w:rsidR="00CE7E55" w:rsidRPr="00CE7E55" w:rsidRDefault="00CE7E55" w:rsidP="00CE7E55">
      <w:pPr>
        <w:jc w:val="both"/>
        <w:rPr>
          <w:rFonts w:ascii="Times New Roman" w:hAnsi="Times New Roman" w:cs="Times New Roman"/>
          <w:noProof/>
          <w:kern w:val="0"/>
          <w:sz w:val="24"/>
        </w:rPr>
      </w:pPr>
      <w:r w:rsidRPr="00CE7E55">
        <w:rPr>
          <w:rFonts w:ascii="Times New Roman" w:hAnsi="Times New Roman" w:cs="Times New Roman"/>
          <w:b/>
          <w:bCs/>
          <w:noProof/>
          <w:kern w:val="0"/>
          <w:sz w:val="24"/>
        </w:rPr>
        <w:t>Table 3.</w:t>
      </w:r>
      <w:r w:rsidRPr="00CE7E55">
        <w:rPr>
          <w:rFonts w:ascii="Times New Roman" w:hAnsi="Times New Roman" w:cs="Times New Roman"/>
          <w:noProof/>
          <w:kern w:val="0"/>
          <w:sz w:val="24"/>
        </w:rPr>
        <w:t xml:space="preserve"> Frequency distribution of the characteristics of included articles</w:t>
      </w:r>
    </w:p>
    <w:tbl>
      <w:tblPr>
        <w:tblW w:w="9067" w:type="dxa"/>
        <w:tblLayout w:type="fixed"/>
        <w:tblLook w:val="04A0" w:firstRow="1" w:lastRow="0" w:firstColumn="1" w:lastColumn="0" w:noHBand="0" w:noVBand="1"/>
      </w:tblPr>
      <w:tblGrid>
        <w:gridCol w:w="1830"/>
        <w:gridCol w:w="3127"/>
        <w:gridCol w:w="1842"/>
        <w:gridCol w:w="2268"/>
      </w:tblGrid>
      <w:tr w:rsidR="0059166D" w:rsidRPr="0059166D" w14:paraId="4DA4CD6D" w14:textId="77777777" w:rsidTr="002B349D">
        <w:trPr>
          <w:trHeight w:val="300"/>
        </w:trPr>
        <w:tc>
          <w:tcPr>
            <w:tcW w:w="1830" w:type="dxa"/>
            <w:tcBorders>
              <w:top w:val="single" w:sz="4" w:space="0" w:color="auto"/>
              <w:left w:val="single" w:sz="4" w:space="0" w:color="auto"/>
              <w:bottom w:val="single" w:sz="4" w:space="0" w:color="auto"/>
              <w:right w:val="single" w:sz="4" w:space="0" w:color="auto"/>
            </w:tcBorders>
            <w:noWrap/>
            <w:vAlign w:val="center"/>
            <w:hideMark/>
          </w:tcPr>
          <w:p w14:paraId="7C6C1EFA" w14:textId="77777777" w:rsidR="0059166D" w:rsidRPr="0059166D" w:rsidRDefault="0059166D" w:rsidP="002B349D">
            <w:pPr>
              <w:jc w:val="center"/>
              <w:rPr>
                <w:rFonts w:ascii="Times New Roman" w:hAnsi="Times New Roman" w:cs="Times New Roman"/>
                <w:b/>
                <w:bCs/>
                <w:noProof/>
                <w:kern w:val="0"/>
                <w:sz w:val="24"/>
              </w:rPr>
            </w:pPr>
            <w:r w:rsidRPr="0059166D">
              <w:rPr>
                <w:rFonts w:ascii="Times New Roman" w:hAnsi="Times New Roman" w:cs="Times New Roman"/>
                <w:b/>
                <w:bCs/>
                <w:noProof/>
                <w:kern w:val="0"/>
                <w:sz w:val="24"/>
              </w:rPr>
              <w:t>Characteristic</w:t>
            </w:r>
          </w:p>
        </w:tc>
        <w:tc>
          <w:tcPr>
            <w:tcW w:w="3127" w:type="dxa"/>
            <w:tcBorders>
              <w:top w:val="single" w:sz="4" w:space="0" w:color="auto"/>
              <w:left w:val="nil"/>
              <w:bottom w:val="single" w:sz="4" w:space="0" w:color="auto"/>
              <w:right w:val="single" w:sz="4" w:space="0" w:color="auto"/>
            </w:tcBorders>
            <w:noWrap/>
            <w:vAlign w:val="center"/>
            <w:hideMark/>
          </w:tcPr>
          <w:p w14:paraId="5AED47E4" w14:textId="77777777" w:rsidR="0059166D" w:rsidRPr="0059166D" w:rsidRDefault="0059166D" w:rsidP="002B349D">
            <w:pPr>
              <w:jc w:val="center"/>
              <w:rPr>
                <w:rFonts w:ascii="Times New Roman" w:hAnsi="Times New Roman" w:cs="Times New Roman"/>
                <w:b/>
                <w:bCs/>
                <w:noProof/>
                <w:kern w:val="0"/>
                <w:sz w:val="24"/>
              </w:rPr>
            </w:pPr>
            <w:r w:rsidRPr="0059166D">
              <w:rPr>
                <w:rFonts w:ascii="Times New Roman" w:hAnsi="Times New Roman" w:cs="Times New Roman"/>
                <w:b/>
                <w:bCs/>
                <w:noProof/>
                <w:kern w:val="0"/>
                <w:sz w:val="24"/>
              </w:rPr>
              <w:t>Category</w:t>
            </w:r>
          </w:p>
        </w:tc>
        <w:tc>
          <w:tcPr>
            <w:tcW w:w="1842" w:type="dxa"/>
            <w:tcBorders>
              <w:top w:val="single" w:sz="4" w:space="0" w:color="auto"/>
              <w:left w:val="nil"/>
              <w:bottom w:val="single" w:sz="4" w:space="0" w:color="auto"/>
              <w:right w:val="single" w:sz="4" w:space="0" w:color="auto"/>
            </w:tcBorders>
            <w:noWrap/>
            <w:vAlign w:val="center"/>
            <w:hideMark/>
          </w:tcPr>
          <w:p w14:paraId="5BEBE565" w14:textId="77777777" w:rsidR="0059166D" w:rsidRPr="0059166D" w:rsidRDefault="0059166D" w:rsidP="002B349D">
            <w:pPr>
              <w:jc w:val="center"/>
              <w:rPr>
                <w:rFonts w:ascii="Times New Roman" w:hAnsi="Times New Roman" w:cs="Times New Roman"/>
                <w:b/>
                <w:bCs/>
                <w:noProof/>
                <w:kern w:val="0"/>
                <w:sz w:val="24"/>
              </w:rPr>
            </w:pPr>
            <w:r w:rsidRPr="0059166D">
              <w:rPr>
                <w:rFonts w:ascii="Times New Roman" w:hAnsi="Times New Roman" w:cs="Times New Roman"/>
                <w:b/>
                <w:bCs/>
                <w:noProof/>
                <w:kern w:val="0"/>
                <w:sz w:val="24"/>
              </w:rPr>
              <w:t>Frequency</w:t>
            </w:r>
          </w:p>
        </w:tc>
        <w:tc>
          <w:tcPr>
            <w:tcW w:w="2268" w:type="dxa"/>
            <w:tcBorders>
              <w:top w:val="single" w:sz="4" w:space="0" w:color="auto"/>
              <w:left w:val="nil"/>
              <w:bottom w:val="single" w:sz="4" w:space="0" w:color="auto"/>
              <w:right w:val="single" w:sz="4" w:space="0" w:color="auto"/>
            </w:tcBorders>
            <w:noWrap/>
            <w:vAlign w:val="center"/>
            <w:hideMark/>
          </w:tcPr>
          <w:p w14:paraId="03CC3F4B" w14:textId="77777777" w:rsidR="0059166D" w:rsidRPr="0059166D" w:rsidRDefault="0059166D" w:rsidP="002B349D">
            <w:pPr>
              <w:jc w:val="center"/>
              <w:rPr>
                <w:rFonts w:ascii="Times New Roman" w:hAnsi="Times New Roman" w:cs="Times New Roman"/>
                <w:b/>
                <w:bCs/>
                <w:noProof/>
                <w:kern w:val="0"/>
                <w:sz w:val="24"/>
              </w:rPr>
            </w:pPr>
            <w:r w:rsidRPr="0059166D">
              <w:rPr>
                <w:rFonts w:ascii="Times New Roman" w:hAnsi="Times New Roman" w:cs="Times New Roman"/>
                <w:b/>
                <w:bCs/>
                <w:noProof/>
                <w:kern w:val="0"/>
                <w:sz w:val="24"/>
              </w:rPr>
              <w:t>Percentage</w:t>
            </w:r>
          </w:p>
        </w:tc>
      </w:tr>
      <w:tr w:rsidR="0059166D" w:rsidRPr="0059166D" w14:paraId="699FDF22"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4669BCBE"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lastRenderedPageBreak/>
              <w:t>Publication year</w:t>
            </w:r>
          </w:p>
        </w:tc>
        <w:tc>
          <w:tcPr>
            <w:tcW w:w="3127" w:type="dxa"/>
            <w:tcBorders>
              <w:top w:val="nil"/>
              <w:left w:val="nil"/>
              <w:bottom w:val="single" w:sz="4" w:space="0" w:color="auto"/>
              <w:right w:val="single" w:sz="4" w:space="0" w:color="auto"/>
            </w:tcBorders>
            <w:noWrap/>
            <w:vAlign w:val="center"/>
            <w:hideMark/>
          </w:tcPr>
          <w:p w14:paraId="617A9F4F"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2017</w:t>
            </w:r>
          </w:p>
        </w:tc>
        <w:tc>
          <w:tcPr>
            <w:tcW w:w="1842" w:type="dxa"/>
            <w:tcBorders>
              <w:top w:val="nil"/>
              <w:left w:val="nil"/>
              <w:bottom w:val="single" w:sz="4" w:space="0" w:color="auto"/>
              <w:right w:val="single" w:sz="4" w:space="0" w:color="auto"/>
            </w:tcBorders>
            <w:noWrap/>
            <w:vAlign w:val="center"/>
            <w:hideMark/>
          </w:tcPr>
          <w:p w14:paraId="383E952F"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53EDECBD" w14:textId="1635F51C"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42386812"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353FF857"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7226E50A"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2019</w:t>
            </w:r>
          </w:p>
        </w:tc>
        <w:tc>
          <w:tcPr>
            <w:tcW w:w="1842" w:type="dxa"/>
            <w:tcBorders>
              <w:top w:val="nil"/>
              <w:left w:val="nil"/>
              <w:bottom w:val="single" w:sz="4" w:space="0" w:color="auto"/>
              <w:right w:val="single" w:sz="4" w:space="0" w:color="auto"/>
            </w:tcBorders>
            <w:noWrap/>
            <w:vAlign w:val="center"/>
            <w:hideMark/>
          </w:tcPr>
          <w:p w14:paraId="592D9CC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w:t>
            </w:r>
          </w:p>
        </w:tc>
        <w:tc>
          <w:tcPr>
            <w:tcW w:w="2268" w:type="dxa"/>
            <w:tcBorders>
              <w:top w:val="nil"/>
              <w:left w:val="nil"/>
              <w:bottom w:val="single" w:sz="4" w:space="0" w:color="auto"/>
              <w:right w:val="single" w:sz="4" w:space="0" w:color="auto"/>
            </w:tcBorders>
            <w:noWrap/>
            <w:vAlign w:val="center"/>
            <w:hideMark/>
          </w:tcPr>
          <w:p w14:paraId="45E37626" w14:textId="03F55AF0"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16</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7%</w:t>
            </w:r>
          </w:p>
        </w:tc>
      </w:tr>
      <w:tr w:rsidR="0059166D" w:rsidRPr="0059166D" w14:paraId="5BF05198"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08FD5355"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7972A0B8"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2021</w:t>
            </w:r>
          </w:p>
        </w:tc>
        <w:tc>
          <w:tcPr>
            <w:tcW w:w="1842" w:type="dxa"/>
            <w:tcBorders>
              <w:top w:val="nil"/>
              <w:left w:val="nil"/>
              <w:bottom w:val="single" w:sz="4" w:space="0" w:color="auto"/>
              <w:right w:val="single" w:sz="4" w:space="0" w:color="auto"/>
            </w:tcBorders>
            <w:noWrap/>
            <w:vAlign w:val="center"/>
            <w:hideMark/>
          </w:tcPr>
          <w:p w14:paraId="3D8C9F9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56D246BB" w14:textId="18FDA4C1"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02E4B18B"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2D771002"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4BADE3C2"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2022</w:t>
            </w:r>
          </w:p>
        </w:tc>
        <w:tc>
          <w:tcPr>
            <w:tcW w:w="1842" w:type="dxa"/>
            <w:tcBorders>
              <w:top w:val="nil"/>
              <w:left w:val="nil"/>
              <w:bottom w:val="single" w:sz="4" w:space="0" w:color="auto"/>
              <w:right w:val="single" w:sz="4" w:space="0" w:color="auto"/>
            </w:tcBorders>
            <w:noWrap/>
            <w:vAlign w:val="center"/>
            <w:hideMark/>
          </w:tcPr>
          <w:p w14:paraId="69076ACE"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5C995F2A" w14:textId="646675E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7141DACB"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1A7BC876"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19C61BBB"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2023</w:t>
            </w:r>
          </w:p>
        </w:tc>
        <w:tc>
          <w:tcPr>
            <w:tcW w:w="1842" w:type="dxa"/>
            <w:tcBorders>
              <w:top w:val="nil"/>
              <w:left w:val="nil"/>
              <w:bottom w:val="single" w:sz="4" w:space="0" w:color="auto"/>
              <w:right w:val="single" w:sz="4" w:space="0" w:color="auto"/>
            </w:tcBorders>
            <w:noWrap/>
            <w:vAlign w:val="center"/>
            <w:hideMark/>
          </w:tcPr>
          <w:p w14:paraId="60229CA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2AE012E6" w14:textId="5087FB3A"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1B7EC6BD"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06738467"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18AB1134"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2024</w:t>
            </w:r>
          </w:p>
        </w:tc>
        <w:tc>
          <w:tcPr>
            <w:tcW w:w="1842" w:type="dxa"/>
            <w:tcBorders>
              <w:top w:val="nil"/>
              <w:left w:val="nil"/>
              <w:bottom w:val="single" w:sz="4" w:space="0" w:color="auto"/>
              <w:right w:val="single" w:sz="4" w:space="0" w:color="auto"/>
            </w:tcBorders>
            <w:noWrap/>
            <w:vAlign w:val="center"/>
            <w:hideMark/>
          </w:tcPr>
          <w:p w14:paraId="75BFAAB0"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550427FC" w14:textId="08EDED2E"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0A6A2C89"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699B127B"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7D20E002"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2025</w:t>
            </w:r>
          </w:p>
        </w:tc>
        <w:tc>
          <w:tcPr>
            <w:tcW w:w="1842" w:type="dxa"/>
            <w:tcBorders>
              <w:top w:val="nil"/>
              <w:left w:val="nil"/>
              <w:bottom w:val="single" w:sz="4" w:space="0" w:color="auto"/>
              <w:right w:val="single" w:sz="4" w:space="0" w:color="auto"/>
            </w:tcBorders>
            <w:noWrap/>
            <w:vAlign w:val="center"/>
            <w:hideMark/>
          </w:tcPr>
          <w:p w14:paraId="713E9912"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09833A8F" w14:textId="5AB4EBA3"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1BC79186"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263B3A2B" w14:textId="77777777" w:rsidR="0059166D" w:rsidRPr="0059166D" w:rsidRDefault="0059166D" w:rsidP="0059166D">
            <w:pPr>
              <w:rPr>
                <w:rFonts w:ascii="Times New Roman" w:hAnsi="Times New Roman" w:cs="Times New Roman"/>
                <w:noProof/>
                <w:kern w:val="0"/>
                <w:sz w:val="24"/>
              </w:rPr>
            </w:pPr>
            <w:r w:rsidRPr="0059166D">
              <w:rPr>
                <w:rFonts w:ascii="Times New Roman" w:hAnsi="Times New Roman" w:cs="Times New Roman"/>
                <w:noProof/>
                <w:kern w:val="0"/>
                <w:sz w:val="24"/>
              </w:rPr>
              <w:t>Country / data source</w:t>
            </w:r>
          </w:p>
        </w:tc>
        <w:tc>
          <w:tcPr>
            <w:tcW w:w="3127" w:type="dxa"/>
            <w:tcBorders>
              <w:top w:val="nil"/>
              <w:left w:val="nil"/>
              <w:bottom w:val="single" w:sz="4" w:space="0" w:color="auto"/>
              <w:right w:val="single" w:sz="4" w:space="0" w:color="auto"/>
            </w:tcBorders>
            <w:noWrap/>
            <w:vAlign w:val="center"/>
            <w:hideMark/>
          </w:tcPr>
          <w:p w14:paraId="49335884"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Taiwan</w:t>
            </w:r>
          </w:p>
        </w:tc>
        <w:tc>
          <w:tcPr>
            <w:tcW w:w="1842" w:type="dxa"/>
            <w:tcBorders>
              <w:top w:val="nil"/>
              <w:left w:val="nil"/>
              <w:bottom w:val="single" w:sz="4" w:space="0" w:color="auto"/>
              <w:right w:val="single" w:sz="4" w:space="0" w:color="auto"/>
            </w:tcBorders>
            <w:noWrap/>
            <w:vAlign w:val="center"/>
            <w:hideMark/>
          </w:tcPr>
          <w:p w14:paraId="51D7921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560BBFBD" w14:textId="22AE8AB8"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4E46DCFA"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52268FAE"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2C62E36C"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South Korea</w:t>
            </w:r>
          </w:p>
        </w:tc>
        <w:tc>
          <w:tcPr>
            <w:tcW w:w="1842" w:type="dxa"/>
            <w:tcBorders>
              <w:top w:val="nil"/>
              <w:left w:val="nil"/>
              <w:bottom w:val="single" w:sz="4" w:space="0" w:color="auto"/>
              <w:right w:val="single" w:sz="4" w:space="0" w:color="auto"/>
            </w:tcBorders>
            <w:noWrap/>
            <w:vAlign w:val="center"/>
            <w:hideMark/>
          </w:tcPr>
          <w:p w14:paraId="68BB7E9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7BF3AD28" w14:textId="0454F210"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0BBEE0E0"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0F984FFE"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61418FB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United States</w:t>
            </w:r>
          </w:p>
        </w:tc>
        <w:tc>
          <w:tcPr>
            <w:tcW w:w="1842" w:type="dxa"/>
            <w:tcBorders>
              <w:top w:val="nil"/>
              <w:left w:val="nil"/>
              <w:bottom w:val="single" w:sz="4" w:space="0" w:color="auto"/>
              <w:right w:val="single" w:sz="4" w:space="0" w:color="auto"/>
            </w:tcBorders>
            <w:noWrap/>
            <w:vAlign w:val="center"/>
            <w:hideMark/>
          </w:tcPr>
          <w:p w14:paraId="2B32AA5C"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51BE4737" w14:textId="586102A8"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0DFF5DDB"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34C5A753"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1DB0EC9A"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Mexico</w:t>
            </w:r>
          </w:p>
        </w:tc>
        <w:tc>
          <w:tcPr>
            <w:tcW w:w="1842" w:type="dxa"/>
            <w:tcBorders>
              <w:top w:val="nil"/>
              <w:left w:val="nil"/>
              <w:bottom w:val="single" w:sz="4" w:space="0" w:color="auto"/>
              <w:right w:val="single" w:sz="4" w:space="0" w:color="auto"/>
            </w:tcBorders>
            <w:noWrap/>
            <w:vAlign w:val="center"/>
            <w:hideMark/>
          </w:tcPr>
          <w:p w14:paraId="2771946E"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4B581A8D" w14:textId="20C8972E"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2EB49ED0"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18C04ABD"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240006A2"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Japan</w:t>
            </w:r>
          </w:p>
        </w:tc>
        <w:tc>
          <w:tcPr>
            <w:tcW w:w="1842" w:type="dxa"/>
            <w:tcBorders>
              <w:top w:val="nil"/>
              <w:left w:val="nil"/>
              <w:bottom w:val="single" w:sz="4" w:space="0" w:color="auto"/>
              <w:right w:val="single" w:sz="4" w:space="0" w:color="auto"/>
            </w:tcBorders>
            <w:noWrap/>
            <w:vAlign w:val="center"/>
            <w:hideMark/>
          </w:tcPr>
          <w:p w14:paraId="300B43C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3B3300DB" w14:textId="5C8A12C2"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2AB5A227"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623D4F74"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651DF054"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Spain</w:t>
            </w:r>
          </w:p>
        </w:tc>
        <w:tc>
          <w:tcPr>
            <w:tcW w:w="1842" w:type="dxa"/>
            <w:tcBorders>
              <w:top w:val="nil"/>
              <w:left w:val="nil"/>
              <w:bottom w:val="single" w:sz="4" w:space="0" w:color="auto"/>
              <w:right w:val="single" w:sz="4" w:space="0" w:color="auto"/>
            </w:tcBorders>
            <w:noWrap/>
            <w:vAlign w:val="center"/>
            <w:hideMark/>
          </w:tcPr>
          <w:p w14:paraId="4899A287"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48FCF0FB" w14:textId="381F1253"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784D00A3"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151A8B4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Research design</w:t>
            </w:r>
          </w:p>
        </w:tc>
        <w:tc>
          <w:tcPr>
            <w:tcW w:w="3127" w:type="dxa"/>
            <w:tcBorders>
              <w:top w:val="nil"/>
              <w:left w:val="nil"/>
              <w:bottom w:val="single" w:sz="4" w:space="0" w:color="auto"/>
              <w:right w:val="single" w:sz="4" w:space="0" w:color="auto"/>
            </w:tcBorders>
            <w:noWrap/>
            <w:vAlign w:val="center"/>
            <w:hideMark/>
          </w:tcPr>
          <w:p w14:paraId="365D3BB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Cohort / population-based cohort</w:t>
            </w:r>
          </w:p>
        </w:tc>
        <w:tc>
          <w:tcPr>
            <w:tcW w:w="1842" w:type="dxa"/>
            <w:tcBorders>
              <w:top w:val="nil"/>
              <w:left w:val="nil"/>
              <w:bottom w:val="single" w:sz="4" w:space="0" w:color="auto"/>
              <w:right w:val="single" w:sz="4" w:space="0" w:color="auto"/>
            </w:tcBorders>
            <w:noWrap/>
            <w:vAlign w:val="center"/>
            <w:hideMark/>
          </w:tcPr>
          <w:p w14:paraId="31C7D18A"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6</w:t>
            </w:r>
          </w:p>
        </w:tc>
        <w:tc>
          <w:tcPr>
            <w:tcW w:w="2268" w:type="dxa"/>
            <w:tcBorders>
              <w:top w:val="nil"/>
              <w:left w:val="nil"/>
              <w:bottom w:val="single" w:sz="4" w:space="0" w:color="auto"/>
              <w:right w:val="single" w:sz="4" w:space="0" w:color="auto"/>
            </w:tcBorders>
            <w:noWrap/>
            <w:vAlign w:val="center"/>
            <w:hideMark/>
          </w:tcPr>
          <w:p w14:paraId="59BE659C" w14:textId="1F21B46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5035E4E6"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3D1E6DCB"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5366D2E5"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Cross-sectional / observational analytical study</w:t>
            </w:r>
          </w:p>
        </w:tc>
        <w:tc>
          <w:tcPr>
            <w:tcW w:w="1842" w:type="dxa"/>
            <w:tcBorders>
              <w:top w:val="nil"/>
              <w:left w:val="nil"/>
              <w:bottom w:val="single" w:sz="4" w:space="0" w:color="auto"/>
              <w:right w:val="single" w:sz="4" w:space="0" w:color="auto"/>
            </w:tcBorders>
            <w:noWrap/>
            <w:vAlign w:val="center"/>
            <w:hideMark/>
          </w:tcPr>
          <w:p w14:paraId="2AB58657"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6</w:t>
            </w:r>
          </w:p>
        </w:tc>
        <w:tc>
          <w:tcPr>
            <w:tcW w:w="2268" w:type="dxa"/>
            <w:tcBorders>
              <w:top w:val="nil"/>
              <w:left w:val="nil"/>
              <w:bottom w:val="single" w:sz="4" w:space="0" w:color="auto"/>
              <w:right w:val="single" w:sz="4" w:space="0" w:color="auto"/>
            </w:tcBorders>
            <w:noWrap/>
            <w:vAlign w:val="center"/>
            <w:hideMark/>
          </w:tcPr>
          <w:p w14:paraId="10EF87B5" w14:textId="41468B6F"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6115484C"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3E9B2399"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Type of outcome</w:t>
            </w:r>
          </w:p>
        </w:tc>
        <w:tc>
          <w:tcPr>
            <w:tcW w:w="3127" w:type="dxa"/>
            <w:tcBorders>
              <w:top w:val="nil"/>
              <w:left w:val="nil"/>
              <w:bottom w:val="single" w:sz="4" w:space="0" w:color="auto"/>
              <w:right w:val="single" w:sz="4" w:space="0" w:color="auto"/>
            </w:tcBorders>
            <w:noWrap/>
            <w:vAlign w:val="center"/>
            <w:hideMark/>
          </w:tcPr>
          <w:p w14:paraId="60B16877"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Cognitive impairment / mild cognitive impairment / amyloid pathology</w:t>
            </w:r>
          </w:p>
        </w:tc>
        <w:tc>
          <w:tcPr>
            <w:tcW w:w="1842" w:type="dxa"/>
            <w:tcBorders>
              <w:top w:val="nil"/>
              <w:left w:val="nil"/>
              <w:bottom w:val="single" w:sz="4" w:space="0" w:color="auto"/>
              <w:right w:val="single" w:sz="4" w:space="0" w:color="auto"/>
            </w:tcBorders>
            <w:noWrap/>
            <w:vAlign w:val="center"/>
            <w:hideMark/>
          </w:tcPr>
          <w:p w14:paraId="11018CCD"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6</w:t>
            </w:r>
          </w:p>
        </w:tc>
        <w:tc>
          <w:tcPr>
            <w:tcW w:w="2268" w:type="dxa"/>
            <w:tcBorders>
              <w:top w:val="nil"/>
              <w:left w:val="nil"/>
              <w:bottom w:val="single" w:sz="4" w:space="0" w:color="auto"/>
              <w:right w:val="single" w:sz="4" w:space="0" w:color="auto"/>
            </w:tcBorders>
            <w:noWrap/>
            <w:vAlign w:val="center"/>
            <w:hideMark/>
          </w:tcPr>
          <w:p w14:paraId="038359B6" w14:textId="5C30EE96"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258F6396"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088379C2"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36E2BB67"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Dementia / Alzheimer’s disease / vascular dementia</w:t>
            </w:r>
          </w:p>
        </w:tc>
        <w:tc>
          <w:tcPr>
            <w:tcW w:w="1842" w:type="dxa"/>
            <w:tcBorders>
              <w:top w:val="nil"/>
              <w:left w:val="nil"/>
              <w:bottom w:val="single" w:sz="4" w:space="0" w:color="auto"/>
              <w:right w:val="single" w:sz="4" w:space="0" w:color="auto"/>
            </w:tcBorders>
            <w:noWrap/>
            <w:vAlign w:val="center"/>
            <w:hideMark/>
          </w:tcPr>
          <w:p w14:paraId="333C338A"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w:t>
            </w:r>
          </w:p>
        </w:tc>
        <w:tc>
          <w:tcPr>
            <w:tcW w:w="2268" w:type="dxa"/>
            <w:tcBorders>
              <w:top w:val="nil"/>
              <w:left w:val="nil"/>
              <w:bottom w:val="single" w:sz="4" w:space="0" w:color="auto"/>
              <w:right w:val="single" w:sz="4" w:space="0" w:color="auto"/>
            </w:tcBorders>
            <w:noWrap/>
            <w:vAlign w:val="center"/>
            <w:hideMark/>
          </w:tcPr>
          <w:p w14:paraId="2791F5CC" w14:textId="4DFFFD14"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41</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7%</w:t>
            </w:r>
          </w:p>
        </w:tc>
      </w:tr>
      <w:tr w:rsidR="0059166D" w:rsidRPr="0059166D" w14:paraId="5D619AAA"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08EC281E"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66CBCA55"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Parkinson’s disease</w:t>
            </w:r>
          </w:p>
        </w:tc>
        <w:tc>
          <w:tcPr>
            <w:tcW w:w="1842" w:type="dxa"/>
            <w:tcBorders>
              <w:top w:val="nil"/>
              <w:left w:val="nil"/>
              <w:bottom w:val="single" w:sz="4" w:space="0" w:color="auto"/>
              <w:right w:val="single" w:sz="4" w:space="0" w:color="auto"/>
            </w:tcBorders>
            <w:noWrap/>
            <w:vAlign w:val="center"/>
            <w:hideMark/>
          </w:tcPr>
          <w:p w14:paraId="331E0B00"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2298DCF6" w14:textId="4A2847F6"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2A1CED8E"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047748AC" w14:textId="77777777" w:rsidR="0059166D" w:rsidRPr="0059166D" w:rsidRDefault="0059166D" w:rsidP="0059166D">
            <w:pPr>
              <w:rPr>
                <w:rFonts w:ascii="Times New Roman" w:hAnsi="Times New Roman" w:cs="Times New Roman"/>
                <w:noProof/>
                <w:kern w:val="0"/>
                <w:sz w:val="24"/>
              </w:rPr>
            </w:pPr>
            <w:r w:rsidRPr="0059166D">
              <w:rPr>
                <w:rFonts w:ascii="Times New Roman" w:hAnsi="Times New Roman" w:cs="Times New Roman"/>
                <w:noProof/>
                <w:kern w:val="0"/>
                <w:sz w:val="24"/>
              </w:rPr>
              <w:t>Main statistical measure</w:t>
            </w:r>
          </w:p>
        </w:tc>
        <w:tc>
          <w:tcPr>
            <w:tcW w:w="3127" w:type="dxa"/>
            <w:tcBorders>
              <w:top w:val="nil"/>
              <w:left w:val="nil"/>
              <w:bottom w:val="single" w:sz="4" w:space="0" w:color="auto"/>
              <w:right w:val="single" w:sz="4" w:space="0" w:color="auto"/>
            </w:tcBorders>
            <w:noWrap/>
            <w:vAlign w:val="center"/>
            <w:hideMark/>
          </w:tcPr>
          <w:p w14:paraId="6F2BAAF3"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HR / aHR</w:t>
            </w:r>
          </w:p>
        </w:tc>
        <w:tc>
          <w:tcPr>
            <w:tcW w:w="1842" w:type="dxa"/>
            <w:tcBorders>
              <w:top w:val="nil"/>
              <w:left w:val="nil"/>
              <w:bottom w:val="single" w:sz="4" w:space="0" w:color="auto"/>
              <w:right w:val="single" w:sz="4" w:space="0" w:color="auto"/>
            </w:tcBorders>
            <w:noWrap/>
            <w:vAlign w:val="center"/>
            <w:hideMark/>
          </w:tcPr>
          <w:p w14:paraId="794A1C84"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6</w:t>
            </w:r>
          </w:p>
        </w:tc>
        <w:tc>
          <w:tcPr>
            <w:tcW w:w="2268" w:type="dxa"/>
            <w:tcBorders>
              <w:top w:val="nil"/>
              <w:left w:val="nil"/>
              <w:bottom w:val="single" w:sz="4" w:space="0" w:color="auto"/>
              <w:right w:val="single" w:sz="4" w:space="0" w:color="auto"/>
            </w:tcBorders>
            <w:noWrap/>
            <w:vAlign w:val="center"/>
            <w:hideMark/>
          </w:tcPr>
          <w:p w14:paraId="2B34F80E" w14:textId="4CEE7633"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6BC4AB16"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32D22A77"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43B3F4D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OR / AOR</w:t>
            </w:r>
          </w:p>
        </w:tc>
        <w:tc>
          <w:tcPr>
            <w:tcW w:w="1842" w:type="dxa"/>
            <w:tcBorders>
              <w:top w:val="nil"/>
              <w:left w:val="nil"/>
              <w:bottom w:val="single" w:sz="4" w:space="0" w:color="auto"/>
              <w:right w:val="single" w:sz="4" w:space="0" w:color="auto"/>
            </w:tcBorders>
            <w:noWrap/>
            <w:vAlign w:val="center"/>
            <w:hideMark/>
          </w:tcPr>
          <w:p w14:paraId="69C3CABE"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w:t>
            </w:r>
          </w:p>
        </w:tc>
        <w:tc>
          <w:tcPr>
            <w:tcW w:w="2268" w:type="dxa"/>
            <w:tcBorders>
              <w:top w:val="nil"/>
              <w:left w:val="nil"/>
              <w:bottom w:val="single" w:sz="4" w:space="0" w:color="auto"/>
              <w:right w:val="single" w:sz="4" w:space="0" w:color="auto"/>
            </w:tcBorders>
            <w:noWrap/>
            <w:vAlign w:val="center"/>
            <w:hideMark/>
          </w:tcPr>
          <w:p w14:paraId="1745CC8B" w14:textId="7CE9792D"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41</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7%</w:t>
            </w:r>
          </w:p>
        </w:tc>
      </w:tr>
      <w:tr w:rsidR="0059166D" w:rsidRPr="0059166D" w14:paraId="06962CBC"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72E46CD7"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40306C1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β coefficient and p-value</w:t>
            </w:r>
          </w:p>
        </w:tc>
        <w:tc>
          <w:tcPr>
            <w:tcW w:w="1842" w:type="dxa"/>
            <w:tcBorders>
              <w:top w:val="nil"/>
              <w:left w:val="nil"/>
              <w:bottom w:val="single" w:sz="4" w:space="0" w:color="auto"/>
              <w:right w:val="single" w:sz="4" w:space="0" w:color="auto"/>
            </w:tcBorders>
            <w:noWrap/>
            <w:vAlign w:val="center"/>
            <w:hideMark/>
          </w:tcPr>
          <w:p w14:paraId="1CAE9AAD"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w:t>
            </w:r>
          </w:p>
        </w:tc>
        <w:tc>
          <w:tcPr>
            <w:tcW w:w="2268" w:type="dxa"/>
            <w:tcBorders>
              <w:top w:val="nil"/>
              <w:left w:val="nil"/>
              <w:bottom w:val="single" w:sz="4" w:space="0" w:color="auto"/>
              <w:right w:val="single" w:sz="4" w:space="0" w:color="auto"/>
            </w:tcBorders>
            <w:noWrap/>
            <w:vAlign w:val="center"/>
            <w:hideMark/>
          </w:tcPr>
          <w:p w14:paraId="717091CC" w14:textId="17580349"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8</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08E358A4" w14:textId="77777777" w:rsidTr="00FA79AF">
        <w:trPr>
          <w:trHeight w:val="310"/>
        </w:trPr>
        <w:tc>
          <w:tcPr>
            <w:tcW w:w="1830" w:type="dxa"/>
            <w:vMerge w:val="restart"/>
            <w:tcBorders>
              <w:top w:val="nil"/>
              <w:left w:val="single" w:sz="4" w:space="0" w:color="auto"/>
              <w:bottom w:val="single" w:sz="4" w:space="0" w:color="auto"/>
              <w:right w:val="single" w:sz="4" w:space="0" w:color="auto"/>
            </w:tcBorders>
            <w:noWrap/>
            <w:vAlign w:val="center"/>
            <w:hideMark/>
          </w:tcPr>
          <w:p w14:paraId="4A3ED1E2"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Sample size</w:t>
            </w:r>
          </w:p>
        </w:tc>
        <w:tc>
          <w:tcPr>
            <w:tcW w:w="3127" w:type="dxa"/>
            <w:tcBorders>
              <w:top w:val="nil"/>
              <w:left w:val="nil"/>
              <w:bottom w:val="single" w:sz="4" w:space="0" w:color="auto"/>
              <w:right w:val="single" w:sz="4" w:space="0" w:color="auto"/>
            </w:tcBorders>
            <w:noWrap/>
            <w:vAlign w:val="center"/>
            <w:hideMark/>
          </w:tcPr>
          <w:p w14:paraId="67069DAC"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&lt;500 respondents</w:t>
            </w:r>
          </w:p>
        </w:tc>
        <w:tc>
          <w:tcPr>
            <w:tcW w:w="1842" w:type="dxa"/>
            <w:tcBorders>
              <w:top w:val="nil"/>
              <w:left w:val="nil"/>
              <w:bottom w:val="single" w:sz="4" w:space="0" w:color="auto"/>
              <w:right w:val="single" w:sz="4" w:space="0" w:color="auto"/>
            </w:tcBorders>
            <w:noWrap/>
            <w:vAlign w:val="center"/>
            <w:hideMark/>
          </w:tcPr>
          <w:p w14:paraId="03DBAFC5"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1DF2DBB4" w14:textId="7FBFC0A4"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r w:rsidR="0059166D" w:rsidRPr="0059166D" w14:paraId="1FF9C59B"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14CC53A9"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7DB24A31"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500–4.999 respondents</w:t>
            </w:r>
          </w:p>
        </w:tc>
        <w:tc>
          <w:tcPr>
            <w:tcW w:w="1842" w:type="dxa"/>
            <w:tcBorders>
              <w:top w:val="nil"/>
              <w:left w:val="nil"/>
              <w:bottom w:val="single" w:sz="4" w:space="0" w:color="auto"/>
              <w:right w:val="single" w:sz="4" w:space="0" w:color="auto"/>
            </w:tcBorders>
            <w:noWrap/>
            <w:vAlign w:val="center"/>
            <w:hideMark/>
          </w:tcPr>
          <w:p w14:paraId="3BD524CD"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w:t>
            </w:r>
          </w:p>
        </w:tc>
        <w:tc>
          <w:tcPr>
            <w:tcW w:w="2268" w:type="dxa"/>
            <w:tcBorders>
              <w:top w:val="nil"/>
              <w:left w:val="nil"/>
              <w:bottom w:val="single" w:sz="4" w:space="0" w:color="auto"/>
              <w:right w:val="single" w:sz="4" w:space="0" w:color="auto"/>
            </w:tcBorders>
            <w:noWrap/>
            <w:vAlign w:val="center"/>
            <w:hideMark/>
          </w:tcPr>
          <w:p w14:paraId="7AF18EA2" w14:textId="2B63C0A6"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16</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7%</w:t>
            </w:r>
          </w:p>
        </w:tc>
      </w:tr>
      <w:tr w:rsidR="0059166D" w:rsidRPr="0059166D" w14:paraId="4BC1C3FD"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4C1E7C63"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4896BAD4"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5.000–99.999 respondents</w:t>
            </w:r>
          </w:p>
        </w:tc>
        <w:tc>
          <w:tcPr>
            <w:tcW w:w="1842" w:type="dxa"/>
            <w:tcBorders>
              <w:top w:val="nil"/>
              <w:left w:val="nil"/>
              <w:bottom w:val="single" w:sz="4" w:space="0" w:color="auto"/>
              <w:right w:val="single" w:sz="4" w:space="0" w:color="auto"/>
            </w:tcBorders>
            <w:noWrap/>
            <w:vAlign w:val="center"/>
            <w:hideMark/>
          </w:tcPr>
          <w:p w14:paraId="598A4130"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4</w:t>
            </w:r>
          </w:p>
        </w:tc>
        <w:tc>
          <w:tcPr>
            <w:tcW w:w="2268" w:type="dxa"/>
            <w:tcBorders>
              <w:top w:val="nil"/>
              <w:left w:val="nil"/>
              <w:bottom w:val="single" w:sz="4" w:space="0" w:color="auto"/>
              <w:right w:val="single" w:sz="4" w:space="0" w:color="auto"/>
            </w:tcBorders>
            <w:noWrap/>
            <w:vAlign w:val="center"/>
            <w:hideMark/>
          </w:tcPr>
          <w:p w14:paraId="27F3B70A" w14:textId="0278688A"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33</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3%</w:t>
            </w:r>
          </w:p>
        </w:tc>
      </w:tr>
      <w:tr w:rsidR="0059166D" w:rsidRPr="0059166D" w14:paraId="4333059B" w14:textId="77777777" w:rsidTr="00FA79AF">
        <w:trPr>
          <w:trHeight w:val="310"/>
        </w:trPr>
        <w:tc>
          <w:tcPr>
            <w:tcW w:w="1830" w:type="dxa"/>
            <w:vMerge/>
            <w:tcBorders>
              <w:top w:val="nil"/>
              <w:left w:val="single" w:sz="4" w:space="0" w:color="auto"/>
              <w:bottom w:val="single" w:sz="4" w:space="0" w:color="auto"/>
              <w:right w:val="single" w:sz="4" w:space="0" w:color="auto"/>
            </w:tcBorders>
            <w:vAlign w:val="center"/>
            <w:hideMark/>
          </w:tcPr>
          <w:p w14:paraId="63889414" w14:textId="77777777" w:rsidR="0059166D" w:rsidRPr="0059166D" w:rsidRDefault="0059166D" w:rsidP="0059166D">
            <w:pPr>
              <w:jc w:val="both"/>
              <w:rPr>
                <w:rFonts w:ascii="Times New Roman" w:hAnsi="Times New Roman" w:cs="Times New Roman"/>
                <w:noProof/>
                <w:kern w:val="0"/>
                <w:sz w:val="24"/>
              </w:rPr>
            </w:pPr>
          </w:p>
        </w:tc>
        <w:tc>
          <w:tcPr>
            <w:tcW w:w="3127" w:type="dxa"/>
            <w:tcBorders>
              <w:top w:val="nil"/>
              <w:left w:val="nil"/>
              <w:bottom w:val="single" w:sz="4" w:space="0" w:color="auto"/>
              <w:right w:val="single" w:sz="4" w:space="0" w:color="auto"/>
            </w:tcBorders>
            <w:noWrap/>
            <w:vAlign w:val="center"/>
            <w:hideMark/>
          </w:tcPr>
          <w:p w14:paraId="09A5B4EF"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≥100.000 respondents</w:t>
            </w:r>
          </w:p>
        </w:tc>
        <w:tc>
          <w:tcPr>
            <w:tcW w:w="1842" w:type="dxa"/>
            <w:tcBorders>
              <w:top w:val="nil"/>
              <w:left w:val="nil"/>
              <w:bottom w:val="single" w:sz="4" w:space="0" w:color="auto"/>
              <w:right w:val="single" w:sz="4" w:space="0" w:color="auto"/>
            </w:tcBorders>
            <w:noWrap/>
            <w:vAlign w:val="center"/>
            <w:hideMark/>
          </w:tcPr>
          <w:p w14:paraId="351AFD5B" w14:textId="77777777"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3</w:t>
            </w:r>
          </w:p>
        </w:tc>
        <w:tc>
          <w:tcPr>
            <w:tcW w:w="2268" w:type="dxa"/>
            <w:tcBorders>
              <w:top w:val="nil"/>
              <w:left w:val="nil"/>
              <w:bottom w:val="single" w:sz="4" w:space="0" w:color="auto"/>
              <w:right w:val="single" w:sz="4" w:space="0" w:color="auto"/>
            </w:tcBorders>
            <w:noWrap/>
            <w:vAlign w:val="center"/>
            <w:hideMark/>
          </w:tcPr>
          <w:p w14:paraId="67765F4D" w14:textId="562A6C4C" w:rsidR="0059166D" w:rsidRPr="0059166D" w:rsidRDefault="0059166D" w:rsidP="0059166D">
            <w:pPr>
              <w:jc w:val="both"/>
              <w:rPr>
                <w:rFonts w:ascii="Times New Roman" w:hAnsi="Times New Roman" w:cs="Times New Roman"/>
                <w:noProof/>
                <w:kern w:val="0"/>
                <w:sz w:val="24"/>
              </w:rPr>
            </w:pPr>
            <w:r w:rsidRPr="0059166D">
              <w:rPr>
                <w:rFonts w:ascii="Times New Roman" w:hAnsi="Times New Roman" w:cs="Times New Roman"/>
                <w:noProof/>
                <w:kern w:val="0"/>
                <w:sz w:val="24"/>
              </w:rPr>
              <w:t>25</w:t>
            </w:r>
            <w:r w:rsidR="00C378B9">
              <w:rPr>
                <w:rFonts w:ascii="Times New Roman" w:hAnsi="Times New Roman" w:cs="Times New Roman"/>
                <w:noProof/>
                <w:kern w:val="0"/>
                <w:sz w:val="24"/>
              </w:rPr>
              <w:t>.</w:t>
            </w:r>
            <w:r w:rsidRPr="0059166D">
              <w:rPr>
                <w:rFonts w:ascii="Times New Roman" w:hAnsi="Times New Roman" w:cs="Times New Roman"/>
                <w:noProof/>
                <w:kern w:val="0"/>
                <w:sz w:val="24"/>
              </w:rPr>
              <w:t>0%</w:t>
            </w:r>
          </w:p>
        </w:tc>
      </w:tr>
    </w:tbl>
    <w:p w14:paraId="0E79D889" w14:textId="77777777" w:rsidR="00CE7E55" w:rsidRPr="00CE7E55" w:rsidRDefault="00CE7E55" w:rsidP="00CE7E55">
      <w:pPr>
        <w:jc w:val="both"/>
        <w:rPr>
          <w:rFonts w:ascii="Times New Roman" w:hAnsi="Times New Roman" w:cs="Times New Roman"/>
          <w:noProof/>
          <w:kern w:val="0"/>
          <w:sz w:val="24"/>
        </w:rPr>
      </w:pPr>
    </w:p>
    <w:p w14:paraId="456E1770" w14:textId="7374B172" w:rsidR="00CE7E55" w:rsidRDefault="00CE7E55" w:rsidP="00CE7E55">
      <w:pPr>
        <w:jc w:val="both"/>
        <w:rPr>
          <w:rFonts w:ascii="Times New Roman" w:hAnsi="Times New Roman" w:cs="Times New Roman"/>
          <w:noProof/>
          <w:kern w:val="0"/>
          <w:sz w:val="24"/>
        </w:rPr>
      </w:pPr>
      <w:r w:rsidRPr="00CE7E55">
        <w:rPr>
          <w:rFonts w:ascii="Times New Roman" w:hAnsi="Times New Roman" w:cs="Times New Roman"/>
          <w:b/>
          <w:bCs/>
          <w:noProof/>
          <w:kern w:val="0"/>
          <w:sz w:val="24"/>
        </w:rPr>
        <w:lastRenderedPageBreak/>
        <w:t>Table 4.</w:t>
      </w:r>
      <w:r w:rsidRPr="00CE7E55">
        <w:rPr>
          <w:rFonts w:ascii="Times New Roman" w:hAnsi="Times New Roman" w:cs="Times New Roman"/>
          <w:noProof/>
          <w:kern w:val="0"/>
          <w:sz w:val="24"/>
        </w:rPr>
        <w:t xml:space="preserve"> Summary of SLR articles on the association of periodontitis with cognitive impairment and neurodegenerative disease</w:t>
      </w:r>
    </w:p>
    <w:tbl>
      <w:tblPr>
        <w:tblW w:w="11166" w:type="dxa"/>
        <w:tblInd w:w="-998" w:type="dxa"/>
        <w:tblLook w:val="04A0" w:firstRow="1" w:lastRow="0" w:firstColumn="1" w:lastColumn="0" w:noHBand="0" w:noVBand="1"/>
      </w:tblPr>
      <w:tblGrid>
        <w:gridCol w:w="570"/>
        <w:gridCol w:w="1216"/>
        <w:gridCol w:w="1763"/>
        <w:gridCol w:w="2561"/>
        <w:gridCol w:w="2921"/>
        <w:gridCol w:w="2135"/>
      </w:tblGrid>
      <w:tr w:rsidR="003547C3" w:rsidRPr="003547C3" w14:paraId="2413D0C0" w14:textId="77777777" w:rsidTr="002B349D">
        <w:trPr>
          <w:trHeight w:val="310"/>
        </w:trPr>
        <w:tc>
          <w:tcPr>
            <w:tcW w:w="570" w:type="dxa"/>
            <w:tcBorders>
              <w:top w:val="single" w:sz="4" w:space="0" w:color="auto"/>
              <w:left w:val="single" w:sz="4" w:space="0" w:color="auto"/>
              <w:bottom w:val="single" w:sz="4" w:space="0" w:color="auto"/>
              <w:right w:val="single" w:sz="4" w:space="0" w:color="auto"/>
            </w:tcBorders>
            <w:noWrap/>
            <w:vAlign w:val="center"/>
            <w:hideMark/>
          </w:tcPr>
          <w:p w14:paraId="5FDB0DA3"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No.</w:t>
            </w:r>
          </w:p>
        </w:tc>
        <w:tc>
          <w:tcPr>
            <w:tcW w:w="1216" w:type="dxa"/>
            <w:tcBorders>
              <w:top w:val="single" w:sz="4" w:space="0" w:color="auto"/>
              <w:left w:val="nil"/>
              <w:bottom w:val="single" w:sz="4" w:space="0" w:color="auto"/>
              <w:right w:val="single" w:sz="4" w:space="0" w:color="auto"/>
            </w:tcBorders>
            <w:noWrap/>
            <w:vAlign w:val="center"/>
            <w:hideMark/>
          </w:tcPr>
          <w:p w14:paraId="71A7139C"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Author(s) (Year)</w:t>
            </w:r>
          </w:p>
        </w:tc>
        <w:tc>
          <w:tcPr>
            <w:tcW w:w="1763" w:type="dxa"/>
            <w:tcBorders>
              <w:top w:val="single" w:sz="4" w:space="0" w:color="auto"/>
              <w:left w:val="nil"/>
              <w:bottom w:val="single" w:sz="4" w:space="0" w:color="auto"/>
              <w:right w:val="single" w:sz="4" w:space="0" w:color="auto"/>
            </w:tcBorders>
            <w:noWrap/>
            <w:vAlign w:val="center"/>
            <w:hideMark/>
          </w:tcPr>
          <w:p w14:paraId="31A82901"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Objective</w:t>
            </w:r>
          </w:p>
        </w:tc>
        <w:tc>
          <w:tcPr>
            <w:tcW w:w="2561" w:type="dxa"/>
            <w:tcBorders>
              <w:top w:val="single" w:sz="4" w:space="0" w:color="auto"/>
              <w:left w:val="nil"/>
              <w:bottom w:val="single" w:sz="4" w:space="0" w:color="auto"/>
              <w:right w:val="single" w:sz="4" w:space="0" w:color="auto"/>
            </w:tcBorders>
            <w:noWrap/>
            <w:vAlign w:val="center"/>
            <w:hideMark/>
          </w:tcPr>
          <w:p w14:paraId="1B39E368"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Method</w:t>
            </w:r>
          </w:p>
        </w:tc>
        <w:tc>
          <w:tcPr>
            <w:tcW w:w="2921" w:type="dxa"/>
            <w:tcBorders>
              <w:top w:val="single" w:sz="4" w:space="0" w:color="auto"/>
              <w:left w:val="nil"/>
              <w:bottom w:val="single" w:sz="4" w:space="0" w:color="auto"/>
              <w:right w:val="single" w:sz="4" w:space="0" w:color="auto"/>
            </w:tcBorders>
            <w:noWrap/>
            <w:vAlign w:val="center"/>
            <w:hideMark/>
          </w:tcPr>
          <w:p w14:paraId="16D5D0AB"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Results</w:t>
            </w:r>
          </w:p>
        </w:tc>
        <w:tc>
          <w:tcPr>
            <w:tcW w:w="2135" w:type="dxa"/>
            <w:tcBorders>
              <w:top w:val="single" w:sz="4" w:space="0" w:color="auto"/>
              <w:left w:val="nil"/>
              <w:bottom w:val="single" w:sz="4" w:space="0" w:color="auto"/>
              <w:right w:val="single" w:sz="4" w:space="0" w:color="auto"/>
            </w:tcBorders>
            <w:noWrap/>
            <w:vAlign w:val="center"/>
            <w:hideMark/>
          </w:tcPr>
          <w:p w14:paraId="23B2F954" w14:textId="77777777" w:rsidR="003547C3" w:rsidRPr="003547C3" w:rsidRDefault="003547C3" w:rsidP="002B349D">
            <w:pPr>
              <w:jc w:val="center"/>
              <w:rPr>
                <w:rFonts w:ascii="Times New Roman" w:hAnsi="Times New Roman" w:cs="Times New Roman"/>
                <w:b/>
                <w:bCs/>
                <w:noProof/>
                <w:kern w:val="0"/>
                <w:sz w:val="24"/>
              </w:rPr>
            </w:pPr>
            <w:r w:rsidRPr="003547C3">
              <w:rPr>
                <w:rFonts w:ascii="Times New Roman" w:hAnsi="Times New Roman" w:cs="Times New Roman"/>
                <w:b/>
                <w:bCs/>
                <w:noProof/>
                <w:kern w:val="0"/>
                <w:sz w:val="24"/>
              </w:rPr>
              <w:t>Conclusion</w:t>
            </w:r>
          </w:p>
        </w:tc>
      </w:tr>
      <w:tr w:rsidR="003547C3" w:rsidRPr="003547C3" w14:paraId="12025105"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273C294C"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1</w:t>
            </w:r>
          </w:p>
        </w:tc>
        <w:tc>
          <w:tcPr>
            <w:tcW w:w="1216" w:type="dxa"/>
            <w:tcBorders>
              <w:top w:val="nil"/>
              <w:left w:val="nil"/>
              <w:bottom w:val="single" w:sz="4" w:space="0" w:color="auto"/>
              <w:right w:val="single" w:sz="4" w:space="0" w:color="auto"/>
            </w:tcBorders>
            <w:noWrap/>
            <w:hideMark/>
          </w:tcPr>
          <w:p w14:paraId="4A091064"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10.1186/s13195-017-0282-6","author":[{"dropping-particle":"","family":"Chen","given":"C.-K.","non-dropping-particle":"","parse-names":false,"suffix":""},{"dropping-particle":"","family":"Wu","given":"Y.-T.","non-dropping-particle":"","parse-names":false,"suffix":""},{"dropping-particle":"","family":"Chang","given":"Y.-C.","non-dropping-particle":"","parse-names":false,"suffix":""}],"container-title":"Alzheimer's Research &amp; Therapy","id":"ITEM-1","issued":{"date-parts":[["2017"]]},"page":"56","title":"Association between chronic periodontitis and the risk of Alzheimer's disease: A retrospective, population-based, matched-cohort study","type":"article-journal","volume":"9"},"uris":["http://www.mendeley.com/documents/?uuid=be0ac54d-a99c-41cc-b600-17f84376a21e"]}],"mendeley":{"formattedCitation":"(Chen et al., 2017)","manualFormatting":"Chen et al. (2017)","plainTextFormattedCitation":"(Chen et al., 2017)","previouslyFormattedCitation":"(Chen et al., 2017)"},"properties":{"noteIndex":0},"schema":"https://github.com/citation-style-language/schema/raw/master/csl-citation.json"}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Chen et al. (2017)</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58C6A69E"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analyze the risk of Alzheimer’s disease in patients with chronic periodontitis.</w:t>
            </w:r>
          </w:p>
        </w:tc>
        <w:tc>
          <w:tcPr>
            <w:tcW w:w="2561" w:type="dxa"/>
            <w:tcBorders>
              <w:top w:val="nil"/>
              <w:left w:val="nil"/>
              <w:bottom w:val="single" w:sz="4" w:space="0" w:color="auto"/>
              <w:right w:val="single" w:sz="4" w:space="0" w:color="auto"/>
            </w:tcBorders>
            <w:noWrap/>
            <w:hideMark/>
          </w:tcPr>
          <w:p w14:paraId="57F2D084"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retrospective population-based matched cohort study in Taiwan. The sample consisted of 9,291 patients with chronic periodontitis and 18,672 controls without chronic periodontitis. The analysis used Cox proportional hazards regression.</w:t>
            </w:r>
          </w:p>
        </w:tc>
        <w:tc>
          <w:tcPr>
            <w:tcW w:w="2921" w:type="dxa"/>
            <w:tcBorders>
              <w:top w:val="nil"/>
              <w:left w:val="nil"/>
              <w:bottom w:val="single" w:sz="4" w:space="0" w:color="auto"/>
              <w:right w:val="single" w:sz="4" w:space="0" w:color="auto"/>
            </w:tcBorders>
            <w:noWrap/>
            <w:hideMark/>
          </w:tcPr>
          <w:p w14:paraId="19363EFB"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Patients with 10 years of exposure to chronic periodontitis had a higher risk of Alzheimer’s disease than those without chronic periodontitis. The adjusted HR was 1.707; 95% CI = 1.152–2.528; p = 0.0077.</w:t>
            </w:r>
          </w:p>
        </w:tc>
        <w:tc>
          <w:tcPr>
            <w:tcW w:w="2135" w:type="dxa"/>
            <w:tcBorders>
              <w:top w:val="nil"/>
              <w:left w:val="nil"/>
              <w:bottom w:val="single" w:sz="4" w:space="0" w:color="auto"/>
              <w:right w:val="single" w:sz="4" w:space="0" w:color="auto"/>
            </w:tcBorders>
            <w:noWrap/>
            <w:hideMark/>
          </w:tcPr>
          <w:p w14:paraId="511AF3A8"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Long-term exposure to chronic periodontitis is associated with an increased risk of Alzheimer’s disease. Preventing the progression of periodontal disease is important to reduce the risk of neurodegenerative disorders.</w:t>
            </w:r>
          </w:p>
        </w:tc>
      </w:tr>
      <w:tr w:rsidR="003547C3" w:rsidRPr="003547C3" w14:paraId="07DE77B6"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7DEAF040"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2</w:t>
            </w:r>
          </w:p>
        </w:tc>
        <w:tc>
          <w:tcPr>
            <w:tcW w:w="1216" w:type="dxa"/>
            <w:tcBorders>
              <w:top w:val="nil"/>
              <w:left w:val="nil"/>
              <w:bottom w:val="single" w:sz="4" w:space="0" w:color="auto"/>
              <w:right w:val="single" w:sz="4" w:space="0" w:color="auto"/>
            </w:tcBorders>
            <w:noWrap/>
            <w:hideMark/>
          </w:tcPr>
          <w:p w14:paraId="390FB35F"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10.1111/jgs.14449","author":[{"dropping-particle":"","family":"Lee","given":"Yu-Ting","non-dropping-particle":"","parse-names":false,"suffix":""},{"dropping-particle":"","family":"Lee","given":"Hsiu-Chen","non-dropping-particle":"","parse-names":false,"suffix":""},{"dropping-particle":"","family":"Hu","given":"Chaur-Jong","non-dropping-particle":"","parse-names":false,"suffix":""},{"dropping-particle":"","family":"Huang","given":"Li-Kai","non-dropping-particle":"","parse-names":false,"suffix":""},{"dropping-particle":"","family":"Chao","given":"Shih-Pin","non-dropping-particle":"","parse-names":false,"suffix":""},{"dropping-particle":"","family":"Lin","given":"Chien-Ping","non-dropping-particle":"","parse-names":false,"suffix":""},{"dropping-particle":"","family":"Su","given":"Eric Chih-Yuan","non-dropping-particle":"","parse-names":false,"suffix":""},{"dropping-particle":"","family":"Lee","given":"Yi-Chun","non-dropping-particle":"","parse-names":false,"suffix":""},{"dropping-particle":"","family":"Chen","given":"Chien-Chang","non-dropping-particle":"","parse-names":false,"suffix":""}],"container-title":"Journal of the American Geriatrics Society","id":"ITEM-1","issue":"2","issued":{"date-parts":[["2017"]]},"page":"301-305","title":"Periodontitis as a modifiable risk factor for dementia: A nationwide population-based cohort study","type":"article-journal","volume":"65"},"uris":["http://www.mendeley.com/documents/?uuid=6d8233c8-4c89-48b4-8f96-4fb58b2324ce"]}],"mendeley":{"formattedCitation":"(Y.-T. Lee et al., 2017)","manualFormatting":"Y.-T. Lee et al. (2017)","plainTextFormattedCitation":"(Y.-T. Lee et al., 2017)","previouslyFormattedCitation":"(Y.-T. Lee et al., 2017)"},"properties":{"noteIndex":0},"schema":"https://github.com/citation-style-language/schema/raw/master/csl-citation.json"}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Y.-T. Lee et al. (2017)</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2A61218C"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assess whether periodontitis can serve as a modifiable risk factor for incident dementia.</w:t>
            </w:r>
          </w:p>
        </w:tc>
        <w:tc>
          <w:tcPr>
            <w:tcW w:w="2561" w:type="dxa"/>
            <w:tcBorders>
              <w:top w:val="nil"/>
              <w:left w:val="nil"/>
              <w:bottom w:val="single" w:sz="4" w:space="0" w:color="auto"/>
              <w:right w:val="single" w:sz="4" w:space="0" w:color="auto"/>
            </w:tcBorders>
            <w:noWrap/>
            <w:hideMark/>
          </w:tcPr>
          <w:p w14:paraId="6B50D01F"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prospective cohort study using the Taiwan National Health Insurance Research Database. The sample consisted of 3,028 older adults with periodontitis and 3,028 age- and sex-matched controls.</w:t>
            </w:r>
          </w:p>
        </w:tc>
        <w:tc>
          <w:tcPr>
            <w:tcW w:w="2921" w:type="dxa"/>
            <w:tcBorders>
              <w:top w:val="nil"/>
              <w:left w:val="nil"/>
              <w:bottom w:val="single" w:sz="4" w:space="0" w:color="auto"/>
              <w:right w:val="single" w:sz="4" w:space="0" w:color="auto"/>
            </w:tcBorders>
            <w:noWrap/>
            <w:hideMark/>
          </w:tcPr>
          <w:p w14:paraId="164D346B"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The risk of dementia was higher in the periodontitis group than in the control group. The HR was 1.16; 95% CI = 1.01–1.32; p = 0.03.</w:t>
            </w:r>
          </w:p>
        </w:tc>
        <w:tc>
          <w:tcPr>
            <w:tcW w:w="2135" w:type="dxa"/>
            <w:tcBorders>
              <w:top w:val="nil"/>
              <w:left w:val="nil"/>
              <w:bottom w:val="single" w:sz="4" w:space="0" w:color="auto"/>
              <w:right w:val="single" w:sz="4" w:space="0" w:color="auto"/>
            </w:tcBorders>
            <w:noWrap/>
            <w:hideMark/>
          </w:tcPr>
          <w:p w14:paraId="2AE0A9CA"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Periodontitis is associated with the risk of new-onset dementia. Periodontal infection may be considered a potentially modifiable factor through periodontal treatment.</w:t>
            </w:r>
          </w:p>
        </w:tc>
      </w:tr>
      <w:tr w:rsidR="003547C3" w:rsidRPr="003547C3" w14:paraId="7D867DA8"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7CA345F9"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3</w:t>
            </w:r>
          </w:p>
        </w:tc>
        <w:tc>
          <w:tcPr>
            <w:tcW w:w="1216" w:type="dxa"/>
            <w:tcBorders>
              <w:top w:val="nil"/>
              <w:left w:val="nil"/>
              <w:bottom w:val="single" w:sz="4" w:space="0" w:color="auto"/>
              <w:right w:val="single" w:sz="4" w:space="0" w:color="auto"/>
            </w:tcBorders>
            <w:noWrap/>
            <w:hideMark/>
          </w:tcPr>
          <w:p w14:paraId="1EC05EE4"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10.1111/jgs.14944","author":[{"dropping-particle":"","family":"Lee","given":"Yea-Ling","non-dropping-particle":"","parse-names":false,"suffix":""},{"dropping-particle":"","family":"Hu","given":"Hsiao-Yun","non-dropping-particle":"","parse-names":false,"suffix":""},{"dropping-particle":"","family":"Huang","given":"Li-Yu","non-dropping-particle":"","parse-names":false,"suffix":""},{"dropping-particle":"","family":"Chou","given":"Pesus","non-dropping-particle":"","parse-names":false,"suffix":""},{"dropping-particle":"","family":"Chu","given":"De-Kuang","non-dropping-particle":"","parse-names":false,"suffix":""}],"container-title":"Journal of the American Geriatrics Society","id":"ITEM-1","issue":"9","issued":{"date-parts":[["2017"]]},"page":"1975-1980","title":"Periodontal disease associated with higher risk of dementia: Population-based cohort study in Taiwan","type":"article-journal","volume":"65"},"uris":["http://www.mendeley.com/documents/?uuid=7a204a72-3b58-4e6b-a3c3-dbcda3bf214c"]}],"mendeley":{"formattedCitation":"(Y.-L. Lee et al., 2017)","manualFormatting":"Y.-L. Lee et al. (2017)","plainTextFormattedCitation":"(Y.-L. Lee et al., 2017)","previouslyFormattedCitation":"(Y.-L. Lee et al., 2017)"},"properties":{"noteIndex":0},"schema":"https://github.com/citation-style-language/schema/raw/master/csl-citation.json"}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Y.-L. Lee et al. (2017)</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55050700"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assess the magnitude and temporal aspects of the association between periodontal disease and dementia risk.</w:t>
            </w:r>
          </w:p>
        </w:tc>
        <w:tc>
          <w:tcPr>
            <w:tcW w:w="2561" w:type="dxa"/>
            <w:tcBorders>
              <w:top w:val="nil"/>
              <w:left w:val="nil"/>
              <w:bottom w:val="single" w:sz="4" w:space="0" w:color="auto"/>
              <w:right w:val="single" w:sz="4" w:space="0" w:color="auto"/>
            </w:tcBorders>
            <w:noWrap/>
            <w:hideMark/>
          </w:tcPr>
          <w:p w14:paraId="3CEA715A"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retrospective cohort study based on the Taiwan National Health Insurance Research Database. The sample included 182,747 individuals with newly diagnosed periodontal disease. The analysis compared dental prophylaxis, intensive periodontal treatment, tooth extraction, and no treatment groups.</w:t>
            </w:r>
          </w:p>
        </w:tc>
        <w:tc>
          <w:tcPr>
            <w:tcW w:w="2921" w:type="dxa"/>
            <w:tcBorders>
              <w:top w:val="nil"/>
              <w:left w:val="nil"/>
              <w:bottom w:val="single" w:sz="4" w:space="0" w:color="auto"/>
              <w:right w:val="single" w:sz="4" w:space="0" w:color="auto"/>
            </w:tcBorders>
            <w:noWrap/>
            <w:hideMark/>
          </w:tcPr>
          <w:p w14:paraId="090B682F"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The incidence of dementia was higher in the untreated periodontal disease group at 0.76% per year and in the tooth extraction group at 0.57% per year. The untreated group had an HR of 1.14; 95% CI = 1.04–1.24. The tooth extraction group had an HR of 1.10; 95% CI = 1.04–1.16. Differences in incidence between groups were significant, with p &lt; 0.001.</w:t>
            </w:r>
          </w:p>
        </w:tc>
        <w:tc>
          <w:tcPr>
            <w:tcW w:w="2135" w:type="dxa"/>
            <w:tcBorders>
              <w:top w:val="nil"/>
              <w:left w:val="nil"/>
              <w:bottom w:val="single" w:sz="4" w:space="0" w:color="auto"/>
              <w:right w:val="single" w:sz="4" w:space="0" w:color="auto"/>
            </w:tcBorders>
            <w:noWrap/>
            <w:hideMark/>
          </w:tcPr>
          <w:p w14:paraId="15A8886D"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More severe or untreated periodontal disease is associated with a higher risk of dementia. Periodontal treatment appears to have a protective role in reducing dementia risk.</w:t>
            </w:r>
          </w:p>
        </w:tc>
      </w:tr>
      <w:tr w:rsidR="003547C3" w:rsidRPr="003547C3" w14:paraId="0A7251DD"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2B8FA1D9"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lastRenderedPageBreak/>
              <w:t>4</w:t>
            </w:r>
          </w:p>
        </w:tc>
        <w:tc>
          <w:tcPr>
            <w:tcW w:w="1216" w:type="dxa"/>
            <w:tcBorders>
              <w:top w:val="nil"/>
              <w:left w:val="nil"/>
              <w:bottom w:val="single" w:sz="4" w:space="0" w:color="auto"/>
              <w:right w:val="single" w:sz="4" w:space="0" w:color="auto"/>
            </w:tcBorders>
            <w:noWrap/>
            <w:hideMark/>
          </w:tcPr>
          <w:p w14:paraId="4040D993"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10.1111/jgs.15828","author":[{"dropping-particle":"","family":"Choi","given":"S","non-dropping-particle":"","parse-names":false,"suffix":""},{"dropping-particle":"","family":"Kim","given":"K","non-dropping-particle":"","parse-names":false,"suffix":""},{"dropping-particle":"","family":"Chang","given":"J","non-dropping-particle":"","parse-names":false,"suffix":""},{"dropping-particle":"","family":"Kim","given":"S M","non-dropping-particle":"","parse-names":false,"suffix":""},{"dropping-particle":"","family":"Kim","given":"S J","non-dropping-particle":"","parse-names":false,"suffix":""},{"dropping-particle":"","family":"Cho","given":"H.-J.","non-dropping-particle":"","parse-names":false,"suffix":""},{"dropping-particle":"","family":"Park","given":"S M","non-dropping-particle":"","parse-names":false,"suffix":""}],"container-title":"Journal of the American Geriatrics Society","id":"ITEM-1","issue":"6","issued":{"date-parts":[["2019"]]},"page":"1234-1239","title":"Association of chronic periodontitis on Alzheimer's disease or vascular dementia","type":"article-journal","volume":"67"},"uris":["http://www.mendeley.com/documents/?uuid=414ef788-9064-4c87-9925-a657149eb023"]}],"mendeley":{"formattedCitation":"(Choi et al., 2019)","manualFormatting":"Choi et al. (2019)","plainTextFormattedCitation":"(Choi et al., 2019)","previouslyFormattedCitation":"(Choi et al., 2019)"},"properties":{"noteIndex":0},"schema":"https://github.com/citation-style-language/schema/raw/master/csl-citation.json"}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Choi et al. (2019)</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12E7AAC8"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analyze the association between chronic periodontitis and overall dementia, Alzheimer’s disease, and vascular dementia.</w:t>
            </w:r>
          </w:p>
        </w:tc>
        <w:tc>
          <w:tcPr>
            <w:tcW w:w="2561" w:type="dxa"/>
            <w:tcBorders>
              <w:top w:val="nil"/>
              <w:left w:val="nil"/>
              <w:bottom w:val="single" w:sz="4" w:space="0" w:color="auto"/>
              <w:right w:val="single" w:sz="4" w:space="0" w:color="auto"/>
            </w:tcBorders>
            <w:noWrap/>
            <w:hideMark/>
          </w:tcPr>
          <w:p w14:paraId="5C8F6DFB"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retrospective cohort study based on the Korean National Health Insurance Service-Health Screening Cohort. The sample consisted of 262,349 participants. The analysis used Cox proportional hazards regression.</w:t>
            </w:r>
          </w:p>
        </w:tc>
        <w:tc>
          <w:tcPr>
            <w:tcW w:w="2921" w:type="dxa"/>
            <w:tcBorders>
              <w:top w:val="nil"/>
              <w:left w:val="nil"/>
              <w:bottom w:val="single" w:sz="4" w:space="0" w:color="auto"/>
              <w:right w:val="single" w:sz="4" w:space="0" w:color="auto"/>
            </w:tcBorders>
            <w:noWrap/>
            <w:hideMark/>
          </w:tcPr>
          <w:p w14:paraId="057B2049"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Chronic periodontitis was associated with an increased risk of overall dementia, with an aHR of 1.06; 95% CI = 1.01–1.11; p = 0.015. The risk of Alzheimer’s disease also increased, with an aHR of 1.05; 95% CI = 1.00–1.11; p = 0.042. The risk of vascular dementia increased but was not statistically significant, with an aHR of 1.10; 95% CI = 0.98–1.22; p = 0.088.</w:t>
            </w:r>
          </w:p>
        </w:tc>
        <w:tc>
          <w:tcPr>
            <w:tcW w:w="2135" w:type="dxa"/>
            <w:tcBorders>
              <w:top w:val="nil"/>
              <w:left w:val="nil"/>
              <w:bottom w:val="single" w:sz="4" w:space="0" w:color="auto"/>
              <w:right w:val="single" w:sz="4" w:space="0" w:color="auto"/>
            </w:tcBorders>
            <w:noWrap/>
            <w:hideMark/>
          </w:tcPr>
          <w:p w14:paraId="5F924BC9"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Chronic periodontitis is associated with a higher risk of dementia and Alzheimer’s disease. The association with vascular dementia appears to increase but is not statistically significant.</w:t>
            </w:r>
          </w:p>
        </w:tc>
      </w:tr>
      <w:tr w:rsidR="003547C3" w:rsidRPr="003547C3" w14:paraId="5CCB0AC5"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5EBB37B7"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5</w:t>
            </w:r>
          </w:p>
        </w:tc>
        <w:tc>
          <w:tcPr>
            <w:tcW w:w="1216" w:type="dxa"/>
            <w:tcBorders>
              <w:top w:val="nil"/>
              <w:left w:val="nil"/>
              <w:bottom w:val="single" w:sz="4" w:space="0" w:color="auto"/>
              <w:right w:val="single" w:sz="4" w:space="0" w:color="auto"/>
            </w:tcBorders>
            <w:noWrap/>
            <w:hideMark/>
          </w:tcPr>
          <w:p w14:paraId="4F555CAB"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10.1111/jcpe.13155","author":[{"dropping-particle":"","family":"Sung","given":"Chien-En","non-dropping-particle":"","parse-names":false,"suffix":""},{"dropping-particle":"","family":"Huang","given":"Rong-Yi","non-dropping-particle":"","parse-names":false,"suffix":""},{"dropping-particle":"","family":"Cheng","given":"Wen-Chieh","non-dropping-particle":"","parse-names":false,"suffix":""},{"dropping-particle":"","family":"Kao","given":"Tsai-Wang","non-dropping-particle":"","parse-names":false,"suffix":""},{"dropping-particle":"","family":"Chen","given":"Wei-Liang","non-dropping-particle":"","parse-names":false,"suffix":""}],"container-title":"Journal of Clinical Periodontology","id":"ITEM-1","issue":"8","issued":{"date-parts":[["2019"]]},"page":"790-798","title":"Association between periodontitis and cognitive impairment: Analysis of National Health and Nutrition Examination Survey (NHANES) III","type":"article-journal","volume":"46"},"uris":["http://www.mendeley.com/documents/?uuid=7817265b-da6c-45bf-b45d-d46cf8f8c7a9"]}],"mendeley":{"formattedCitation":"(Sung et al., 2019)","manualFormatting":"Sung et al. (2019)","plainTextFormattedCitation":"(Sung et al., 2019)","previouslyFormattedCitation":"(Sung et al., 2019)"},"properties":{"noteIndex":0},"schema":"https://github.com/citation-style-language/schema/raw/master/csl-citation.json"}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Sung et al. (2019)</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18D0E942"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analyze the association between periodontitis and impaired cognitive function in the adult population of the United States.</w:t>
            </w:r>
          </w:p>
        </w:tc>
        <w:tc>
          <w:tcPr>
            <w:tcW w:w="2561" w:type="dxa"/>
            <w:tcBorders>
              <w:top w:val="nil"/>
              <w:left w:val="nil"/>
              <w:bottom w:val="single" w:sz="4" w:space="0" w:color="auto"/>
              <w:right w:val="single" w:sz="4" w:space="0" w:color="auto"/>
            </w:tcBorders>
            <w:noWrap/>
            <w:hideMark/>
          </w:tcPr>
          <w:p w14:paraId="21915A5A"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cross-sectional study using NHANES III. The sample consisted of 4,663 participants aged 20–59 years. Periodontitis status was categorized as normal, mild, moderate, and severe. Cognitive function was assessed using SRTT, SDST, and SDLT.</w:t>
            </w:r>
          </w:p>
        </w:tc>
        <w:tc>
          <w:tcPr>
            <w:tcW w:w="2921" w:type="dxa"/>
            <w:tcBorders>
              <w:top w:val="nil"/>
              <w:left w:val="nil"/>
              <w:bottom w:val="single" w:sz="4" w:space="0" w:color="auto"/>
              <w:right w:val="single" w:sz="4" w:space="0" w:color="auto"/>
            </w:tcBorders>
            <w:noWrap/>
            <w:hideMark/>
          </w:tcPr>
          <w:p w14:paraId="6043EC36"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After adjustment for demographic factors, education, smoking, cardiovascular disease, and laboratory data, periodontitis was significantly associated with increased SDST and SDLT scores. The p for trend was 0.014 for SDST and 0.038 for SDLT. In the fully adjusted model, moderate-to-severe periodontitis was associated with the SDLT total score, with β = 0.146; 95% CI = 0.010–0.282; p = 0.036.</w:t>
            </w:r>
          </w:p>
        </w:tc>
        <w:tc>
          <w:tcPr>
            <w:tcW w:w="2135" w:type="dxa"/>
            <w:tcBorders>
              <w:top w:val="nil"/>
              <w:left w:val="nil"/>
              <w:bottom w:val="single" w:sz="4" w:space="0" w:color="auto"/>
              <w:right w:val="single" w:sz="4" w:space="0" w:color="auto"/>
            </w:tcBorders>
            <w:noWrap/>
            <w:hideMark/>
          </w:tcPr>
          <w:p w14:paraId="28C9B254"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Periodontal status is associated with reduced cognitive function in a national adult sample. Individuals with cognitive impairment require attention in periodontal care.</w:t>
            </w:r>
          </w:p>
        </w:tc>
      </w:tr>
      <w:tr w:rsidR="003547C3" w:rsidRPr="003547C3" w14:paraId="716C136F"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746901A1"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6</w:t>
            </w:r>
          </w:p>
        </w:tc>
        <w:tc>
          <w:tcPr>
            <w:tcW w:w="1216" w:type="dxa"/>
            <w:tcBorders>
              <w:top w:val="nil"/>
              <w:left w:val="nil"/>
              <w:bottom w:val="single" w:sz="4" w:space="0" w:color="auto"/>
              <w:right w:val="single" w:sz="4" w:space="0" w:color="auto"/>
            </w:tcBorders>
            <w:noWrap/>
            <w:hideMark/>
          </w:tcPr>
          <w:p w14:paraId="7B706410"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10.1038/s41598-021-96147-4","author":[{"dropping-particle":"","family":"Jeong","given":"Eun","non-dropping-particle":"","parse-names":false,"suffix":""},{"dropping-particle":"","family":"Park","given":"Jin-Bom","non-dropping-particle":"","parse-names":false,"suffix":""},{"dropping-particle":"","family":"Park","given":"Yong-Gyu","non-dropping-particle":"","parse-names":false,"suffix":""}],"container-title":"Scientific Reports","id":"ITEM-1","issued":{"date-parts":[["2021"]]},"page":"16594","title":"Evaluation of the association between periodontitis and risk of Parkinson's disease: A nationwide retrospective cohort study","type":"article-journal","volume":"11"},"uris":["http://www.mendeley.com/documents/?uuid=32a23e44-b1a8-4678-9d8d-84d51ac50a03"]}],"mendeley":{"formattedCitation":"(Jeong et al., 2021)","manualFormatting":"Jeong et al. (2021)","plainTextFormattedCitation":"(Jeong et al., 2021)","previouslyFormattedCitation":"(Jeong et al., 2021)"},"properties":{"noteIndex":0},"schema":"https://github.com/citation-style-language/schema/raw/master/csl-citation.json"}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Jeong et al. (2021)</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21BBAD4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evaluate the association between periodontitis and the risk of Parkinson’s disease.</w:t>
            </w:r>
          </w:p>
        </w:tc>
        <w:tc>
          <w:tcPr>
            <w:tcW w:w="2561" w:type="dxa"/>
            <w:tcBorders>
              <w:top w:val="nil"/>
              <w:left w:val="nil"/>
              <w:bottom w:val="single" w:sz="4" w:space="0" w:color="auto"/>
              <w:right w:val="single" w:sz="4" w:space="0" w:color="auto"/>
            </w:tcBorders>
            <w:noWrap/>
            <w:hideMark/>
          </w:tcPr>
          <w:p w14:paraId="37F35330"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nationwide retrospective cohort study using data from the South Korean National Health Insurance Service. The final sample consisted of 6,825,684 participants aged ≥40 years. The analysis used the Cox proportional hazards model.</w:t>
            </w:r>
          </w:p>
        </w:tc>
        <w:tc>
          <w:tcPr>
            <w:tcW w:w="2921" w:type="dxa"/>
            <w:tcBorders>
              <w:top w:val="nil"/>
              <w:left w:val="nil"/>
              <w:bottom w:val="single" w:sz="4" w:space="0" w:color="auto"/>
              <w:right w:val="single" w:sz="4" w:space="0" w:color="auto"/>
            </w:tcBorders>
            <w:noWrap/>
            <w:hideMark/>
          </w:tcPr>
          <w:p w14:paraId="0CCB1C7A"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The risk of Parkinson’s disease increased among individuals requiring further dental visits, with an HR of 1.142; 95% CI = 1.094–1.193. The group with periodontitis and a need for further dental visits had the highest risk, with an HR of 1.167; 95% CI = 1.118–1.219.</w:t>
            </w:r>
          </w:p>
        </w:tc>
        <w:tc>
          <w:tcPr>
            <w:tcW w:w="2135" w:type="dxa"/>
            <w:tcBorders>
              <w:top w:val="nil"/>
              <w:left w:val="nil"/>
              <w:bottom w:val="single" w:sz="4" w:space="0" w:color="auto"/>
              <w:right w:val="single" w:sz="4" w:space="0" w:color="auto"/>
            </w:tcBorders>
            <w:noWrap/>
            <w:hideMark/>
          </w:tcPr>
          <w:p w14:paraId="67102519"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Periodontitis is associated with an increased risk of Parkinson’s disease. Regular dental and periodontal care may be part of preventing the risk of neurodegenerative disease.</w:t>
            </w:r>
          </w:p>
        </w:tc>
      </w:tr>
      <w:tr w:rsidR="003547C3" w:rsidRPr="003547C3" w14:paraId="4609DDE8"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5A3283FB"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lastRenderedPageBreak/>
              <w:t>7</w:t>
            </w:r>
          </w:p>
        </w:tc>
        <w:tc>
          <w:tcPr>
            <w:tcW w:w="1216" w:type="dxa"/>
            <w:tcBorders>
              <w:top w:val="nil"/>
              <w:left w:val="nil"/>
              <w:bottom w:val="single" w:sz="4" w:space="0" w:color="auto"/>
              <w:right w:val="single" w:sz="4" w:space="0" w:color="auto"/>
            </w:tcBorders>
            <w:noWrap/>
            <w:hideMark/>
          </w:tcPr>
          <w:p w14:paraId="5EFE1B5C"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10.4178/epih.e2022077","author":[{"dropping-particle":"","family":"Kim","given":"Seong-Ryeol","non-dropping-particle":"","parse-names":false,"suffix":""},{"dropping-particle":"","family":"Son","given":"Miri","non-dropping-particle":"","parse-names":false,"suffix":""},{"dropping-particle":"","family":"Kim","given":"Yu-Ri","non-dropping-particle":"","parse-names":false,"suffix":""},{"dropping-particle":"","family":"Kang","given":"Hyun-Kyung","non-dropping-particle":"","parse-names":false,"suffix":""}],"container-title":"Epidemiology and Health","id":"ITEM-1","issued":{"date-parts":[["2022"]]},"page":"e2022077","title":"Risk of dementia according to the severity of chronic periodontitis in Korea: A nationwide retrospective cohort study","type":"article-journal","volume":"44"},"uris":["http://www.mendeley.com/documents/?uuid=ad14a9d6-7835-4495-86dd-6846c5f28dca"]}],"mendeley":{"formattedCitation":"(Kim et al., 2022)","manualFormatting":"Kim et al, (2022)","plainTextFormattedCitation":"(Kim et al., 2022)","previouslyFormattedCitation":"(Kim et al., 2022)"},"properties":{"noteIndex":0},"schema":"https://github.com/citation-style-language/schema/raw/master/csl-citation.json"}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Kim et al, (2022)</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556C76D5"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analyze the risk of dementia among older adults with chronic periodontitis according to the severity of periodontitis.</w:t>
            </w:r>
          </w:p>
        </w:tc>
        <w:tc>
          <w:tcPr>
            <w:tcW w:w="2561" w:type="dxa"/>
            <w:tcBorders>
              <w:top w:val="nil"/>
              <w:left w:val="nil"/>
              <w:bottom w:val="single" w:sz="4" w:space="0" w:color="auto"/>
              <w:right w:val="single" w:sz="4" w:space="0" w:color="auto"/>
            </w:tcBorders>
            <w:noWrap/>
            <w:hideMark/>
          </w:tcPr>
          <w:p w14:paraId="3D179E20"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nationwide retrospective cohort study based on the South Korean National Health Insurance Service-Senior cohort database. After propensity score matching, there were 8,624 patients with mild chronic periodontitis and 8,624 patients with severe chronic periodontitis.</w:t>
            </w:r>
          </w:p>
        </w:tc>
        <w:tc>
          <w:tcPr>
            <w:tcW w:w="2921" w:type="dxa"/>
            <w:tcBorders>
              <w:top w:val="nil"/>
              <w:left w:val="nil"/>
              <w:bottom w:val="single" w:sz="4" w:space="0" w:color="auto"/>
              <w:right w:val="single" w:sz="4" w:space="0" w:color="auto"/>
            </w:tcBorders>
            <w:noWrap/>
            <w:hideMark/>
          </w:tcPr>
          <w:p w14:paraId="4E19F5CF"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The severe chronic periodontitis group had a higher risk of dementia than the mild chronic periodontitis group. The HR was 1.15; 95% CI = 1.04–1.27; p = 0.009. Kaplan-Meier analysis showed a lower disease-free probability in the severe chronic periodontitis group, with p for log-rank = 0.001.</w:t>
            </w:r>
          </w:p>
        </w:tc>
        <w:tc>
          <w:tcPr>
            <w:tcW w:w="2135" w:type="dxa"/>
            <w:tcBorders>
              <w:top w:val="nil"/>
              <w:left w:val="nil"/>
              <w:bottom w:val="single" w:sz="4" w:space="0" w:color="auto"/>
              <w:right w:val="single" w:sz="4" w:space="0" w:color="auto"/>
            </w:tcBorders>
            <w:noWrap/>
            <w:hideMark/>
          </w:tcPr>
          <w:p w14:paraId="54F7EB4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The severity of chronic periodontitis is associated with an increased risk of dementia. Management of periodontitis from the mild stage is needed to prevent the progression of dementia risk.</w:t>
            </w:r>
          </w:p>
        </w:tc>
      </w:tr>
      <w:tr w:rsidR="003547C3" w:rsidRPr="003547C3" w14:paraId="62DFC063"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0392E254"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8</w:t>
            </w:r>
          </w:p>
        </w:tc>
        <w:tc>
          <w:tcPr>
            <w:tcW w:w="1216" w:type="dxa"/>
            <w:tcBorders>
              <w:top w:val="nil"/>
              <w:left w:val="nil"/>
              <w:bottom w:val="single" w:sz="4" w:space="0" w:color="auto"/>
              <w:right w:val="single" w:sz="4" w:space="0" w:color="auto"/>
            </w:tcBorders>
            <w:noWrap/>
            <w:hideMark/>
          </w:tcPr>
          <w:p w14:paraId="35016A36"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10.1093/gerona/glac178","author":[{"dropping-particle":"","family":"Luo","given":"Huabin","non-dropping-particle":"","parse-names":false,"suffix":""},{"dropping-particle":"","family":"Wu","given":"Bei","non-dropping-particle":"","parse-names":false,"suffix":""},{"dropping-particle":"","family":"Gonz'alez","given":"Hector M","non-dropping-particle":"","parse-names":false,"suffix":""},{"dropping-particle":"","family":"Stickel","given":"Ariana","non-dropping-particle":"","parse-names":false,"suffix":""},{"dropping-particle":"","family":"Kaste","given":"Linda M","non-dropping-particle":"","parse-names":false,"suffix":""},{"dropping-particle":"","family":"Tarraf","given":"Wassim","non-dropping-particle":"","parse-names":false,"suffix":""},{"dropping-particle":"","family":"Daviglus","given":"Martha L","non-dropping-particle":"","parse-names":false,"suffix":""},{"dropping-particle":"","family":"Sanders","given":"Anne E","non-dropping-particle":"","parse-names":false,"suffix":""},{"dropping-particle":"","family":"Cai","given":"Jianwen","non-dropping-particle":"","parse-names":false,"suffix":""}],"container-title":"The Journals of Gerontology: Series A","id":"ITEM-1","issue":"6","issued":{"date-parts":[["2023"]]},"page":"949-957","title":"Tooth loss, periodontal disease, and mild cognitive impairment among Hispanic/Latino immigrants: The moderating effects of age at immigration","type":"article-journal","volume":"78"},"uris":["http://www.mendeley.com/documents/?uuid=dfe00faf-5d7a-4bea-897e-8fd0d5a96a17"]}],"mendeley":{"formattedCitation":"(Luo et al., 2023)","manualFormatting":"Luo et al. (2023)","plainTextFormattedCitation":"(Luo et al., 2023)","previouslyFormattedCitation":"(Luo et al., 2023)"},"properties":{"noteIndex":0},"schema":"https://github.com/citation-style-language/schema/raw/master/csl-citation.json"}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Luo et al. (2023)</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12546E3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assess the association of tooth loss and periodontal disease with mild cognitive impairment among Hispanic/Latino immigrants and to examine the role of age at immigration.</w:t>
            </w:r>
          </w:p>
        </w:tc>
        <w:tc>
          <w:tcPr>
            <w:tcW w:w="2561" w:type="dxa"/>
            <w:tcBorders>
              <w:top w:val="nil"/>
              <w:left w:val="nil"/>
              <w:bottom w:val="single" w:sz="4" w:space="0" w:color="auto"/>
              <w:right w:val="single" w:sz="4" w:space="0" w:color="auto"/>
            </w:tcBorders>
            <w:noWrap/>
            <w:hideMark/>
          </w:tcPr>
          <w:p w14:paraId="4C14EA3A"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An observational study using data from the Hispanic Community Health Study/Study of Latinos. The analyzed immigrant sample consisted of 5,709 participants. The analysis used adjusted regression models.</w:t>
            </w:r>
          </w:p>
        </w:tc>
        <w:tc>
          <w:tcPr>
            <w:tcW w:w="2921" w:type="dxa"/>
            <w:tcBorders>
              <w:top w:val="nil"/>
              <w:left w:val="nil"/>
              <w:bottom w:val="single" w:sz="4" w:space="0" w:color="auto"/>
              <w:right w:val="single" w:sz="4" w:space="0" w:color="auto"/>
            </w:tcBorders>
            <w:noWrap/>
            <w:hideMark/>
          </w:tcPr>
          <w:p w14:paraId="596AA064"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Severe tooth loss was associated with MCI, with an AOR of 1.36; 95% CI = 1.01–1.85. Overall, periodontal disease was associated with MCI, with p = 0.04. Comparisons of mild, moderate, and severe periodontal disease with no periodontal disease were not significant, with all p values &gt; 0.05. The interaction between periodontal disease and age at immigration was also not significant, with p = 0.10.</w:t>
            </w:r>
          </w:p>
        </w:tc>
        <w:tc>
          <w:tcPr>
            <w:tcW w:w="2135" w:type="dxa"/>
            <w:tcBorders>
              <w:top w:val="nil"/>
              <w:left w:val="nil"/>
              <w:bottom w:val="single" w:sz="4" w:space="0" w:color="auto"/>
              <w:right w:val="single" w:sz="4" w:space="0" w:color="auto"/>
            </w:tcBorders>
            <w:noWrap/>
            <w:hideMark/>
          </w:tcPr>
          <w:p w14:paraId="6A97F6B0"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Tooth loss appears to be a stronger oral health indicator of MCI than periodontal disease severity. Periodontal disease still shows a general association with MCI.</w:t>
            </w:r>
          </w:p>
        </w:tc>
      </w:tr>
      <w:tr w:rsidR="003547C3" w:rsidRPr="003547C3" w14:paraId="23CE260E"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3CE478DF"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9</w:t>
            </w:r>
          </w:p>
        </w:tc>
        <w:tc>
          <w:tcPr>
            <w:tcW w:w="1216" w:type="dxa"/>
            <w:tcBorders>
              <w:top w:val="nil"/>
              <w:left w:val="nil"/>
              <w:bottom w:val="single" w:sz="4" w:space="0" w:color="auto"/>
              <w:right w:val="single" w:sz="4" w:space="0" w:color="auto"/>
            </w:tcBorders>
            <w:noWrap/>
            <w:hideMark/>
          </w:tcPr>
          <w:p w14:paraId="23FDD3DD"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10.14283/jarlife.2024.16","author":[{"dropping-particle":"","family":"Igase","given":"Masashi","non-dropping-particle":"","parse-names":false,"suffix":""},{"dropping-particle":"","family":"Igase","given":"Kumiko","non-dropping-particle":"","parse-names":false,"suffix":""},{"dropping-particle":"","family":"Hino","given":"Sho","non-dropping-particle":"","parse-names":false,"suffix":""},{"dropping-particle":"","family":"Uchida","given":"Daijiro","non-dropping-particle":"","parse-names":false,"suffix":""},{"dropping-particle":"","family":"Okada","given":"Yuki","non-dropping-particle":"","parse-names":false,"suffix":""},{"dropping-particle":"","family":"Ochi","given":"Masayuki","non-dropping-particle":"","parse-names":false,"suffix":""},{"dropping-particle":"","family":"Tabara","given":"Yasuharu","non-dropping-particle":"","parse-names":false,"suffix":""},{"dropping-particle":"","family":"Ohyagi","given":"Yasumasa","non-dropping-particle":"","parse-names":false,"suffix":""}],"container-title":"The Journal of Aging Research &amp; Lifestyle","id":"ITEM-1","issued":{"date-parts":[["2024"]]},"page":"108-112","title":"Association of periodontitis with mild cognitive impairment in older adults","type":"article-journal","volume":"13"},"uris":["http://www.mendeley.com/documents/?uuid=a0be732b-d731-44d6-9804-b58d85f98326"]}],"mendeley":{"formattedCitation":"(Igase et al., 2024)","manualFormatting":"Igase et al. (2024)","plainTextFormattedCitation":"(Igase et al., 2024)","previouslyFormattedCitation":"(Igase et al., 2024)"},"properties":{"noteIndex":0},"schema":"https://github.com/citation-style-language/schema/raw/master/csl-citation.json"}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Igase et al. (2024)</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5BB57863"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examine the association between severe periodontitis and mild cognitive impairment among community residents who underwent dental health examinations.</w:t>
            </w:r>
          </w:p>
        </w:tc>
        <w:tc>
          <w:tcPr>
            <w:tcW w:w="2561" w:type="dxa"/>
            <w:tcBorders>
              <w:top w:val="nil"/>
              <w:left w:val="nil"/>
              <w:bottom w:val="single" w:sz="4" w:space="0" w:color="auto"/>
              <w:right w:val="single" w:sz="4" w:space="0" w:color="auto"/>
            </w:tcBorders>
            <w:noWrap/>
            <w:hideMark/>
          </w:tcPr>
          <w:p w14:paraId="5BD84328"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cross-sectional study involving 321 community participants in Japan. MCI was assessed using the MCI screening test. Periodontitis was diagnosed based on probing pocket depth. The analysis used multivariate logistic regression.</w:t>
            </w:r>
          </w:p>
        </w:tc>
        <w:tc>
          <w:tcPr>
            <w:tcW w:w="2921" w:type="dxa"/>
            <w:tcBorders>
              <w:top w:val="nil"/>
              <w:left w:val="nil"/>
              <w:bottom w:val="single" w:sz="4" w:space="0" w:color="auto"/>
              <w:right w:val="single" w:sz="4" w:space="0" w:color="auto"/>
            </w:tcBorders>
            <w:noWrap/>
            <w:hideMark/>
          </w:tcPr>
          <w:p w14:paraId="1295438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MCI was found in 41 subjects. Severe periodontitis was found in 123 subjects. Severe periodontitis was significantly associated with MCI after including age, education, number of functional teeth, and the presence of severe periodontitis. The OR was 4.024; 95% CI = 1.768–9.161; p &lt; 0.001.</w:t>
            </w:r>
          </w:p>
        </w:tc>
        <w:tc>
          <w:tcPr>
            <w:tcW w:w="2135" w:type="dxa"/>
            <w:tcBorders>
              <w:top w:val="nil"/>
              <w:left w:val="nil"/>
              <w:bottom w:val="single" w:sz="4" w:space="0" w:color="auto"/>
              <w:right w:val="single" w:sz="4" w:space="0" w:color="auto"/>
            </w:tcBorders>
            <w:noWrap/>
            <w:hideMark/>
          </w:tcPr>
          <w:p w14:paraId="034C5E66"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Severe periodontitis is strongly associated with mild cognitive impairment. Patients with severe periodontitis should be considered for cognitive function screening.</w:t>
            </w:r>
          </w:p>
        </w:tc>
      </w:tr>
      <w:tr w:rsidR="003547C3" w:rsidRPr="003547C3" w14:paraId="0D03F63B"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3696A701"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10</w:t>
            </w:r>
          </w:p>
        </w:tc>
        <w:tc>
          <w:tcPr>
            <w:tcW w:w="1216" w:type="dxa"/>
            <w:tcBorders>
              <w:top w:val="nil"/>
              <w:left w:val="nil"/>
              <w:bottom w:val="single" w:sz="4" w:space="0" w:color="auto"/>
              <w:right w:val="single" w:sz="4" w:space="0" w:color="auto"/>
            </w:tcBorders>
            <w:noWrap/>
            <w:hideMark/>
          </w:tcPr>
          <w:p w14:paraId="4C919985"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{"citationItems":[{"id":"ITEM-1","itemData":{"DOI":"10.1016/j.nrleng.2025.07.008","author":[{"dropping-particle":"","family":"Gil-Montoya","given":"J A","non-dropping-particle":"","parse-names":false,"suffix":""},{"dropping-particle":"","family":"Gerez-Muñoz","given":"M J","non-dropping-particle":"","parse-names":false,"suffix":""},{"dropping-particle":"","family":"Triviño-Ibáñez","given":"E","non-dropping-particle":"","parse-names":false,"suffix":""},{"dropping-particle":"","family":"Carrera-Muñoz","given":"I","non-dropping-particle":"","parse-names":false,"suffix":""},{"dropping-particle":"","family":"Bravo","given":"M","non-dropping-particle":"","parse-names":false,"suffix":""},{"dropping-particle":"","family":"Rashki","given":"M","non-dropping-particle":"","parse-names":false,"suffix":""},{"dropping-particle":"","family":"Solis-Urra","given":"P","non-dropping-particle":"","parse-names":false,"suffix":""},{"dropping-particle":"","family":"Esteban-Cornejo","given":"I","non-dropping-particle":"","parse-names":false,"suffix":""},{"dropping-particle":"","family":"Gómez-Río","given":"M","non-dropping-particle":"","parse-names":false,"suffix":""}],"container-title":"Neurología (English Edition)","id":"ITEM-1","issue":"7","issued":{"date-parts":[["2025"]]},"page":"641-650","title":"Periodontal disease and brain amyloid pathology in mild cognitive impairment","type":"article-journal","volume":"40"},"uris":["http://www.mendeley.com/documents/?uuid=199ec3d4-cd2c-4ed6-b7fa-870b9f379dd4"]}],"mendeley":{"formattedCitation":"(Gil-Montoya et al., 2025)","manualFormatting":"Gil-Montoya et al. (2025)","plainTextFormattedCitation":"(Gil-Montoya et al., 2025)","previouslyFormattedCitation":"(Gil-Montoya et al., 2025)"},"properties":{"noteIndex":0},"schema":"https://github.com/citation-style-language/schema/raw/master/csl-citation.json"}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 xml:space="preserve">Gil-Montoya </w:t>
            </w:r>
            <w:r w:rsidRPr="003547C3">
              <w:rPr>
                <w:rFonts w:ascii="Times New Roman" w:hAnsi="Times New Roman" w:cs="Times New Roman"/>
                <w:noProof/>
                <w:kern w:val="0"/>
                <w:sz w:val="24"/>
              </w:rPr>
              <w:lastRenderedPageBreak/>
              <w:t>et al. (2025)</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08BB5A16"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 xml:space="preserve">To assess the association </w:t>
            </w:r>
            <w:r w:rsidRPr="003547C3">
              <w:rPr>
                <w:rFonts w:ascii="Times New Roman" w:hAnsi="Times New Roman" w:cs="Times New Roman"/>
                <w:noProof/>
                <w:kern w:val="0"/>
                <w:sz w:val="24"/>
              </w:rPr>
              <w:lastRenderedPageBreak/>
              <w:t>between periodontal disease and brain beta-amyloid accumulation in patients with mild cognitive impairment.</w:t>
            </w:r>
          </w:p>
        </w:tc>
        <w:tc>
          <w:tcPr>
            <w:tcW w:w="2561" w:type="dxa"/>
            <w:tcBorders>
              <w:top w:val="nil"/>
              <w:left w:val="nil"/>
              <w:bottom w:val="single" w:sz="4" w:space="0" w:color="auto"/>
              <w:right w:val="single" w:sz="4" w:space="0" w:color="auto"/>
            </w:tcBorders>
            <w:noWrap/>
            <w:hideMark/>
          </w:tcPr>
          <w:p w14:paraId="167BBE82"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 xml:space="preserve">An observational study in Spain. All </w:t>
            </w:r>
            <w:r w:rsidRPr="003547C3">
              <w:rPr>
                <w:rFonts w:ascii="Times New Roman" w:hAnsi="Times New Roman" w:cs="Times New Roman"/>
                <w:noProof/>
                <w:kern w:val="0"/>
                <w:sz w:val="24"/>
              </w:rPr>
              <w:lastRenderedPageBreak/>
              <w:t>participants underwent periodontal examination and amyloid-PET scanning. The sample consisted of MCI/Aβ+ n = 45, MCI/Aβ− n = 59, and non-MCI/Aβ− n = 60.</w:t>
            </w:r>
          </w:p>
        </w:tc>
        <w:tc>
          <w:tcPr>
            <w:tcW w:w="2921" w:type="dxa"/>
            <w:tcBorders>
              <w:top w:val="nil"/>
              <w:left w:val="nil"/>
              <w:bottom w:val="single" w:sz="4" w:space="0" w:color="auto"/>
              <w:right w:val="single" w:sz="4" w:space="0" w:color="auto"/>
            </w:tcBorders>
            <w:noWrap/>
            <w:hideMark/>
          </w:tcPr>
          <w:p w14:paraId="244843C4"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 xml:space="preserve">Patients with moderate-to-severe periodontitis had a </w:t>
            </w:r>
            <w:r w:rsidRPr="003547C3">
              <w:rPr>
                <w:rFonts w:ascii="Times New Roman" w:hAnsi="Times New Roman" w:cs="Times New Roman"/>
                <w:noProof/>
                <w:kern w:val="0"/>
                <w:sz w:val="24"/>
              </w:rPr>
              <w:lastRenderedPageBreak/>
              <w:t>higher risk of abnormal Aβ accumulation. The comparison between MCI/Aβ+ and MCI/Aβ− showed OR = 3.30; 95% CI = 1.30–8.26. The comparison between MCI/Aβ+ and non-MCI/Aβ− showed OR = 4.94; 95% CI = 1.65–14.84.</w:t>
            </w:r>
          </w:p>
        </w:tc>
        <w:tc>
          <w:tcPr>
            <w:tcW w:w="2135" w:type="dxa"/>
            <w:tcBorders>
              <w:top w:val="nil"/>
              <w:left w:val="nil"/>
              <w:bottom w:val="single" w:sz="4" w:space="0" w:color="auto"/>
              <w:right w:val="single" w:sz="4" w:space="0" w:color="auto"/>
            </w:tcBorders>
            <w:noWrap/>
            <w:hideMark/>
          </w:tcPr>
          <w:p w14:paraId="035C7512"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lastRenderedPageBreak/>
              <w:t xml:space="preserve">Periodontal disease is associated with </w:t>
            </w:r>
            <w:r w:rsidRPr="003547C3">
              <w:rPr>
                <w:rFonts w:ascii="Times New Roman" w:hAnsi="Times New Roman" w:cs="Times New Roman"/>
                <w:noProof/>
                <w:kern w:val="0"/>
                <w:sz w:val="24"/>
              </w:rPr>
              <w:lastRenderedPageBreak/>
              <w:t>brain beta-amyloid accumulation. These findings support the suspected link between periodontal disease and Alzheimer’s pathology at the MCI stage.</w:t>
            </w:r>
          </w:p>
        </w:tc>
      </w:tr>
      <w:tr w:rsidR="003547C3" w:rsidRPr="003547C3" w14:paraId="4AFA7C20"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6C09DBDF"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lastRenderedPageBreak/>
              <w:t>11</w:t>
            </w:r>
          </w:p>
        </w:tc>
        <w:tc>
          <w:tcPr>
            <w:tcW w:w="1216" w:type="dxa"/>
            <w:tcBorders>
              <w:top w:val="nil"/>
              <w:left w:val="nil"/>
              <w:bottom w:val="single" w:sz="4" w:space="0" w:color="auto"/>
              <w:right w:val="single" w:sz="4" w:space="0" w:color="auto"/>
            </w:tcBorders>
            <w:noWrap/>
            <w:hideMark/>
          </w:tcPr>
          <w:p w14:paraId="5144DAD1"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10.1016/j.cegh.2025.102020","author":[{"dropping-particle":"","family":"Sun","given":"Qian","non-dropping-particle":"","parse-names":false,"suffix":""},{"dropping-particle":"","family":"Li","given":"Ming","non-dropping-particle":"","parse-names":false,"suffix":""}],"container-title":"Clinical Epidemiology and Global Health","id":"ITEM-1","issued":{"date-parts":[["2025"]]},"page":"102020","title":"Association between periodontitis and cognitive impairment in older adults: A cross-sectional study of the National Health and Nutrition Examination Survey","type":"article-journal","volume":"33"},"uris":["http://www.mendeley.com/documents/?uuid=d01be432-16db-4359-93b0-ac92fc70357c"]}],"mendeley":{"formattedCitation":"(Sun &amp; Li, 2025)","manualFormatting":"Sun &amp; Li (2025)","plainTextFormattedCitation":"(Sun &amp; Li, 2025)","previouslyFormattedCitation":"(Sun &amp; Li, 2025)"},"properties":{"noteIndex":0},"schema":"https://github.com/citation-style-language/schema/raw/master/csl-citation.json"}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Sun &amp; Li (2025)</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598B77D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analyze the association between periodontitis and cognitive impairment among older adults in the United States.</w:t>
            </w:r>
          </w:p>
        </w:tc>
        <w:tc>
          <w:tcPr>
            <w:tcW w:w="2561" w:type="dxa"/>
            <w:tcBorders>
              <w:top w:val="nil"/>
              <w:left w:val="nil"/>
              <w:bottom w:val="single" w:sz="4" w:space="0" w:color="auto"/>
              <w:right w:val="single" w:sz="4" w:space="0" w:color="auto"/>
            </w:tcBorders>
            <w:noWrap/>
            <w:hideMark/>
          </w:tcPr>
          <w:p w14:paraId="56814CDE"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cross-sectional study using NHANES 2011–2014. The sample consisted of 2,514 individuals aged ≥60 years. Periodontitis was categorized as no/mild and moderate/severe. Cognitive function was assessed using CERAD-WL, AFT, and DSST.</w:t>
            </w:r>
          </w:p>
        </w:tc>
        <w:tc>
          <w:tcPr>
            <w:tcW w:w="2921" w:type="dxa"/>
            <w:tcBorders>
              <w:top w:val="nil"/>
              <w:left w:val="nil"/>
              <w:bottom w:val="single" w:sz="4" w:space="0" w:color="auto"/>
              <w:right w:val="single" w:sz="4" w:space="0" w:color="auto"/>
            </w:tcBorders>
            <w:noWrap/>
            <w:hideMark/>
          </w:tcPr>
          <w:p w14:paraId="396ED1B7"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total of 52.6% of the sample had moderate/severe periodontitis. Moderate/severe periodontitis was associated with cognitive impairment on the DSST. The fully adjusted model showed OR = 1.290; 95% CI = 1.021–1.630; p = 0.033. Differences in CERAD-WL and DSST scores across periodontal status were significant, with p = 0.046 and p = 0.010.</w:t>
            </w:r>
          </w:p>
        </w:tc>
        <w:tc>
          <w:tcPr>
            <w:tcW w:w="2135" w:type="dxa"/>
            <w:tcBorders>
              <w:top w:val="nil"/>
              <w:left w:val="nil"/>
              <w:bottom w:val="single" w:sz="4" w:space="0" w:color="auto"/>
              <w:right w:val="single" w:sz="4" w:space="0" w:color="auto"/>
            </w:tcBorders>
            <w:noWrap/>
            <w:hideMark/>
          </w:tcPr>
          <w:p w14:paraId="6B7036FD"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Periodontitis is significantly associated with cognitive impairment among older adults. Periodontal care should be considered in the management of older adult health to reduce cognitive decline.</w:t>
            </w:r>
          </w:p>
        </w:tc>
      </w:tr>
      <w:tr w:rsidR="003547C3" w:rsidRPr="003547C3" w14:paraId="1546F73F" w14:textId="77777777" w:rsidTr="00FA79AF">
        <w:trPr>
          <w:trHeight w:val="310"/>
        </w:trPr>
        <w:tc>
          <w:tcPr>
            <w:tcW w:w="570" w:type="dxa"/>
            <w:tcBorders>
              <w:top w:val="nil"/>
              <w:left w:val="single" w:sz="4" w:space="0" w:color="auto"/>
              <w:bottom w:val="single" w:sz="4" w:space="0" w:color="auto"/>
              <w:right w:val="single" w:sz="4" w:space="0" w:color="auto"/>
            </w:tcBorders>
            <w:noWrap/>
            <w:hideMark/>
          </w:tcPr>
          <w:p w14:paraId="0678A6FA" w14:textId="77777777" w:rsidR="003547C3" w:rsidRPr="003547C3" w:rsidRDefault="003547C3" w:rsidP="002B349D">
            <w:pPr>
              <w:jc w:val="center"/>
              <w:rPr>
                <w:rFonts w:ascii="Times New Roman" w:hAnsi="Times New Roman" w:cs="Times New Roman"/>
                <w:noProof/>
                <w:kern w:val="0"/>
                <w:sz w:val="24"/>
              </w:rPr>
            </w:pPr>
            <w:r w:rsidRPr="003547C3">
              <w:rPr>
                <w:rFonts w:ascii="Times New Roman" w:hAnsi="Times New Roman" w:cs="Times New Roman"/>
                <w:noProof/>
                <w:kern w:val="0"/>
                <w:sz w:val="24"/>
              </w:rPr>
              <w:t>12</w:t>
            </w:r>
          </w:p>
        </w:tc>
        <w:tc>
          <w:tcPr>
            <w:tcW w:w="1216" w:type="dxa"/>
            <w:tcBorders>
              <w:top w:val="nil"/>
              <w:left w:val="nil"/>
              <w:bottom w:val="single" w:sz="4" w:space="0" w:color="auto"/>
              <w:right w:val="single" w:sz="4" w:space="0" w:color="auto"/>
            </w:tcBorders>
            <w:noWrap/>
            <w:hideMark/>
          </w:tcPr>
          <w:p w14:paraId="5DAA8602" w14:textId="77777777" w:rsidR="003547C3" w:rsidRPr="003547C3" w:rsidRDefault="003547C3" w:rsidP="003547C3">
            <w:pPr>
              <w:jc w:val="both"/>
              <w:rPr>
                <w:rFonts w:ascii="Times New Roman" w:hAnsi="Times New Roman" w:cs="Times New Roman"/>
                <w:noProof/>
                <w:kern w:val="0"/>
                <w:sz w:val="24"/>
              </w:rPr>
            </w:pPr>
            <w:r w:rsidRPr="003547C3">
              <w:rPr>
                <w:rFonts w:ascii="Times New Roman" w:hAnsi="Times New Roman" w:cs="Times New Roman"/>
                <w:noProof/>
                <w:kern w:val="0"/>
                <w:sz w:val="24"/>
              </w:rPr>
              <w:fldChar w:fldCharType="begin" w:fldLock="1"/>
            </w:r>
            <w:r w:rsidRPr="003547C3">
              <w:rPr>
                <w:rFonts w:ascii="Times New Roman" w:hAnsi="Times New Roman" w:cs="Times New Roman"/>
                <w:noProof/>
                <w:kern w:val="0"/>
                <w:sz w:val="24"/>
              </w:rPr>
              <w:instrText>ADDIN CSL_CITATION {"citationItems":[{"id":"ITEM-1","itemData":{"DOI":"10.17219/dmp/177412","author":[{"dropping-particle":"","family":"Aranda Romo","given":"Susana","non-dropping-particle":"","parse-names":false,"suffix":""},{"dropping-particle":"","family":"Garrocho-Rangel","given":"Arturo","non-dropping-particle":"","parse-names":false,"suffix":""},{"dropping-particle":"","family":"Mar'in Gonz'alez","given":"Adriana","non-dropping-particle":"","parse-names":false,"suffix":""},{"dropping-particle":"","family":"Cepeda-Bravo","given":"Antonio","non-dropping-particle":"","parse-names":false,"suffix":""},{"dropping-particle":"","family":"Jim'enez-Capdeville","given":"Mar'ia Elena","non-dropping-particle":"","parse-names":false,"suffix":""},{"dropping-particle":"","family":"Ortega Rodr'iguez","given":"Claudia","non-dropping-particle":"","parse-names":false,"suffix":""},{"dropping-particle":"","family":"Amaya Larios","given":"Irma Yolanda","non-dropping-particle":"","parse-names":false,"suffix":""},{"dropping-particle":"","family":"Pozos Guill'en","given":"Amaury","non-dropping-particle":"","parse-names":false,"suffix":""}],"container-title":"Dental and Medical Problems","id":"ITEM-1","issue":"4","issued":{"date-parts":[["2025"]]},"page":"591-600","title":"Cognitive status and periodontitis: Is there a correlation? A cross-sectional study","type":"article-journal","volume":"62"},"uris":["http://www.mendeley.com/documents/?uuid=090523c2-559d-4237-84e0-7cb365d57437"]}],"mendeley":{"formattedCitation":"(Aranda Romo et al., 2025)","manualFormatting":"Aranda Romo et al. (2025)","plainTextFormattedCitation":"(Aranda Romo et al., 2025)","previouslyFormattedCitation":"(Aranda Romo et al., 2025)"},"properties":{"noteIndex":0},"schema":"https://github.com/citation-style-language/schema/raw/master/csl-citation.json"}</w:instrText>
            </w:r>
            <w:r w:rsidRPr="003547C3">
              <w:rPr>
                <w:rFonts w:ascii="Times New Roman" w:hAnsi="Times New Roman" w:cs="Times New Roman"/>
                <w:noProof/>
                <w:kern w:val="0"/>
                <w:sz w:val="24"/>
              </w:rPr>
              <w:fldChar w:fldCharType="separate"/>
            </w:r>
            <w:r w:rsidRPr="003547C3">
              <w:rPr>
                <w:rFonts w:ascii="Times New Roman" w:hAnsi="Times New Roman" w:cs="Times New Roman"/>
                <w:noProof/>
                <w:kern w:val="0"/>
                <w:sz w:val="24"/>
              </w:rPr>
              <w:t>Aranda Romo et al. (2025)</w:t>
            </w:r>
            <w:r w:rsidRPr="003547C3">
              <w:rPr>
                <w:rFonts w:ascii="Times New Roman" w:hAnsi="Times New Roman" w:cs="Times New Roman"/>
                <w:noProof/>
                <w:kern w:val="0"/>
                <w:sz w:val="24"/>
              </w:rPr>
              <w:fldChar w:fldCharType="end"/>
            </w:r>
          </w:p>
        </w:tc>
        <w:tc>
          <w:tcPr>
            <w:tcW w:w="1763" w:type="dxa"/>
            <w:tcBorders>
              <w:top w:val="nil"/>
              <w:left w:val="nil"/>
              <w:bottom w:val="single" w:sz="4" w:space="0" w:color="auto"/>
              <w:right w:val="single" w:sz="4" w:space="0" w:color="auto"/>
            </w:tcBorders>
            <w:noWrap/>
            <w:hideMark/>
          </w:tcPr>
          <w:p w14:paraId="71E3D59D"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To determine the correlation between gingival index, periodontitis staging, and mild cognitive impairment assessed using MoCA in adults aged ≥55 years.</w:t>
            </w:r>
          </w:p>
        </w:tc>
        <w:tc>
          <w:tcPr>
            <w:tcW w:w="2561" w:type="dxa"/>
            <w:tcBorders>
              <w:top w:val="nil"/>
              <w:left w:val="nil"/>
              <w:bottom w:val="single" w:sz="4" w:space="0" w:color="auto"/>
              <w:right w:val="single" w:sz="4" w:space="0" w:color="auto"/>
            </w:tcBorders>
            <w:noWrap/>
            <w:hideMark/>
          </w:tcPr>
          <w:p w14:paraId="4C86CE89"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cross-sectional study involving 120 Mexican patients with or without periodontal disease. Periodontal examinations were conducted clinically and radiographically. MCI was assessed using the Montreal Cognitive Assessment.</w:t>
            </w:r>
          </w:p>
        </w:tc>
        <w:tc>
          <w:tcPr>
            <w:tcW w:w="2921" w:type="dxa"/>
            <w:tcBorders>
              <w:top w:val="nil"/>
              <w:left w:val="nil"/>
              <w:bottom w:val="single" w:sz="4" w:space="0" w:color="auto"/>
              <w:right w:val="single" w:sz="4" w:space="0" w:color="auto"/>
            </w:tcBorders>
            <w:noWrap/>
            <w:hideMark/>
          </w:tcPr>
          <w:p w14:paraId="6AAE4A30"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A total of 54% of subjects had MCI. Loss of clinical attachment level was associated with MCI, with OR = 1.68; 95% CI = 1.06–2.68; p = 0.027. Gingival index was also correlated with MCI, with p = 0.025. Other associated variables were sex, with OR = 2.97; p = 0.015, and education, with OR = 0.37; p = 0.021.</w:t>
            </w:r>
          </w:p>
        </w:tc>
        <w:tc>
          <w:tcPr>
            <w:tcW w:w="2135" w:type="dxa"/>
            <w:tcBorders>
              <w:top w:val="nil"/>
              <w:left w:val="nil"/>
              <w:bottom w:val="single" w:sz="4" w:space="0" w:color="auto"/>
              <w:right w:val="single" w:sz="4" w:space="0" w:color="auto"/>
            </w:tcBorders>
            <w:noWrap/>
            <w:hideMark/>
          </w:tcPr>
          <w:p w14:paraId="3B610D46" w14:textId="77777777" w:rsidR="003547C3" w:rsidRPr="003547C3" w:rsidRDefault="003547C3" w:rsidP="002B349D">
            <w:pPr>
              <w:rPr>
                <w:rFonts w:ascii="Times New Roman" w:hAnsi="Times New Roman" w:cs="Times New Roman"/>
                <w:noProof/>
                <w:kern w:val="0"/>
                <w:sz w:val="24"/>
              </w:rPr>
            </w:pPr>
            <w:r w:rsidRPr="003547C3">
              <w:rPr>
                <w:rFonts w:ascii="Times New Roman" w:hAnsi="Times New Roman" w:cs="Times New Roman"/>
                <w:noProof/>
                <w:kern w:val="0"/>
                <w:sz w:val="24"/>
              </w:rPr>
              <w:t>Gingival and periodontal parameters, particularly clinical attachment loss, are associated with mild cognitive impairment in older adults. Periodontal examination may provide additional information for the early detection of cognitive impairment.</w:t>
            </w:r>
          </w:p>
        </w:tc>
      </w:tr>
    </w:tbl>
    <w:p w14:paraId="0B98302F" w14:textId="77777777" w:rsidR="002B349D" w:rsidRDefault="002B349D" w:rsidP="00CE7E55">
      <w:pPr>
        <w:jc w:val="both"/>
        <w:rPr>
          <w:rFonts w:ascii="Times New Roman" w:hAnsi="Times New Roman" w:cs="Times New Roman"/>
          <w:noProof/>
          <w:kern w:val="0"/>
          <w:sz w:val="24"/>
        </w:rPr>
      </w:pPr>
    </w:p>
    <w:p w14:paraId="57057033" w14:textId="77777777" w:rsidR="002B349D" w:rsidRPr="002B349D" w:rsidRDefault="002B349D" w:rsidP="002B349D">
      <w:pPr>
        <w:jc w:val="both"/>
        <w:rPr>
          <w:rFonts w:ascii="Times New Roman" w:hAnsi="Times New Roman" w:cs="Times New Roman"/>
          <w:b/>
          <w:bCs/>
          <w:sz w:val="24"/>
          <w:szCs w:val="24"/>
        </w:rPr>
      </w:pPr>
      <w:r w:rsidRPr="002B349D">
        <w:rPr>
          <w:rFonts w:ascii="Times New Roman" w:hAnsi="Times New Roman" w:cs="Times New Roman"/>
          <w:b/>
          <w:bCs/>
          <w:sz w:val="24"/>
          <w:szCs w:val="24"/>
        </w:rPr>
        <w:t>Figure legends</w:t>
      </w:r>
    </w:p>
    <w:p w14:paraId="06AE2993" w14:textId="77777777" w:rsidR="002B349D" w:rsidRPr="002B349D" w:rsidRDefault="002B349D" w:rsidP="002B349D">
      <w:pPr>
        <w:jc w:val="both"/>
        <w:rPr>
          <w:rFonts w:ascii="Times New Roman" w:hAnsi="Times New Roman" w:cs="Times New Roman"/>
          <w:sz w:val="24"/>
          <w:szCs w:val="24"/>
        </w:rPr>
      </w:pPr>
      <w:r w:rsidRPr="002B349D">
        <w:rPr>
          <w:rFonts w:ascii="Times New Roman" w:hAnsi="Times New Roman" w:cs="Times New Roman"/>
          <w:b/>
          <w:bCs/>
          <w:sz w:val="24"/>
          <w:szCs w:val="24"/>
        </w:rPr>
        <w:t>Figure 1.</w:t>
      </w:r>
      <w:r w:rsidRPr="002B349D">
        <w:rPr>
          <w:rFonts w:ascii="Times New Roman" w:hAnsi="Times New Roman" w:cs="Times New Roman"/>
          <w:sz w:val="24"/>
          <w:szCs w:val="24"/>
        </w:rPr>
        <w:t xml:space="preserve"> PRISMA flow diagram of study selection.</w:t>
      </w:r>
    </w:p>
    <w:p w14:paraId="627DA618" w14:textId="77777777" w:rsidR="002B349D" w:rsidRPr="002B349D" w:rsidRDefault="002B349D" w:rsidP="002B349D">
      <w:pPr>
        <w:jc w:val="both"/>
        <w:rPr>
          <w:rFonts w:ascii="Times New Roman" w:hAnsi="Times New Roman" w:cs="Times New Roman"/>
          <w:sz w:val="24"/>
          <w:szCs w:val="24"/>
        </w:rPr>
      </w:pPr>
      <w:r w:rsidRPr="002B349D">
        <w:rPr>
          <w:rFonts w:ascii="Times New Roman" w:hAnsi="Times New Roman" w:cs="Times New Roman"/>
          <w:sz w:val="24"/>
          <w:szCs w:val="24"/>
        </w:rPr>
        <w:lastRenderedPageBreak/>
        <w:t>The diagram shows the identification, screening, eligibility assessment, and inclusion process of articles in this systematic review and meta-analysis.</w:t>
      </w:r>
    </w:p>
    <w:p w14:paraId="0959E1AE" w14:textId="1AADC3EE" w:rsidR="002B349D" w:rsidRDefault="002B349D" w:rsidP="002B349D">
      <w:pPr>
        <w:jc w:val="both"/>
        <w:rPr>
          <w:rFonts w:ascii="Times New Roman" w:hAnsi="Times New Roman" w:cs="Times New Roman"/>
          <w:sz w:val="24"/>
          <w:szCs w:val="24"/>
        </w:rPr>
      </w:pPr>
      <w:r w:rsidRPr="007F0F25">
        <w:rPr>
          <w:rFonts w:ascii="Times New Roman" w:hAnsi="Times New Roman" w:cs="Times New Roman"/>
          <w:noProof/>
          <w:sz w:val="24"/>
          <w:szCs w:val="24"/>
        </w:rPr>
        <w:drawing>
          <wp:inline distT="0" distB="0" distL="0" distR="0" wp14:anchorId="17425203" wp14:editId="73A28856">
            <wp:extent cx="5731510" cy="4599668"/>
            <wp:effectExtent l="0" t="0" r="2540" b="0"/>
            <wp:docPr id="134155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599668"/>
                    </a:xfrm>
                    <a:prstGeom prst="rect">
                      <a:avLst/>
                    </a:prstGeom>
                    <a:noFill/>
                  </pic:spPr>
                </pic:pic>
              </a:graphicData>
            </a:graphic>
          </wp:inline>
        </w:drawing>
      </w:r>
    </w:p>
    <w:p w14:paraId="08DDCCF6" w14:textId="77777777" w:rsidR="002B349D" w:rsidRPr="002B349D" w:rsidRDefault="002B349D" w:rsidP="002B349D">
      <w:pPr>
        <w:jc w:val="both"/>
        <w:rPr>
          <w:rFonts w:ascii="Times New Roman" w:hAnsi="Times New Roman" w:cs="Times New Roman"/>
          <w:sz w:val="24"/>
          <w:szCs w:val="24"/>
        </w:rPr>
      </w:pPr>
    </w:p>
    <w:p w14:paraId="5EE697C5" w14:textId="77777777" w:rsidR="002D0E91" w:rsidRDefault="002D0E91" w:rsidP="002B349D">
      <w:pPr>
        <w:jc w:val="both"/>
        <w:rPr>
          <w:rFonts w:ascii="Times New Roman" w:hAnsi="Times New Roman" w:cs="Times New Roman"/>
          <w:b/>
          <w:bCs/>
          <w:sz w:val="24"/>
          <w:szCs w:val="24"/>
        </w:rPr>
      </w:pPr>
    </w:p>
    <w:p w14:paraId="2EB4E759" w14:textId="77777777" w:rsidR="002D0E91" w:rsidRDefault="002D0E91" w:rsidP="002B349D">
      <w:pPr>
        <w:jc w:val="both"/>
        <w:rPr>
          <w:rFonts w:ascii="Times New Roman" w:hAnsi="Times New Roman" w:cs="Times New Roman"/>
          <w:b/>
          <w:bCs/>
          <w:sz w:val="24"/>
          <w:szCs w:val="24"/>
        </w:rPr>
      </w:pPr>
    </w:p>
    <w:p w14:paraId="6A007C04" w14:textId="77777777" w:rsidR="002D0E91" w:rsidRDefault="002D0E91" w:rsidP="002B349D">
      <w:pPr>
        <w:jc w:val="both"/>
        <w:rPr>
          <w:rFonts w:ascii="Times New Roman" w:hAnsi="Times New Roman" w:cs="Times New Roman"/>
          <w:b/>
          <w:bCs/>
          <w:sz w:val="24"/>
          <w:szCs w:val="24"/>
        </w:rPr>
      </w:pPr>
    </w:p>
    <w:p w14:paraId="0C77FE31" w14:textId="77777777" w:rsidR="002D0E91" w:rsidRDefault="002D0E91" w:rsidP="002B349D">
      <w:pPr>
        <w:jc w:val="both"/>
        <w:rPr>
          <w:rFonts w:ascii="Times New Roman" w:hAnsi="Times New Roman" w:cs="Times New Roman"/>
          <w:b/>
          <w:bCs/>
          <w:sz w:val="24"/>
          <w:szCs w:val="24"/>
        </w:rPr>
      </w:pPr>
    </w:p>
    <w:p w14:paraId="4DDAA12C" w14:textId="77777777" w:rsidR="002D0E91" w:rsidRDefault="002D0E91" w:rsidP="002B349D">
      <w:pPr>
        <w:jc w:val="both"/>
        <w:rPr>
          <w:rFonts w:ascii="Times New Roman" w:hAnsi="Times New Roman" w:cs="Times New Roman"/>
          <w:b/>
          <w:bCs/>
          <w:sz w:val="24"/>
          <w:szCs w:val="24"/>
        </w:rPr>
      </w:pPr>
    </w:p>
    <w:p w14:paraId="58338675" w14:textId="725F5206" w:rsidR="002B349D" w:rsidRPr="002B349D" w:rsidRDefault="002B349D" w:rsidP="002B349D">
      <w:pPr>
        <w:jc w:val="both"/>
        <w:rPr>
          <w:rFonts w:ascii="Times New Roman" w:hAnsi="Times New Roman" w:cs="Times New Roman"/>
          <w:sz w:val="24"/>
          <w:szCs w:val="24"/>
        </w:rPr>
      </w:pPr>
      <w:r w:rsidRPr="002B349D">
        <w:rPr>
          <w:rFonts w:ascii="Times New Roman" w:hAnsi="Times New Roman" w:cs="Times New Roman"/>
          <w:b/>
          <w:bCs/>
          <w:sz w:val="24"/>
          <w:szCs w:val="24"/>
        </w:rPr>
        <w:t>Figure 2.</w:t>
      </w:r>
      <w:r w:rsidRPr="002B349D">
        <w:rPr>
          <w:rFonts w:ascii="Times New Roman" w:hAnsi="Times New Roman" w:cs="Times New Roman"/>
          <w:sz w:val="24"/>
          <w:szCs w:val="24"/>
        </w:rPr>
        <w:t xml:space="preserve"> Funnel plot of the relationship between periodontitis, cognitive impairment, and neurodegenerative disease.</w:t>
      </w:r>
    </w:p>
    <w:p w14:paraId="4BBA23D3" w14:textId="77777777" w:rsidR="002B349D" w:rsidRPr="002B349D" w:rsidRDefault="002B349D" w:rsidP="002B349D">
      <w:pPr>
        <w:jc w:val="both"/>
        <w:rPr>
          <w:rFonts w:ascii="Times New Roman" w:hAnsi="Times New Roman" w:cs="Times New Roman"/>
          <w:sz w:val="24"/>
          <w:szCs w:val="24"/>
        </w:rPr>
      </w:pPr>
      <w:r w:rsidRPr="002B349D">
        <w:rPr>
          <w:rFonts w:ascii="Times New Roman" w:hAnsi="Times New Roman" w:cs="Times New Roman"/>
          <w:sz w:val="24"/>
          <w:szCs w:val="24"/>
        </w:rPr>
        <w:t>The funnel plot presents the distribution of included studies based on residual values and standard errors to visually assess possible publication bias and variation across studies.</w:t>
      </w:r>
    </w:p>
    <w:p w14:paraId="3EFD3004" w14:textId="088B574B" w:rsidR="002B349D" w:rsidRPr="002B349D" w:rsidRDefault="002B349D" w:rsidP="002B349D">
      <w:pPr>
        <w:jc w:val="both"/>
        <w:rPr>
          <w:rFonts w:ascii="Times New Roman" w:hAnsi="Times New Roman" w:cs="Times New Roman"/>
          <w:sz w:val="24"/>
          <w:szCs w:val="24"/>
        </w:rPr>
      </w:pPr>
      <w:r>
        <w:rPr>
          <w:noProof/>
        </w:rPr>
        <w:lastRenderedPageBreak/>
        <w:drawing>
          <wp:inline distT="0" distB="0" distL="0" distR="0" wp14:anchorId="64A09A55" wp14:editId="089763A9">
            <wp:extent cx="5731510" cy="3526790"/>
            <wp:effectExtent l="0" t="0" r="2540" b="0"/>
            <wp:docPr id="172907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526790"/>
                    </a:xfrm>
                    <a:prstGeom prst="rect">
                      <a:avLst/>
                    </a:prstGeom>
                    <a:noFill/>
                    <a:ln>
                      <a:noFill/>
                    </a:ln>
                  </pic:spPr>
                </pic:pic>
              </a:graphicData>
            </a:graphic>
          </wp:inline>
        </w:drawing>
      </w:r>
    </w:p>
    <w:p w14:paraId="7C54CB80" w14:textId="77777777" w:rsidR="002B349D" w:rsidRDefault="002B349D" w:rsidP="002B349D">
      <w:pPr>
        <w:jc w:val="both"/>
        <w:rPr>
          <w:rFonts w:ascii="Times New Roman" w:hAnsi="Times New Roman" w:cs="Times New Roman"/>
          <w:b/>
          <w:bCs/>
          <w:sz w:val="24"/>
          <w:szCs w:val="24"/>
        </w:rPr>
      </w:pPr>
    </w:p>
    <w:p w14:paraId="1227E58B" w14:textId="32D6FA80" w:rsidR="002B349D" w:rsidRPr="002B349D" w:rsidRDefault="002B349D" w:rsidP="002B349D">
      <w:pPr>
        <w:jc w:val="both"/>
        <w:rPr>
          <w:rFonts w:ascii="Times New Roman" w:hAnsi="Times New Roman" w:cs="Times New Roman"/>
          <w:sz w:val="24"/>
          <w:szCs w:val="24"/>
        </w:rPr>
      </w:pPr>
      <w:r w:rsidRPr="002B349D">
        <w:rPr>
          <w:rFonts w:ascii="Times New Roman" w:hAnsi="Times New Roman" w:cs="Times New Roman"/>
          <w:b/>
          <w:bCs/>
          <w:sz w:val="24"/>
          <w:szCs w:val="24"/>
        </w:rPr>
        <w:t>Figure 3.</w:t>
      </w:r>
      <w:r w:rsidRPr="002B349D">
        <w:rPr>
          <w:rFonts w:ascii="Times New Roman" w:hAnsi="Times New Roman" w:cs="Times New Roman"/>
          <w:sz w:val="24"/>
          <w:szCs w:val="24"/>
        </w:rPr>
        <w:t xml:space="preserve"> Forest plot of the association between periodontitis, cognitive impairment, and neurodegenerative disease.</w:t>
      </w:r>
    </w:p>
    <w:p w14:paraId="27F0AC0E" w14:textId="0229CA7C" w:rsidR="002B349D" w:rsidRDefault="002B349D" w:rsidP="00CE7E55">
      <w:pPr>
        <w:jc w:val="both"/>
        <w:rPr>
          <w:rFonts w:ascii="Times New Roman" w:hAnsi="Times New Roman" w:cs="Times New Roman"/>
          <w:sz w:val="24"/>
          <w:szCs w:val="24"/>
        </w:rPr>
      </w:pPr>
      <w:r w:rsidRPr="002B349D">
        <w:rPr>
          <w:rFonts w:ascii="Times New Roman" w:hAnsi="Times New Roman" w:cs="Times New Roman"/>
          <w:sz w:val="24"/>
          <w:szCs w:val="24"/>
        </w:rPr>
        <w:t>The forest plot presents the effect estimate, confidence interval, pooled effect, and heterogeneity of the included studies.</w:t>
      </w:r>
    </w:p>
    <w:p w14:paraId="69194FD4" w14:textId="40F79383" w:rsidR="002B349D" w:rsidRPr="002B349D" w:rsidRDefault="002B349D" w:rsidP="00CE7E55">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63572C" wp14:editId="3B7CE204">
            <wp:extent cx="5730875" cy="2237740"/>
            <wp:effectExtent l="0" t="0" r="3175" b="0"/>
            <wp:docPr id="2010640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2237740"/>
                    </a:xfrm>
                    <a:prstGeom prst="rect">
                      <a:avLst/>
                    </a:prstGeom>
                    <a:noFill/>
                  </pic:spPr>
                </pic:pic>
              </a:graphicData>
            </a:graphic>
          </wp:inline>
        </w:drawing>
      </w:r>
    </w:p>
    <w:sectPr w:rsidR="002B349D" w:rsidRPr="002B349D" w:rsidSect="007F0F25">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DA28A7"/>
    <w:multiLevelType w:val="hybridMultilevel"/>
    <w:tmpl w:val="AB184E7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70827FAE"/>
    <w:multiLevelType w:val="hybridMultilevel"/>
    <w:tmpl w:val="F6666B1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7331058">
    <w:abstractNumId w:val="1"/>
  </w:num>
  <w:num w:numId="2" w16cid:durableId="1316568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E7D"/>
    <w:rsid w:val="000245B1"/>
    <w:rsid w:val="00052596"/>
    <w:rsid w:val="00057562"/>
    <w:rsid w:val="00063423"/>
    <w:rsid w:val="000946A8"/>
    <w:rsid w:val="00193728"/>
    <w:rsid w:val="001A17D1"/>
    <w:rsid w:val="001F407B"/>
    <w:rsid w:val="00205E77"/>
    <w:rsid w:val="002144A1"/>
    <w:rsid w:val="00254D38"/>
    <w:rsid w:val="002708C3"/>
    <w:rsid w:val="00273299"/>
    <w:rsid w:val="002B349D"/>
    <w:rsid w:val="002B5E7D"/>
    <w:rsid w:val="002D0E91"/>
    <w:rsid w:val="002D5DA7"/>
    <w:rsid w:val="002F26B6"/>
    <w:rsid w:val="00310999"/>
    <w:rsid w:val="003547C3"/>
    <w:rsid w:val="003C4BD7"/>
    <w:rsid w:val="00451960"/>
    <w:rsid w:val="004D5CA1"/>
    <w:rsid w:val="00511873"/>
    <w:rsid w:val="0054266D"/>
    <w:rsid w:val="005754A8"/>
    <w:rsid w:val="0059166D"/>
    <w:rsid w:val="00661F1D"/>
    <w:rsid w:val="006779F7"/>
    <w:rsid w:val="006848E1"/>
    <w:rsid w:val="006B4C84"/>
    <w:rsid w:val="006E41C2"/>
    <w:rsid w:val="00723618"/>
    <w:rsid w:val="0073106B"/>
    <w:rsid w:val="00735F64"/>
    <w:rsid w:val="007466F6"/>
    <w:rsid w:val="00762B5B"/>
    <w:rsid w:val="00794B79"/>
    <w:rsid w:val="007F0F25"/>
    <w:rsid w:val="008218C8"/>
    <w:rsid w:val="00880D88"/>
    <w:rsid w:val="00891B12"/>
    <w:rsid w:val="00897916"/>
    <w:rsid w:val="0091331C"/>
    <w:rsid w:val="009431E0"/>
    <w:rsid w:val="00991CE5"/>
    <w:rsid w:val="009B2946"/>
    <w:rsid w:val="00A55FC1"/>
    <w:rsid w:val="00BD7278"/>
    <w:rsid w:val="00C04F0B"/>
    <w:rsid w:val="00C34399"/>
    <w:rsid w:val="00C378B9"/>
    <w:rsid w:val="00CA0B19"/>
    <w:rsid w:val="00CB5F4D"/>
    <w:rsid w:val="00CE7E55"/>
    <w:rsid w:val="00CF6612"/>
    <w:rsid w:val="00E37E3C"/>
    <w:rsid w:val="00E9604E"/>
    <w:rsid w:val="00E96C5E"/>
    <w:rsid w:val="00F07A35"/>
    <w:rsid w:val="00F10BC9"/>
    <w:rsid w:val="00F65DE1"/>
    <w:rsid w:val="00F90E26"/>
    <w:rsid w:val="00FA2D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233FA"/>
  <w15:chartTrackingRefBased/>
  <w15:docId w15:val="{83BC9925-32FE-4354-86EA-082155644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66D"/>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B5E7D"/>
    <w:rPr>
      <w:color w:val="0563C1" w:themeColor="hyperlink"/>
      <w:u w:val="single"/>
    </w:rPr>
  </w:style>
  <w:style w:type="character" w:styleId="UnresolvedMention">
    <w:name w:val="Unresolved Mention"/>
    <w:basedOn w:val="DefaultParagraphFont"/>
    <w:uiPriority w:val="99"/>
    <w:semiHidden/>
    <w:unhideWhenUsed/>
    <w:rsid w:val="002B5E7D"/>
    <w:rPr>
      <w:color w:val="605E5C"/>
      <w:shd w:val="clear" w:color="auto" w:fill="E1DFDD"/>
    </w:rPr>
  </w:style>
  <w:style w:type="paragraph" w:styleId="ListParagraph">
    <w:name w:val="List Paragraph"/>
    <w:basedOn w:val="Normal"/>
    <w:uiPriority w:val="34"/>
    <w:qFormat/>
    <w:rsid w:val="009431E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215919">
      <w:bodyDiv w:val="1"/>
      <w:marLeft w:val="0"/>
      <w:marRight w:val="0"/>
      <w:marTop w:val="0"/>
      <w:marBottom w:val="0"/>
      <w:divBdr>
        <w:top w:val="none" w:sz="0" w:space="0" w:color="auto"/>
        <w:left w:val="none" w:sz="0" w:space="0" w:color="auto"/>
        <w:bottom w:val="none" w:sz="0" w:space="0" w:color="auto"/>
        <w:right w:val="none" w:sz="0" w:space="0" w:color="auto"/>
      </w:divBdr>
    </w:div>
    <w:div w:id="497890852">
      <w:bodyDiv w:val="1"/>
      <w:marLeft w:val="0"/>
      <w:marRight w:val="0"/>
      <w:marTop w:val="0"/>
      <w:marBottom w:val="0"/>
      <w:divBdr>
        <w:top w:val="none" w:sz="0" w:space="0" w:color="auto"/>
        <w:left w:val="none" w:sz="0" w:space="0" w:color="auto"/>
        <w:bottom w:val="none" w:sz="0" w:space="0" w:color="auto"/>
        <w:right w:val="none" w:sz="0" w:space="0" w:color="auto"/>
      </w:divBdr>
    </w:div>
    <w:div w:id="652953011">
      <w:bodyDiv w:val="1"/>
      <w:marLeft w:val="0"/>
      <w:marRight w:val="0"/>
      <w:marTop w:val="0"/>
      <w:marBottom w:val="0"/>
      <w:divBdr>
        <w:top w:val="none" w:sz="0" w:space="0" w:color="auto"/>
        <w:left w:val="none" w:sz="0" w:space="0" w:color="auto"/>
        <w:bottom w:val="none" w:sz="0" w:space="0" w:color="auto"/>
        <w:right w:val="none" w:sz="0" w:space="0" w:color="auto"/>
      </w:divBdr>
    </w:div>
    <w:div w:id="659115251">
      <w:bodyDiv w:val="1"/>
      <w:marLeft w:val="0"/>
      <w:marRight w:val="0"/>
      <w:marTop w:val="0"/>
      <w:marBottom w:val="0"/>
      <w:divBdr>
        <w:top w:val="none" w:sz="0" w:space="0" w:color="auto"/>
        <w:left w:val="none" w:sz="0" w:space="0" w:color="auto"/>
        <w:bottom w:val="none" w:sz="0" w:space="0" w:color="auto"/>
        <w:right w:val="none" w:sz="0" w:space="0" w:color="auto"/>
      </w:divBdr>
    </w:div>
    <w:div w:id="671104312">
      <w:bodyDiv w:val="1"/>
      <w:marLeft w:val="0"/>
      <w:marRight w:val="0"/>
      <w:marTop w:val="0"/>
      <w:marBottom w:val="0"/>
      <w:divBdr>
        <w:top w:val="none" w:sz="0" w:space="0" w:color="auto"/>
        <w:left w:val="none" w:sz="0" w:space="0" w:color="auto"/>
        <w:bottom w:val="none" w:sz="0" w:space="0" w:color="auto"/>
        <w:right w:val="none" w:sz="0" w:space="0" w:color="auto"/>
      </w:divBdr>
    </w:div>
    <w:div w:id="679893843">
      <w:bodyDiv w:val="1"/>
      <w:marLeft w:val="0"/>
      <w:marRight w:val="0"/>
      <w:marTop w:val="0"/>
      <w:marBottom w:val="0"/>
      <w:divBdr>
        <w:top w:val="none" w:sz="0" w:space="0" w:color="auto"/>
        <w:left w:val="none" w:sz="0" w:space="0" w:color="auto"/>
        <w:bottom w:val="none" w:sz="0" w:space="0" w:color="auto"/>
        <w:right w:val="none" w:sz="0" w:space="0" w:color="auto"/>
      </w:divBdr>
    </w:div>
    <w:div w:id="856651563">
      <w:bodyDiv w:val="1"/>
      <w:marLeft w:val="0"/>
      <w:marRight w:val="0"/>
      <w:marTop w:val="0"/>
      <w:marBottom w:val="0"/>
      <w:divBdr>
        <w:top w:val="none" w:sz="0" w:space="0" w:color="auto"/>
        <w:left w:val="none" w:sz="0" w:space="0" w:color="auto"/>
        <w:bottom w:val="none" w:sz="0" w:space="0" w:color="auto"/>
        <w:right w:val="none" w:sz="0" w:space="0" w:color="auto"/>
      </w:divBdr>
    </w:div>
    <w:div w:id="985621513">
      <w:bodyDiv w:val="1"/>
      <w:marLeft w:val="0"/>
      <w:marRight w:val="0"/>
      <w:marTop w:val="0"/>
      <w:marBottom w:val="0"/>
      <w:divBdr>
        <w:top w:val="none" w:sz="0" w:space="0" w:color="auto"/>
        <w:left w:val="none" w:sz="0" w:space="0" w:color="auto"/>
        <w:bottom w:val="none" w:sz="0" w:space="0" w:color="auto"/>
        <w:right w:val="none" w:sz="0" w:space="0" w:color="auto"/>
      </w:divBdr>
    </w:div>
    <w:div w:id="1025861406">
      <w:bodyDiv w:val="1"/>
      <w:marLeft w:val="0"/>
      <w:marRight w:val="0"/>
      <w:marTop w:val="0"/>
      <w:marBottom w:val="0"/>
      <w:divBdr>
        <w:top w:val="none" w:sz="0" w:space="0" w:color="auto"/>
        <w:left w:val="none" w:sz="0" w:space="0" w:color="auto"/>
        <w:bottom w:val="none" w:sz="0" w:space="0" w:color="auto"/>
        <w:right w:val="none" w:sz="0" w:space="0" w:color="auto"/>
      </w:divBdr>
    </w:div>
    <w:div w:id="1107770311">
      <w:bodyDiv w:val="1"/>
      <w:marLeft w:val="0"/>
      <w:marRight w:val="0"/>
      <w:marTop w:val="0"/>
      <w:marBottom w:val="0"/>
      <w:divBdr>
        <w:top w:val="none" w:sz="0" w:space="0" w:color="auto"/>
        <w:left w:val="none" w:sz="0" w:space="0" w:color="auto"/>
        <w:bottom w:val="none" w:sz="0" w:space="0" w:color="auto"/>
        <w:right w:val="none" w:sz="0" w:space="0" w:color="auto"/>
      </w:divBdr>
    </w:div>
    <w:div w:id="1110708655">
      <w:bodyDiv w:val="1"/>
      <w:marLeft w:val="0"/>
      <w:marRight w:val="0"/>
      <w:marTop w:val="0"/>
      <w:marBottom w:val="0"/>
      <w:divBdr>
        <w:top w:val="none" w:sz="0" w:space="0" w:color="auto"/>
        <w:left w:val="none" w:sz="0" w:space="0" w:color="auto"/>
        <w:bottom w:val="none" w:sz="0" w:space="0" w:color="auto"/>
        <w:right w:val="none" w:sz="0" w:space="0" w:color="auto"/>
      </w:divBdr>
      <w:divsChild>
        <w:div w:id="447238131">
          <w:marLeft w:val="0"/>
          <w:marRight w:val="0"/>
          <w:marTop w:val="0"/>
          <w:marBottom w:val="0"/>
          <w:divBdr>
            <w:top w:val="none" w:sz="0" w:space="0" w:color="auto"/>
            <w:left w:val="none" w:sz="0" w:space="0" w:color="auto"/>
            <w:bottom w:val="none" w:sz="0" w:space="0" w:color="auto"/>
            <w:right w:val="none" w:sz="0" w:space="0" w:color="auto"/>
          </w:divBdr>
          <w:divsChild>
            <w:div w:id="1290159717">
              <w:marLeft w:val="0"/>
              <w:marRight w:val="0"/>
              <w:marTop w:val="0"/>
              <w:marBottom w:val="0"/>
              <w:divBdr>
                <w:top w:val="none" w:sz="0" w:space="0" w:color="auto"/>
                <w:left w:val="none" w:sz="0" w:space="0" w:color="auto"/>
                <w:bottom w:val="none" w:sz="0" w:space="0" w:color="auto"/>
                <w:right w:val="none" w:sz="0" w:space="0" w:color="auto"/>
              </w:divBdr>
              <w:divsChild>
                <w:div w:id="409276305">
                  <w:marLeft w:val="0"/>
                  <w:marRight w:val="0"/>
                  <w:marTop w:val="0"/>
                  <w:marBottom w:val="0"/>
                  <w:divBdr>
                    <w:top w:val="none" w:sz="0" w:space="0" w:color="auto"/>
                    <w:left w:val="none" w:sz="0" w:space="0" w:color="auto"/>
                    <w:bottom w:val="none" w:sz="0" w:space="0" w:color="auto"/>
                    <w:right w:val="none" w:sz="0" w:space="0" w:color="auto"/>
                  </w:divBdr>
                  <w:divsChild>
                    <w:div w:id="121118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8144451">
      <w:bodyDiv w:val="1"/>
      <w:marLeft w:val="0"/>
      <w:marRight w:val="0"/>
      <w:marTop w:val="0"/>
      <w:marBottom w:val="0"/>
      <w:divBdr>
        <w:top w:val="none" w:sz="0" w:space="0" w:color="auto"/>
        <w:left w:val="none" w:sz="0" w:space="0" w:color="auto"/>
        <w:bottom w:val="none" w:sz="0" w:space="0" w:color="auto"/>
        <w:right w:val="none" w:sz="0" w:space="0" w:color="auto"/>
      </w:divBdr>
    </w:div>
    <w:div w:id="1340230115">
      <w:bodyDiv w:val="1"/>
      <w:marLeft w:val="0"/>
      <w:marRight w:val="0"/>
      <w:marTop w:val="0"/>
      <w:marBottom w:val="0"/>
      <w:divBdr>
        <w:top w:val="none" w:sz="0" w:space="0" w:color="auto"/>
        <w:left w:val="none" w:sz="0" w:space="0" w:color="auto"/>
        <w:bottom w:val="none" w:sz="0" w:space="0" w:color="auto"/>
        <w:right w:val="none" w:sz="0" w:space="0" w:color="auto"/>
      </w:divBdr>
    </w:div>
    <w:div w:id="1349214484">
      <w:bodyDiv w:val="1"/>
      <w:marLeft w:val="0"/>
      <w:marRight w:val="0"/>
      <w:marTop w:val="0"/>
      <w:marBottom w:val="0"/>
      <w:divBdr>
        <w:top w:val="none" w:sz="0" w:space="0" w:color="auto"/>
        <w:left w:val="none" w:sz="0" w:space="0" w:color="auto"/>
        <w:bottom w:val="none" w:sz="0" w:space="0" w:color="auto"/>
        <w:right w:val="none" w:sz="0" w:space="0" w:color="auto"/>
      </w:divBdr>
    </w:div>
    <w:div w:id="1431581849">
      <w:bodyDiv w:val="1"/>
      <w:marLeft w:val="0"/>
      <w:marRight w:val="0"/>
      <w:marTop w:val="0"/>
      <w:marBottom w:val="0"/>
      <w:divBdr>
        <w:top w:val="none" w:sz="0" w:space="0" w:color="auto"/>
        <w:left w:val="none" w:sz="0" w:space="0" w:color="auto"/>
        <w:bottom w:val="none" w:sz="0" w:space="0" w:color="auto"/>
        <w:right w:val="none" w:sz="0" w:space="0" w:color="auto"/>
      </w:divBdr>
    </w:div>
    <w:div w:id="1442411356">
      <w:bodyDiv w:val="1"/>
      <w:marLeft w:val="0"/>
      <w:marRight w:val="0"/>
      <w:marTop w:val="0"/>
      <w:marBottom w:val="0"/>
      <w:divBdr>
        <w:top w:val="none" w:sz="0" w:space="0" w:color="auto"/>
        <w:left w:val="none" w:sz="0" w:space="0" w:color="auto"/>
        <w:bottom w:val="none" w:sz="0" w:space="0" w:color="auto"/>
        <w:right w:val="none" w:sz="0" w:space="0" w:color="auto"/>
      </w:divBdr>
    </w:div>
    <w:div w:id="1569614174">
      <w:bodyDiv w:val="1"/>
      <w:marLeft w:val="0"/>
      <w:marRight w:val="0"/>
      <w:marTop w:val="0"/>
      <w:marBottom w:val="0"/>
      <w:divBdr>
        <w:top w:val="none" w:sz="0" w:space="0" w:color="auto"/>
        <w:left w:val="none" w:sz="0" w:space="0" w:color="auto"/>
        <w:bottom w:val="none" w:sz="0" w:space="0" w:color="auto"/>
        <w:right w:val="none" w:sz="0" w:space="0" w:color="auto"/>
      </w:divBdr>
    </w:div>
    <w:div w:id="1628320227">
      <w:bodyDiv w:val="1"/>
      <w:marLeft w:val="0"/>
      <w:marRight w:val="0"/>
      <w:marTop w:val="0"/>
      <w:marBottom w:val="0"/>
      <w:divBdr>
        <w:top w:val="none" w:sz="0" w:space="0" w:color="auto"/>
        <w:left w:val="none" w:sz="0" w:space="0" w:color="auto"/>
        <w:bottom w:val="none" w:sz="0" w:space="0" w:color="auto"/>
        <w:right w:val="none" w:sz="0" w:space="0" w:color="auto"/>
      </w:divBdr>
    </w:div>
    <w:div w:id="1663116366">
      <w:bodyDiv w:val="1"/>
      <w:marLeft w:val="0"/>
      <w:marRight w:val="0"/>
      <w:marTop w:val="0"/>
      <w:marBottom w:val="0"/>
      <w:divBdr>
        <w:top w:val="none" w:sz="0" w:space="0" w:color="auto"/>
        <w:left w:val="none" w:sz="0" w:space="0" w:color="auto"/>
        <w:bottom w:val="none" w:sz="0" w:space="0" w:color="auto"/>
        <w:right w:val="none" w:sz="0" w:space="0" w:color="auto"/>
      </w:divBdr>
    </w:div>
    <w:div w:id="1842548727">
      <w:bodyDiv w:val="1"/>
      <w:marLeft w:val="0"/>
      <w:marRight w:val="0"/>
      <w:marTop w:val="0"/>
      <w:marBottom w:val="0"/>
      <w:divBdr>
        <w:top w:val="none" w:sz="0" w:space="0" w:color="auto"/>
        <w:left w:val="none" w:sz="0" w:space="0" w:color="auto"/>
        <w:bottom w:val="none" w:sz="0" w:space="0" w:color="auto"/>
        <w:right w:val="none" w:sz="0" w:space="0" w:color="auto"/>
      </w:divBdr>
    </w:div>
    <w:div w:id="1909534912">
      <w:bodyDiv w:val="1"/>
      <w:marLeft w:val="0"/>
      <w:marRight w:val="0"/>
      <w:marTop w:val="0"/>
      <w:marBottom w:val="0"/>
      <w:divBdr>
        <w:top w:val="none" w:sz="0" w:space="0" w:color="auto"/>
        <w:left w:val="none" w:sz="0" w:space="0" w:color="auto"/>
        <w:bottom w:val="none" w:sz="0" w:space="0" w:color="auto"/>
        <w:right w:val="none" w:sz="0" w:space="0" w:color="auto"/>
      </w:divBdr>
    </w:div>
    <w:div w:id="2048018463">
      <w:bodyDiv w:val="1"/>
      <w:marLeft w:val="0"/>
      <w:marRight w:val="0"/>
      <w:marTop w:val="0"/>
      <w:marBottom w:val="0"/>
      <w:divBdr>
        <w:top w:val="none" w:sz="0" w:space="0" w:color="auto"/>
        <w:left w:val="none" w:sz="0" w:space="0" w:color="auto"/>
        <w:bottom w:val="none" w:sz="0" w:space="0" w:color="auto"/>
        <w:right w:val="none" w:sz="0" w:space="0" w:color="auto"/>
      </w:divBdr>
    </w:div>
    <w:div w:id="2072265336">
      <w:bodyDiv w:val="1"/>
      <w:marLeft w:val="0"/>
      <w:marRight w:val="0"/>
      <w:marTop w:val="0"/>
      <w:marBottom w:val="0"/>
      <w:divBdr>
        <w:top w:val="none" w:sz="0" w:space="0" w:color="auto"/>
        <w:left w:val="none" w:sz="0" w:space="0" w:color="auto"/>
        <w:bottom w:val="none" w:sz="0" w:space="0" w:color="auto"/>
        <w:right w:val="none" w:sz="0" w:space="0" w:color="auto"/>
      </w:divBdr>
    </w:div>
    <w:div w:id="2104180399">
      <w:bodyDiv w:val="1"/>
      <w:marLeft w:val="0"/>
      <w:marRight w:val="0"/>
      <w:marTop w:val="0"/>
      <w:marBottom w:val="0"/>
      <w:divBdr>
        <w:top w:val="none" w:sz="0" w:space="0" w:color="auto"/>
        <w:left w:val="none" w:sz="0" w:space="0" w:color="auto"/>
        <w:bottom w:val="none" w:sz="0" w:space="0" w:color="auto"/>
        <w:right w:val="none" w:sz="0" w:space="0" w:color="auto"/>
      </w:divBdr>
      <w:divsChild>
        <w:div w:id="261956257">
          <w:marLeft w:val="0"/>
          <w:marRight w:val="0"/>
          <w:marTop w:val="0"/>
          <w:marBottom w:val="0"/>
          <w:divBdr>
            <w:top w:val="none" w:sz="0" w:space="0" w:color="auto"/>
            <w:left w:val="none" w:sz="0" w:space="0" w:color="auto"/>
            <w:bottom w:val="none" w:sz="0" w:space="0" w:color="auto"/>
            <w:right w:val="none" w:sz="0" w:space="0" w:color="auto"/>
          </w:divBdr>
          <w:divsChild>
            <w:div w:id="1864783988">
              <w:marLeft w:val="0"/>
              <w:marRight w:val="0"/>
              <w:marTop w:val="0"/>
              <w:marBottom w:val="0"/>
              <w:divBdr>
                <w:top w:val="none" w:sz="0" w:space="0" w:color="auto"/>
                <w:left w:val="none" w:sz="0" w:space="0" w:color="auto"/>
                <w:bottom w:val="none" w:sz="0" w:space="0" w:color="auto"/>
                <w:right w:val="none" w:sz="0" w:space="0" w:color="auto"/>
              </w:divBdr>
              <w:divsChild>
                <w:div w:id="608586066">
                  <w:marLeft w:val="0"/>
                  <w:marRight w:val="0"/>
                  <w:marTop w:val="0"/>
                  <w:marBottom w:val="0"/>
                  <w:divBdr>
                    <w:top w:val="none" w:sz="0" w:space="0" w:color="auto"/>
                    <w:left w:val="none" w:sz="0" w:space="0" w:color="auto"/>
                    <w:bottom w:val="none" w:sz="0" w:space="0" w:color="auto"/>
                    <w:right w:val="none" w:sz="0" w:space="0" w:color="auto"/>
                  </w:divBdr>
                  <w:divsChild>
                    <w:div w:id="205693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9414AFB-0CE0-4232-BF39-F3EDA3D90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19</Pages>
  <Words>10727</Words>
  <Characters>61150</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 khairina putri</dc:creator>
  <cp:keywords/>
  <dc:description/>
  <cp:lastModifiedBy>PT ANOA MANDIRI SEJAHTERA</cp:lastModifiedBy>
  <cp:revision>12</cp:revision>
  <dcterms:created xsi:type="dcterms:W3CDTF">2026-06-05T23:36:00Z</dcterms:created>
  <dcterms:modified xsi:type="dcterms:W3CDTF">2026-07-29T06:18:00Z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http://www.zotero.org/styles/chicago-fullnote-bibliography</vt:lpwstr>
  </property>
  <property fmtid="{D5CDD505-2E9C-101B-9397-08002B2CF9AE}" pid="5" name="Mendeley Recent Style Name 1_1">
    <vt:lpwstr>Chicago Manual of Style 17th edition (full note)</vt:lpwstr>
  </property>
  <property fmtid="{D5CDD505-2E9C-101B-9397-08002B2CF9AE}" pid="6" name="Mendeley Recent Style Id 2_1">
    <vt:lpwstr>http://www.zotero.org/styles/chicago-notes-bibliography</vt:lpwstr>
  </property>
  <property fmtid="{D5CDD505-2E9C-101B-9397-08002B2CF9AE}" pid="7" name="Mendeley Recent Style Name 2_1">
    <vt:lpwstr>Chicago Manual of Style 18th edition (notes and bibliography)</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12th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http://www.zotero.org/styles/nature</vt:lpwstr>
  </property>
  <property fmtid="{D5CDD505-2E9C-101B-9397-08002B2CF9AE}" pid="15" name="Mendeley Recent Style Name 6_1">
    <vt:lpwstr>Nature</vt:lpwstr>
  </property>
  <property fmtid="{D5CDD505-2E9C-101B-9397-08002B2CF9AE}" pid="16" name="Mendeley Recent Style Id 7_1">
    <vt:lpwstr>http://www.zotero.org/styles/oscola-journal-abbreviations</vt:lpwstr>
  </property>
  <property fmtid="{D5CDD505-2E9C-101B-9397-08002B2CF9AE}" pid="17" name="Mendeley Recent Style Name 7_1">
    <vt:lpwstr>OSCOLA 4th edition (journal abbreviations)</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Citation Style_1">
    <vt:lpwstr>http://www.zotero.org/styles/apa</vt:lpwstr>
  </property>
  <property fmtid="{D5CDD505-2E9C-101B-9397-08002B2CF9AE}" pid="23" name="Mendeley Document_1">
    <vt:lpwstr>True</vt:lpwstr>
  </property>
  <property fmtid="{D5CDD505-2E9C-101B-9397-08002B2CF9AE}" pid="24" name="Mendeley Unique User Id_1">
    <vt:lpwstr>3d8709cd-a97f-34f6-92d6-0e9aebb48ed3</vt:lpwstr>
  </property>
</Properties>
</file>