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FD2A" w14:textId="77777777" w:rsidR="00951FE1" w:rsidRPr="004D4FB6" w:rsidRDefault="00951FE1" w:rsidP="00951FE1">
      <w:pPr>
        <w:spacing w:after="0" w:line="340" w:lineRule="atLeast"/>
        <w:jc w:val="both"/>
        <w:rPr>
          <w:rFonts w:asciiTheme="majorBidi" w:hAnsiTheme="majorBidi" w:cstheme="majorBidi"/>
          <w:b/>
          <w:spacing w:val="-2"/>
          <w:szCs w:val="24"/>
        </w:rPr>
      </w:pPr>
      <w:r w:rsidRPr="004D4FB6">
        <w:rPr>
          <w:rFonts w:asciiTheme="majorBidi" w:hAnsiTheme="majorBidi" w:cstheme="majorBidi"/>
          <w:b/>
          <w:spacing w:val="-2"/>
          <w:szCs w:val="24"/>
        </w:rPr>
        <w:t xml:space="preserve">3100-(Article-Dr. </w:t>
      </w:r>
      <w:r w:rsidRPr="004D4FB6">
        <w:rPr>
          <w:rFonts w:asciiTheme="majorBidi" w:hAnsiTheme="majorBidi" w:cstheme="majorBidi"/>
          <w:b/>
          <w:bCs/>
          <w:spacing w:val="-2"/>
          <w:szCs w:val="24"/>
        </w:rPr>
        <w:t>Edrizal, Sp. Ort</w:t>
      </w:r>
      <w:r w:rsidRPr="004D4FB6">
        <w:rPr>
          <w:rFonts w:asciiTheme="majorBidi" w:hAnsiTheme="majorBidi" w:cstheme="majorBidi"/>
          <w:b/>
          <w:spacing w:val="-2"/>
          <w:szCs w:val="24"/>
        </w:rPr>
        <w:t>)</w:t>
      </w:r>
    </w:p>
    <w:p w14:paraId="6D210C72" w14:textId="77777777" w:rsidR="00951FE1" w:rsidRPr="004D4FB6" w:rsidRDefault="00951FE1" w:rsidP="00951FE1">
      <w:pPr>
        <w:spacing w:after="0" w:line="340" w:lineRule="atLeast"/>
        <w:jc w:val="both"/>
        <w:rPr>
          <w:rFonts w:asciiTheme="majorBidi" w:hAnsiTheme="majorBidi" w:cstheme="majorBidi"/>
          <w:b/>
          <w:spacing w:val="-2"/>
          <w:szCs w:val="24"/>
        </w:rPr>
      </w:pPr>
    </w:p>
    <w:p w14:paraId="27E7699A" w14:textId="77777777" w:rsidR="00951FE1" w:rsidRPr="004D4FB6" w:rsidRDefault="00951FE1" w:rsidP="00951FE1">
      <w:pPr>
        <w:spacing w:after="0" w:line="340" w:lineRule="atLeast"/>
        <w:jc w:val="center"/>
        <w:rPr>
          <w:rFonts w:asciiTheme="majorBidi" w:hAnsiTheme="majorBidi" w:cstheme="majorBidi"/>
          <w:spacing w:val="-2"/>
          <w:szCs w:val="24"/>
        </w:rPr>
      </w:pPr>
      <w:r w:rsidRPr="004D4FB6">
        <w:rPr>
          <w:rFonts w:asciiTheme="majorBidi" w:hAnsiTheme="majorBidi" w:cstheme="majorBidi"/>
          <w:b/>
          <w:spacing w:val="-2"/>
          <w:szCs w:val="24"/>
        </w:rPr>
        <w:t>Pomegranate-Derived Polyphenols and Alveolar Bone Remodeling in Orthodontic Retention: A Systematic Review and Meta-Analysis</w:t>
      </w:r>
    </w:p>
    <w:p w14:paraId="73CAF9E8" w14:textId="77777777" w:rsidR="00951FE1" w:rsidRPr="004D4FB6" w:rsidRDefault="00951FE1" w:rsidP="00951FE1">
      <w:pPr>
        <w:spacing w:after="0" w:line="340" w:lineRule="atLeast"/>
        <w:jc w:val="both"/>
        <w:rPr>
          <w:rFonts w:asciiTheme="majorBidi" w:hAnsiTheme="majorBidi" w:cstheme="majorBidi"/>
          <w:b/>
          <w:spacing w:val="-2"/>
          <w:szCs w:val="24"/>
        </w:rPr>
      </w:pPr>
    </w:p>
    <w:p w14:paraId="4CE225A1"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Article type: </w:t>
      </w:r>
      <w:r w:rsidRPr="004D4FB6">
        <w:rPr>
          <w:rFonts w:asciiTheme="majorBidi" w:hAnsiTheme="majorBidi" w:cstheme="majorBidi"/>
          <w:spacing w:val="-2"/>
          <w:szCs w:val="24"/>
        </w:rPr>
        <w:t>Systematic Review and Meta-Analysis</w:t>
      </w:r>
    </w:p>
    <w:p w14:paraId="1ACA5E24" w14:textId="77777777" w:rsidR="00951FE1" w:rsidRPr="004D4FB6" w:rsidRDefault="00951FE1" w:rsidP="00951FE1">
      <w:pPr>
        <w:spacing w:after="0" w:line="340" w:lineRule="atLeast"/>
        <w:jc w:val="both"/>
        <w:rPr>
          <w:rFonts w:asciiTheme="majorBidi" w:hAnsiTheme="majorBidi" w:cstheme="majorBidi"/>
          <w:b/>
          <w:spacing w:val="-2"/>
          <w:szCs w:val="24"/>
        </w:rPr>
      </w:pPr>
    </w:p>
    <w:p w14:paraId="608A5DF2"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Running title: </w:t>
      </w:r>
      <w:r w:rsidRPr="004D4FB6">
        <w:rPr>
          <w:rFonts w:asciiTheme="majorBidi" w:hAnsiTheme="majorBidi" w:cstheme="majorBidi"/>
          <w:spacing w:val="-2"/>
          <w:szCs w:val="24"/>
        </w:rPr>
        <w:t>Pomegranate Polyphenols in Orthodontic Bone Remodeling</w:t>
      </w:r>
    </w:p>
    <w:p w14:paraId="37430912" w14:textId="77777777" w:rsidR="00951FE1" w:rsidRPr="004D4FB6" w:rsidRDefault="00951FE1" w:rsidP="00951FE1">
      <w:pPr>
        <w:pStyle w:val="Heading1"/>
        <w:spacing w:before="0" w:line="340" w:lineRule="atLeast"/>
        <w:jc w:val="both"/>
        <w:rPr>
          <w:rFonts w:asciiTheme="majorBidi" w:hAnsiTheme="majorBidi"/>
          <w:color w:val="auto"/>
          <w:spacing w:val="-2"/>
          <w:sz w:val="24"/>
          <w:szCs w:val="24"/>
        </w:rPr>
      </w:pPr>
    </w:p>
    <w:p w14:paraId="21BFD08E" w14:textId="77777777" w:rsidR="00951FE1" w:rsidRPr="00951FE1" w:rsidRDefault="00951FE1" w:rsidP="00951FE1">
      <w:pPr>
        <w:pStyle w:val="Heading1"/>
        <w:spacing w:before="0" w:line="340" w:lineRule="atLeast"/>
        <w:jc w:val="both"/>
        <w:rPr>
          <w:rFonts w:asciiTheme="majorBidi" w:hAnsiTheme="majorBidi"/>
          <w:b/>
          <w:bCs/>
          <w:color w:val="auto"/>
          <w:spacing w:val="-2"/>
          <w:sz w:val="24"/>
          <w:szCs w:val="24"/>
        </w:rPr>
      </w:pPr>
      <w:commentRangeStart w:id="0"/>
      <w:r w:rsidRPr="00951FE1">
        <w:rPr>
          <w:rFonts w:asciiTheme="majorBidi" w:hAnsiTheme="majorBidi"/>
          <w:b/>
          <w:bCs/>
          <w:color w:val="auto"/>
          <w:spacing w:val="-2"/>
          <w:sz w:val="24"/>
          <w:szCs w:val="24"/>
        </w:rPr>
        <w:t>Authors</w:t>
      </w:r>
      <w:commentRangeEnd w:id="0"/>
      <w:r w:rsidRPr="00951FE1">
        <w:rPr>
          <w:rStyle w:val="CommentReference"/>
          <w:rFonts w:asciiTheme="majorBidi" w:hAnsiTheme="majorBidi"/>
          <w:b/>
          <w:bCs/>
          <w:color w:val="auto"/>
          <w:spacing w:val="-2"/>
          <w:sz w:val="24"/>
          <w:szCs w:val="24"/>
        </w:rPr>
        <w:commentReference w:id="0"/>
      </w:r>
    </w:p>
    <w:p w14:paraId="56B0A955" w14:textId="77777777" w:rsidR="00951FE1" w:rsidRPr="004D4FB6" w:rsidRDefault="00951FE1" w:rsidP="00951FE1">
      <w:pPr>
        <w:spacing w:after="0"/>
      </w:pPr>
    </w:p>
    <w:p w14:paraId="525D023C" w14:textId="77777777" w:rsidR="00951FE1" w:rsidRPr="004D4FB6" w:rsidRDefault="00951FE1" w:rsidP="00951FE1">
      <w:pPr>
        <w:pStyle w:val="ListParagraph"/>
        <w:numPr>
          <w:ilvl w:val="0"/>
          <w:numId w:val="1"/>
        </w:numPr>
        <w:ind w:left="426" w:hanging="426"/>
        <w:jc w:val="both"/>
        <w:rPr>
          <w:szCs w:val="24"/>
        </w:rPr>
      </w:pPr>
      <w:r w:rsidRPr="004D4FB6">
        <w:rPr>
          <w:szCs w:val="24"/>
        </w:rPr>
        <w:t>Dr. drg. Edrizal, Sp. Ort*. Academic position/title: Dentist; Orthodontic Specialist; Faculty Member. Affiliation: Faculty of Dentistry, University Baiturrahmah, Padang, Indonesia. City/Country: Padang, Indonesia. Email: edrizalburhan@yahoo.com. ORCID: 0009-0002-4888-3220.</w:t>
      </w:r>
    </w:p>
    <w:p w14:paraId="552BA843" w14:textId="77777777" w:rsidR="00951FE1" w:rsidRPr="004D4FB6" w:rsidRDefault="00951FE1" w:rsidP="00951FE1">
      <w:pPr>
        <w:pStyle w:val="ListParagraph"/>
        <w:numPr>
          <w:ilvl w:val="0"/>
          <w:numId w:val="1"/>
        </w:numPr>
        <w:ind w:left="426" w:hanging="426"/>
        <w:jc w:val="both"/>
        <w:rPr>
          <w:szCs w:val="24"/>
        </w:rPr>
      </w:pPr>
      <w:r w:rsidRPr="004D4FB6">
        <w:rPr>
          <w:szCs w:val="24"/>
        </w:rPr>
        <w:t>drg. Azmil Hadi, Sp. Ort. Academic position/title: Dentist; Orthodontic Specialist; Faculty Member. Affiliation: Faculty of Dentistry, University Baiturrahmah, Padang, Indonesia. City/Country: Padang, Indonesia. Email: Azmil.h90@gmail.com. ORCID: 0000-0003-0206-5046.</w:t>
      </w:r>
    </w:p>
    <w:p w14:paraId="06E304D6" w14:textId="77777777" w:rsidR="00951FE1" w:rsidRPr="004D4FB6" w:rsidRDefault="00951FE1" w:rsidP="00951FE1">
      <w:pPr>
        <w:pStyle w:val="ListParagraph"/>
        <w:numPr>
          <w:ilvl w:val="0"/>
          <w:numId w:val="1"/>
        </w:numPr>
        <w:ind w:left="426" w:hanging="426"/>
        <w:jc w:val="both"/>
        <w:rPr>
          <w:szCs w:val="24"/>
        </w:rPr>
      </w:pPr>
      <w:r w:rsidRPr="004D4FB6">
        <w:rPr>
          <w:szCs w:val="24"/>
        </w:rPr>
        <w:t>Dr. drg. Yenita Alamsyah, M.Kes. Academic position/title: Dentist; Master of Health Sciences; Faculty Member. Affiliation: Faculty of Dentistry, University Baiturrahmah, Padang, Indonesia. City/Country: Padang, Indonesia. Email: yenitaalamsyah@fkg.unbrah.ac.id. ORCID: 0009-0009-2514-9649.</w:t>
      </w:r>
    </w:p>
    <w:p w14:paraId="4E3D27D6" w14:textId="77777777" w:rsidR="00951FE1" w:rsidRPr="004D4FB6" w:rsidRDefault="00951FE1" w:rsidP="00951FE1">
      <w:pPr>
        <w:pStyle w:val="ListParagraph"/>
        <w:numPr>
          <w:ilvl w:val="0"/>
          <w:numId w:val="1"/>
        </w:numPr>
        <w:ind w:left="426" w:hanging="426"/>
        <w:jc w:val="both"/>
        <w:rPr>
          <w:szCs w:val="24"/>
        </w:rPr>
      </w:pPr>
      <w:r w:rsidRPr="004D4FB6">
        <w:rPr>
          <w:szCs w:val="24"/>
        </w:rPr>
        <w:t>Dr. drg. Yulia Rahmad, M.Kes. Academic position/title: Dentist; Master of Health Sciences; Faculty Member. Affiliation: Faculty of Dentistry, University Baiturrahmah, Padang, Indonesia. City/Country: Padang, Indonesia. Email: yrahmadmtr@staff.unbrah.ac.id. ORCID: 0009-0009-8251-6038.</w:t>
      </w:r>
    </w:p>
    <w:p w14:paraId="7A47E3B8" w14:textId="77777777" w:rsidR="00951FE1" w:rsidRDefault="00951FE1" w:rsidP="00951FE1">
      <w:pPr>
        <w:pStyle w:val="Heading1"/>
        <w:spacing w:before="0" w:after="0" w:line="340" w:lineRule="atLeast"/>
        <w:jc w:val="both"/>
        <w:rPr>
          <w:rFonts w:asciiTheme="majorBidi" w:hAnsiTheme="majorBidi"/>
          <w:b/>
          <w:bCs/>
          <w:color w:val="auto"/>
          <w:spacing w:val="-2"/>
          <w:sz w:val="24"/>
          <w:szCs w:val="24"/>
        </w:rPr>
      </w:pPr>
    </w:p>
    <w:p w14:paraId="1B2E0906" w14:textId="5C81CAA4" w:rsidR="00951FE1" w:rsidRPr="00951FE1" w:rsidRDefault="00951FE1" w:rsidP="00951FE1">
      <w:pPr>
        <w:pStyle w:val="Heading1"/>
        <w:spacing w:before="0" w:after="0" w:line="340" w:lineRule="atLeast"/>
        <w:jc w:val="both"/>
        <w:rPr>
          <w:rFonts w:asciiTheme="majorBidi" w:hAnsiTheme="majorBidi"/>
          <w:b/>
          <w:bCs/>
          <w:color w:val="auto"/>
          <w:spacing w:val="-2"/>
          <w:sz w:val="24"/>
          <w:szCs w:val="24"/>
        </w:rPr>
      </w:pPr>
      <w:r w:rsidRPr="00951FE1">
        <w:rPr>
          <w:rFonts w:asciiTheme="majorBidi" w:hAnsiTheme="majorBidi"/>
          <w:b/>
          <w:bCs/>
          <w:color w:val="auto"/>
          <w:spacing w:val="-2"/>
          <w:sz w:val="24"/>
          <w:szCs w:val="24"/>
        </w:rPr>
        <w:t>Corresponding Author</w:t>
      </w:r>
    </w:p>
    <w:p w14:paraId="501CDB35" w14:textId="77777777" w:rsidR="00951FE1" w:rsidRPr="004D4FB6" w:rsidRDefault="00951FE1" w:rsidP="00951FE1">
      <w:pPr>
        <w:spacing w:after="0"/>
      </w:pPr>
    </w:p>
    <w:p w14:paraId="7E126AA6" w14:textId="77777777" w:rsidR="00951FE1" w:rsidRPr="004D4FB6" w:rsidRDefault="00951FE1" w:rsidP="00951FE1">
      <w:pPr>
        <w:pStyle w:val="Heading1"/>
        <w:spacing w:before="0" w:line="340" w:lineRule="atLeast"/>
        <w:jc w:val="both"/>
        <w:rPr>
          <w:rFonts w:asciiTheme="majorBidi" w:hAnsiTheme="majorBidi"/>
          <w:color w:val="auto"/>
          <w:spacing w:val="-2"/>
          <w:sz w:val="24"/>
          <w:szCs w:val="24"/>
        </w:rPr>
      </w:pPr>
      <w:r w:rsidRPr="004D4FB6">
        <w:rPr>
          <w:rFonts w:asciiTheme="majorBidi" w:hAnsiTheme="majorBidi"/>
          <w:color w:val="auto"/>
          <w:spacing w:val="-2"/>
          <w:sz w:val="24"/>
          <w:szCs w:val="24"/>
        </w:rPr>
        <w:t>Edrizal, Sp. Ort</w:t>
      </w:r>
    </w:p>
    <w:p w14:paraId="23925FD0"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Affiliation: Universitas Baiturrahmah, Padang, Indonesia</w:t>
      </w:r>
    </w:p>
    <w:p w14:paraId="41726BA1"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Mailing address: Universitas Baiturrahmah, Jl. By Pass KM. 14 Aia Pacah, Kota Padang, West Sumatra, Indonesia</w:t>
      </w:r>
      <w:r w:rsidRPr="004D4FB6">
        <w:rPr>
          <w:rFonts w:asciiTheme="majorBidi" w:hAnsiTheme="majorBidi" w:cstheme="majorBidi"/>
          <w:spacing w:val="-2"/>
          <w:szCs w:val="24"/>
        </w:rPr>
        <w:tab/>
      </w:r>
      <w:r w:rsidRPr="004D4FB6">
        <w:rPr>
          <w:rFonts w:asciiTheme="majorBidi" w:hAnsiTheme="majorBidi" w:cstheme="majorBidi"/>
          <w:spacing w:val="-2"/>
          <w:szCs w:val="24"/>
        </w:rPr>
        <w:tab/>
      </w:r>
    </w:p>
    <w:p w14:paraId="5D97DAC0"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Phone/WhatsApp: +62 811 6664 503</w:t>
      </w:r>
      <w:r w:rsidRPr="004D4FB6">
        <w:rPr>
          <w:rFonts w:asciiTheme="majorBidi" w:hAnsiTheme="majorBidi" w:cstheme="majorBidi"/>
          <w:spacing w:val="-2"/>
          <w:szCs w:val="24"/>
        </w:rPr>
        <w:tab/>
      </w:r>
      <w:r w:rsidRPr="004D4FB6">
        <w:rPr>
          <w:rFonts w:asciiTheme="majorBidi" w:hAnsiTheme="majorBidi" w:cstheme="majorBidi"/>
          <w:spacing w:val="-2"/>
          <w:szCs w:val="24"/>
        </w:rPr>
        <w:tab/>
      </w:r>
    </w:p>
    <w:p w14:paraId="25AFDABB"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Email: edrizalburhan@yahoo.com</w:t>
      </w:r>
    </w:p>
    <w:p w14:paraId="66670FBF"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ORCID: 0009-0002-4888-3220</w:t>
      </w:r>
      <w:r w:rsidRPr="004D4FB6">
        <w:rPr>
          <w:rFonts w:asciiTheme="majorBidi" w:hAnsiTheme="majorBidi" w:cstheme="majorBidi"/>
          <w:spacing w:val="-2"/>
          <w:szCs w:val="24"/>
        </w:rPr>
        <w:tab/>
      </w:r>
      <w:r w:rsidRPr="004D4FB6">
        <w:rPr>
          <w:rFonts w:asciiTheme="majorBidi" w:hAnsiTheme="majorBidi" w:cstheme="majorBidi"/>
          <w:spacing w:val="-2"/>
          <w:szCs w:val="24"/>
        </w:rPr>
        <w:tab/>
      </w:r>
    </w:p>
    <w:p w14:paraId="1AD40E19"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Scopus ID: 59718410800</w:t>
      </w:r>
    </w:p>
    <w:p w14:paraId="542D8449" w14:textId="77777777" w:rsidR="00951FE1" w:rsidRPr="004D4FB6" w:rsidRDefault="00951FE1" w:rsidP="00951FE1">
      <w:pPr>
        <w:spacing w:after="0" w:line="340" w:lineRule="atLeast"/>
        <w:jc w:val="both"/>
        <w:rPr>
          <w:rFonts w:asciiTheme="majorBidi" w:hAnsiTheme="majorBidi" w:cstheme="majorBidi"/>
          <w:spacing w:val="-2"/>
          <w:szCs w:val="24"/>
        </w:rPr>
      </w:pPr>
      <w:r w:rsidRPr="004D4FB6">
        <w:rPr>
          <w:rFonts w:asciiTheme="majorBidi" w:hAnsiTheme="majorBidi" w:cstheme="majorBidi"/>
          <w:spacing w:val="-2"/>
          <w:szCs w:val="24"/>
        </w:rPr>
        <w:t>Google Scholar ID: 9XzvGmcAAAAJ</w:t>
      </w:r>
    </w:p>
    <w:p w14:paraId="7138CEFD" w14:textId="77777777" w:rsidR="00951FE1" w:rsidRPr="004D4FB6" w:rsidRDefault="00951FE1" w:rsidP="00951FE1">
      <w:pPr>
        <w:pStyle w:val="Heading1"/>
        <w:spacing w:before="0" w:line="340" w:lineRule="atLeast"/>
        <w:jc w:val="both"/>
        <w:rPr>
          <w:rFonts w:asciiTheme="majorBidi" w:hAnsiTheme="majorBidi"/>
          <w:color w:val="auto"/>
          <w:spacing w:val="-2"/>
          <w:sz w:val="24"/>
          <w:szCs w:val="24"/>
        </w:rPr>
      </w:pPr>
    </w:p>
    <w:p w14:paraId="2B69C463" w14:textId="77777777" w:rsidR="00951FE1" w:rsidRDefault="00951FE1" w:rsidP="00951FE1">
      <w:pPr>
        <w:pStyle w:val="Heading1"/>
        <w:spacing w:before="0" w:line="340" w:lineRule="atLeast"/>
        <w:jc w:val="both"/>
        <w:rPr>
          <w:rFonts w:asciiTheme="majorBidi" w:hAnsiTheme="majorBidi"/>
          <w:color w:val="auto"/>
          <w:spacing w:val="-2"/>
          <w:sz w:val="24"/>
          <w:szCs w:val="24"/>
        </w:rPr>
      </w:pPr>
    </w:p>
    <w:p w14:paraId="139FC2D7" w14:textId="77777777" w:rsidR="00951FE1" w:rsidRDefault="00951FE1" w:rsidP="00951FE1">
      <w:pPr>
        <w:pStyle w:val="Heading1"/>
        <w:spacing w:before="0" w:line="340" w:lineRule="atLeast"/>
        <w:jc w:val="both"/>
        <w:rPr>
          <w:rFonts w:asciiTheme="majorBidi" w:hAnsiTheme="majorBidi"/>
          <w:color w:val="auto"/>
          <w:spacing w:val="-2"/>
          <w:sz w:val="24"/>
          <w:szCs w:val="24"/>
        </w:rPr>
      </w:pPr>
    </w:p>
    <w:p w14:paraId="73026069" w14:textId="77777777" w:rsidR="00951FE1" w:rsidRDefault="00951FE1" w:rsidP="00951FE1">
      <w:pPr>
        <w:pStyle w:val="Heading1"/>
        <w:spacing w:before="0" w:line="340" w:lineRule="atLeast"/>
        <w:jc w:val="both"/>
        <w:rPr>
          <w:rFonts w:asciiTheme="majorBidi" w:hAnsiTheme="majorBidi"/>
          <w:b/>
          <w:bCs/>
          <w:color w:val="auto"/>
          <w:spacing w:val="-2"/>
          <w:sz w:val="24"/>
          <w:szCs w:val="24"/>
        </w:rPr>
      </w:pPr>
      <w:r w:rsidRPr="00951FE1">
        <w:rPr>
          <w:rFonts w:asciiTheme="majorBidi" w:hAnsiTheme="majorBidi"/>
          <w:b/>
          <w:bCs/>
          <w:color w:val="auto"/>
          <w:spacing w:val="-2"/>
          <w:sz w:val="24"/>
          <w:szCs w:val="24"/>
        </w:rPr>
        <w:t>Declarations</w:t>
      </w:r>
    </w:p>
    <w:p w14:paraId="70B77F54" w14:textId="77777777" w:rsidR="00951FE1" w:rsidRPr="00951FE1" w:rsidRDefault="00951FE1" w:rsidP="00951FE1">
      <w:pPr>
        <w:spacing w:after="0"/>
      </w:pPr>
    </w:p>
    <w:p w14:paraId="3D397FBA"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Conflict of interest: </w:t>
      </w:r>
      <w:r w:rsidRPr="004D4FB6">
        <w:rPr>
          <w:rFonts w:asciiTheme="majorBidi" w:hAnsiTheme="majorBidi" w:cstheme="majorBidi"/>
          <w:spacing w:val="-2"/>
          <w:szCs w:val="24"/>
        </w:rPr>
        <w:t>The authors declare no conflict of interest.</w:t>
      </w:r>
    </w:p>
    <w:p w14:paraId="61E5C57B"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Funding: </w:t>
      </w:r>
      <w:r w:rsidRPr="004D4FB6">
        <w:rPr>
          <w:rFonts w:asciiTheme="majorBidi" w:hAnsiTheme="majorBidi" w:cstheme="majorBidi"/>
          <w:spacing w:val="-2"/>
          <w:szCs w:val="24"/>
        </w:rPr>
        <w:t>This study received no specific grant from any funding agency in the public, commercial, or not-for-profit sectors.</w:t>
      </w:r>
    </w:p>
    <w:p w14:paraId="46D5E164"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Ethical approval: </w:t>
      </w:r>
      <w:r w:rsidRPr="004D4FB6">
        <w:rPr>
          <w:rFonts w:asciiTheme="majorBidi" w:hAnsiTheme="majorBidi" w:cstheme="majorBidi"/>
          <w:spacing w:val="-2"/>
          <w:szCs w:val="24"/>
        </w:rPr>
        <w:t>Not applicable. This article is a systematic review and meta-analysis and did not involve new human participants or animal experiments.</w:t>
      </w:r>
    </w:p>
    <w:p w14:paraId="16348DC6"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Data availability: </w:t>
      </w:r>
      <w:r w:rsidRPr="004D4FB6">
        <w:rPr>
          <w:rFonts w:asciiTheme="majorBidi" w:hAnsiTheme="majorBidi" w:cstheme="majorBidi"/>
          <w:spacing w:val="-2"/>
          <w:szCs w:val="24"/>
        </w:rPr>
        <w:t>The data supporting the findings of this review are available within the article and from the corresponding author upon reasonable request.</w:t>
      </w:r>
    </w:p>
    <w:p w14:paraId="792FB39A"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b/>
          <w:spacing w:val="-2"/>
          <w:szCs w:val="24"/>
        </w:rPr>
        <w:t xml:space="preserve">AI-assisted tools: </w:t>
      </w:r>
      <w:r w:rsidRPr="004D4FB6">
        <w:rPr>
          <w:rFonts w:asciiTheme="majorBidi" w:hAnsiTheme="majorBidi" w:cstheme="majorBidi"/>
          <w:spacing w:val="-2"/>
          <w:szCs w:val="24"/>
        </w:rPr>
        <w:t>Artificial intelligence-assisted tools were used only for language editing, formatting support, and figure refinement. All intellectual content, data interpretation, and final manuscript decisions were reviewed and approved by the authors.</w:t>
      </w:r>
    </w:p>
    <w:p w14:paraId="360A1082" w14:textId="77777777" w:rsidR="00951FE1" w:rsidRPr="00951FE1" w:rsidRDefault="00951FE1" w:rsidP="00951FE1">
      <w:pPr>
        <w:pStyle w:val="Heading1"/>
        <w:spacing w:before="0" w:after="120" w:line="340" w:lineRule="atLeast"/>
        <w:jc w:val="both"/>
        <w:rPr>
          <w:rFonts w:asciiTheme="majorBidi" w:hAnsiTheme="majorBidi"/>
          <w:b/>
          <w:bCs/>
          <w:color w:val="auto"/>
          <w:spacing w:val="-2"/>
          <w:sz w:val="24"/>
          <w:szCs w:val="24"/>
        </w:rPr>
      </w:pPr>
      <w:r w:rsidRPr="00951FE1">
        <w:rPr>
          <w:rFonts w:asciiTheme="majorBidi" w:hAnsiTheme="majorBidi"/>
          <w:b/>
          <w:bCs/>
          <w:color w:val="auto"/>
          <w:spacing w:val="-2"/>
          <w:sz w:val="24"/>
          <w:szCs w:val="24"/>
        </w:rPr>
        <w:t>Author Contributions</w:t>
      </w:r>
    </w:p>
    <w:p w14:paraId="3B2824EB" w14:textId="77777777" w:rsidR="00951FE1" w:rsidRPr="004D4FB6" w:rsidRDefault="00951FE1" w:rsidP="00951FE1">
      <w:pPr>
        <w:spacing w:line="340" w:lineRule="atLeast"/>
        <w:jc w:val="both"/>
        <w:rPr>
          <w:rFonts w:asciiTheme="majorBidi" w:hAnsiTheme="majorBidi" w:cstheme="majorBidi"/>
          <w:spacing w:val="-2"/>
          <w:szCs w:val="24"/>
        </w:rPr>
      </w:pPr>
      <w:r w:rsidRPr="004D4FB6">
        <w:rPr>
          <w:rFonts w:asciiTheme="majorBidi" w:hAnsiTheme="majorBidi" w:cstheme="majorBidi"/>
          <w:spacing w:val="-2"/>
          <w:szCs w:val="24"/>
        </w:rPr>
        <w:t>Edrizal contributed to the conceptualization, supervision, interpretation of findings, and critical revision of the manuscript. Azmil Hadi contributed to literature screening, data organization, and manuscript drafting. Yenita Alamsyah contributed to methodological review, evidence synthesis, and critical revision. Yulia Rahmad contributed to data verification, interpretation of findings, and manuscript revision. All authors reviewed and approved the final version of the manuscript and agreed to be accountable for all aspects of the work.</w:t>
      </w:r>
    </w:p>
    <w:p w14:paraId="03F68DD7" w14:textId="77777777" w:rsidR="006F19EF" w:rsidRDefault="006F19EF"/>
    <w:sectPr w:rsidR="006F19E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T ANOA MANDIRI SEJAHTERA" w:date="2026-07-25T14:25:00Z" w:initials="PS">
    <w:p w14:paraId="2D559C87" w14:textId="77777777" w:rsidR="00951FE1" w:rsidRDefault="00951FE1" w:rsidP="00C0411A">
      <w:pPr>
        <w:pStyle w:val="CommentText"/>
      </w:pPr>
      <w:r>
        <w:rPr>
          <w:rStyle w:val="CommentReference"/>
        </w:rPr>
        <w:annotationRef/>
      </w:r>
      <w:r>
        <w:t xml:space="preserve">Thank you for the comment. The full names, academic titles, academic position/title, affiliations, city/country, email addresses, ORCID numbers, and corresponding author details have been completed in the separate Title Page. Author information has been removed from the blinded main manuscript according to the submission system requirement.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559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99EE63" w16cex:dateUtc="2026-07-25T0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559C87" w16cid:durableId="1F99EE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3A8"/>
    <w:multiLevelType w:val="hybridMultilevel"/>
    <w:tmpl w:val="1F4058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08376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T ANOA MANDIRI SEJAHTERA">
    <w15:presenceInfo w15:providerId="Windows Live" w15:userId="8dc74adac8a70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FE1"/>
    <w:rsid w:val="006F19EF"/>
    <w:rsid w:val="00841649"/>
    <w:rsid w:val="00951F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7878"/>
  <w15:chartTrackingRefBased/>
  <w15:docId w15:val="{4062F0D4-CEC7-4A3D-A2F7-90749C5B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FE1"/>
    <w:pPr>
      <w:spacing w:after="12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951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FE1"/>
    <w:rPr>
      <w:rFonts w:eastAsiaTheme="majorEastAsia" w:cstheme="majorBidi"/>
      <w:color w:val="272727" w:themeColor="text1" w:themeTint="D8"/>
    </w:rPr>
  </w:style>
  <w:style w:type="paragraph" w:styleId="Title">
    <w:name w:val="Title"/>
    <w:basedOn w:val="Normal"/>
    <w:next w:val="Normal"/>
    <w:link w:val="TitleChar"/>
    <w:uiPriority w:val="10"/>
    <w:qFormat/>
    <w:rsid w:val="00951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FE1"/>
    <w:pPr>
      <w:spacing w:before="160"/>
      <w:jc w:val="center"/>
    </w:pPr>
    <w:rPr>
      <w:i/>
      <w:iCs/>
      <w:color w:val="404040" w:themeColor="text1" w:themeTint="BF"/>
    </w:rPr>
  </w:style>
  <w:style w:type="character" w:customStyle="1" w:styleId="QuoteChar">
    <w:name w:val="Quote Char"/>
    <w:basedOn w:val="DefaultParagraphFont"/>
    <w:link w:val="Quote"/>
    <w:uiPriority w:val="29"/>
    <w:rsid w:val="00951FE1"/>
    <w:rPr>
      <w:i/>
      <w:iCs/>
      <w:color w:val="404040" w:themeColor="text1" w:themeTint="BF"/>
    </w:rPr>
  </w:style>
  <w:style w:type="paragraph" w:styleId="ListParagraph">
    <w:name w:val="List Paragraph"/>
    <w:basedOn w:val="Normal"/>
    <w:uiPriority w:val="34"/>
    <w:qFormat/>
    <w:rsid w:val="00951FE1"/>
    <w:pPr>
      <w:ind w:left="720"/>
      <w:contextualSpacing/>
    </w:pPr>
  </w:style>
  <w:style w:type="character" w:styleId="IntenseEmphasis">
    <w:name w:val="Intense Emphasis"/>
    <w:basedOn w:val="DefaultParagraphFont"/>
    <w:uiPriority w:val="21"/>
    <w:qFormat/>
    <w:rsid w:val="00951FE1"/>
    <w:rPr>
      <w:i/>
      <w:iCs/>
      <w:color w:val="2F5496" w:themeColor="accent1" w:themeShade="BF"/>
    </w:rPr>
  </w:style>
  <w:style w:type="paragraph" w:styleId="IntenseQuote">
    <w:name w:val="Intense Quote"/>
    <w:basedOn w:val="Normal"/>
    <w:next w:val="Normal"/>
    <w:link w:val="IntenseQuoteChar"/>
    <w:uiPriority w:val="30"/>
    <w:qFormat/>
    <w:rsid w:val="00951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FE1"/>
    <w:rPr>
      <w:i/>
      <w:iCs/>
      <w:color w:val="2F5496" w:themeColor="accent1" w:themeShade="BF"/>
    </w:rPr>
  </w:style>
  <w:style w:type="character" w:styleId="IntenseReference">
    <w:name w:val="Intense Reference"/>
    <w:basedOn w:val="DefaultParagraphFont"/>
    <w:uiPriority w:val="32"/>
    <w:qFormat/>
    <w:rsid w:val="00951FE1"/>
    <w:rPr>
      <w:b/>
      <w:bCs/>
      <w:smallCaps/>
      <w:color w:val="2F5496" w:themeColor="accent1" w:themeShade="BF"/>
      <w:spacing w:val="5"/>
    </w:rPr>
  </w:style>
  <w:style w:type="character" w:styleId="CommentReference">
    <w:name w:val="annotation reference"/>
    <w:basedOn w:val="DefaultParagraphFont"/>
    <w:uiPriority w:val="99"/>
    <w:unhideWhenUsed/>
    <w:qFormat/>
    <w:rsid w:val="00951FE1"/>
    <w:rPr>
      <w:sz w:val="16"/>
      <w:szCs w:val="16"/>
    </w:rPr>
  </w:style>
  <w:style w:type="paragraph" w:styleId="CommentText">
    <w:name w:val="annotation text"/>
    <w:basedOn w:val="Normal"/>
    <w:link w:val="CommentTextChar"/>
    <w:uiPriority w:val="99"/>
    <w:unhideWhenUsed/>
    <w:qFormat/>
    <w:rsid w:val="00951FE1"/>
    <w:pPr>
      <w:spacing w:line="240" w:lineRule="auto"/>
    </w:pPr>
    <w:rPr>
      <w:sz w:val="20"/>
      <w:szCs w:val="20"/>
    </w:rPr>
  </w:style>
  <w:style w:type="character" w:customStyle="1" w:styleId="CommentTextChar">
    <w:name w:val="Comment Text Char"/>
    <w:basedOn w:val="DefaultParagraphFont"/>
    <w:link w:val="CommentText"/>
    <w:uiPriority w:val="99"/>
    <w:qFormat/>
    <w:rsid w:val="00951FE1"/>
    <w:rPr>
      <w:rFonts w:ascii="Times New Roman" w:eastAsia="Times New Roman" w:hAnsi="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1</cp:revision>
  <dcterms:created xsi:type="dcterms:W3CDTF">2026-07-25T06:47:00Z</dcterms:created>
  <dcterms:modified xsi:type="dcterms:W3CDTF">2026-07-25T06:49:00Z</dcterms:modified>
</cp:coreProperties>
</file>