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1F18E" w14:textId="77777777" w:rsidR="006E5767" w:rsidRDefault="00000000">
      <w:pPr>
        <w:spacing w:line="360" w:lineRule="auto"/>
        <w:jc w:val="center"/>
      </w:pPr>
      <w:r>
        <w:rPr>
          <w:b/>
          <w:sz w:val="28"/>
        </w:rPr>
        <w:t>Salivary Amyloid-β and Tau After Hyperbaric Oxygen Therapy in Periodontitis Rats</w:t>
      </w:r>
    </w:p>
    <w:p w14:paraId="563CCD98" w14:textId="77777777" w:rsidR="006E5767" w:rsidRDefault="00000000">
      <w:pPr>
        <w:spacing w:line="360" w:lineRule="auto"/>
        <w:jc w:val="center"/>
      </w:pPr>
      <w:r>
        <w:rPr>
          <w:b/>
          <w:sz w:val="28"/>
        </w:rPr>
        <w:t>Amiloid-β dan Tau Saliva Setelah Terapi Oksigen Hiperbarik pada Tikus Periodontitis</w:t>
      </w:r>
    </w:p>
    <w:p w14:paraId="75A82778" w14:textId="77777777" w:rsidR="006E5767" w:rsidRDefault="006E5767">
      <w:pPr>
        <w:spacing w:line="360" w:lineRule="auto"/>
        <w:jc w:val="both"/>
      </w:pPr>
    </w:p>
    <w:p w14:paraId="4EFF0BF9" w14:textId="77777777" w:rsidR="006E5767" w:rsidRDefault="00000000">
      <w:pPr>
        <w:pStyle w:val="Heading1"/>
        <w:spacing w:line="360" w:lineRule="auto"/>
        <w:ind w:left="0"/>
      </w:pPr>
      <w:r>
        <w:t>ABSTRACT</w:t>
      </w:r>
    </w:p>
    <w:p w14:paraId="297B2028" w14:textId="77777777" w:rsidR="006E5767" w:rsidRDefault="00000000">
      <w:pPr>
        <w:spacing w:line="360" w:lineRule="auto"/>
        <w:jc w:val="both"/>
      </w:pPr>
      <w:r>
        <w:rPr>
          <w:b/>
        </w:rPr>
        <w:t>Introduction:</w:t>
      </w:r>
      <w:r>
        <w:t xml:space="preserve"> Salivary biomarkers are increasingly explored as non-invasive laboratory indicators of systemic and neurological alterations associated with chronic infection. Porphyromonas gingivalis-induced periodontitis may influence amyloid-β (Aβ), tau-related changes, and cognitive performance through inflammatory pathways. This study evaluated salivary Aβ and tau levels and spatial working memory after hyperbaric oxygen therapy (HBOT) in a rat model of P. gingivalis-induced periodontitis.</w:t>
      </w:r>
    </w:p>
    <w:p w14:paraId="738D6A0E" w14:textId="77777777" w:rsidR="006E5767" w:rsidRDefault="00000000">
      <w:pPr>
        <w:spacing w:line="360" w:lineRule="auto"/>
        <w:jc w:val="both"/>
      </w:pPr>
      <w:r>
        <w:rPr>
          <w:b/>
        </w:rPr>
        <w:t>Materials and Methods:</w:t>
      </w:r>
      <w:r>
        <w:t xml:space="preserve"> A randomized experimental study was conducted using 33 male Sprague-Dawley rats divided into negative control, positive control, and HBOT treatment groups (n=11 per group). Periodontitis was induced using a P. gingivalis suspension. The treatment group received HBOT at 2.0 atmospheres absolute using 100% oxygen. Spatial working memory was assessed using the Y-maze spontaneous alternation test, while salivary Aβ and MAPTau levels were measured using enzyme-linked immunosorbent assay.</w:t>
      </w:r>
    </w:p>
    <w:p w14:paraId="132A9EE3" w14:textId="77777777" w:rsidR="006E5767" w:rsidRDefault="00000000">
      <w:pPr>
        <w:spacing w:line="360" w:lineRule="auto"/>
        <w:jc w:val="both"/>
      </w:pPr>
      <w:r>
        <w:rPr>
          <w:b/>
        </w:rPr>
        <w:t>Results:</w:t>
      </w:r>
      <w:r>
        <w:t xml:space="preserve"> The positive control group showed higher salivary Aβ and MAPTau levels and lower spatial working memory performance than the negative control group. The HBOT group showed lower salivary Aβ and MAPTau levels and higher spatial working memory performance compared with the positive control group. Overall between-group differences were statistically significant for all measured variables (p &lt; 0.001).</w:t>
      </w:r>
    </w:p>
    <w:p w14:paraId="651E316C" w14:textId="77777777" w:rsidR="006E5767" w:rsidRDefault="00000000">
      <w:pPr>
        <w:spacing w:line="360" w:lineRule="auto"/>
        <w:jc w:val="both"/>
      </w:pPr>
      <w:r>
        <w:rPr>
          <w:b/>
        </w:rPr>
        <w:t>Conclusion:</w:t>
      </w:r>
      <w:r>
        <w:t xml:space="preserve"> HBOT was associated with lower salivary Aβ and MAPTau levels and improved spatial working memory in a P. gingivalis-induced periodontitis rat model. These findings support the potential use of salivary biomarkers for laboratory-based monitoring in experimental studies, although direct brain-based analyses are required </w:t>
      </w:r>
      <w:r>
        <w:lastRenderedPageBreak/>
        <w:t>to confirm neurodegenerative pathology.</w:t>
      </w:r>
    </w:p>
    <w:p w14:paraId="525AD699" w14:textId="77777777" w:rsidR="006E5767" w:rsidRDefault="00000000">
      <w:pPr>
        <w:spacing w:line="360" w:lineRule="auto"/>
        <w:jc w:val="both"/>
      </w:pPr>
      <w:r>
        <w:rPr>
          <w:b/>
        </w:rPr>
        <w:t>Keywords:</w:t>
      </w:r>
      <w:r>
        <w:t xml:space="preserve"> Saliva; Amyloid-beta; Tau proteins; Hyperbaric oxygen therapy; Porphyromonas gingivalis</w:t>
      </w:r>
    </w:p>
    <w:p w14:paraId="01E787AC" w14:textId="77777777" w:rsidR="006E5767" w:rsidRDefault="006E5767">
      <w:pPr>
        <w:spacing w:line="360" w:lineRule="auto"/>
        <w:jc w:val="both"/>
      </w:pPr>
    </w:p>
    <w:p w14:paraId="2A4C8E07" w14:textId="77777777" w:rsidR="006E5767" w:rsidRDefault="00000000">
      <w:pPr>
        <w:pStyle w:val="Heading1"/>
        <w:spacing w:line="360" w:lineRule="auto"/>
        <w:ind w:left="0"/>
      </w:pPr>
      <w:r>
        <w:t>ABSTRAK</w:t>
      </w:r>
    </w:p>
    <w:p w14:paraId="55F17364" w14:textId="77777777" w:rsidR="006E5767" w:rsidRDefault="00000000">
      <w:pPr>
        <w:spacing w:line="360" w:lineRule="auto"/>
        <w:jc w:val="both"/>
      </w:pPr>
      <w:r>
        <w:rPr>
          <w:b/>
        </w:rPr>
        <w:t>Pendahuluan:</w:t>
      </w:r>
      <w:r>
        <w:t xml:space="preserve"> Biomarker saliva semakin banyak dikaji sebagai indikator laboratorium non-invasif untuk menilai perubahan sistemik dan neurologis yang berkaitan dengan infeksi kronis. Periodontitis yang diinduksi Porphyromonas gingivalis dapat memengaruhi amiloid-β (Aβ), perubahan terkait tau, dan performa memori kerja spasial melalui jalur inflamasi. Penelitian ini mengevaluasi kadar Aβ dan tau saliva serta memori kerja spasial setelah terapi oksigen hiperbarik (HBOT) pada model tikus periodontitis yang diinduksi P. gingivalis.</w:t>
      </w:r>
    </w:p>
    <w:p w14:paraId="2AE4B3CC" w14:textId="77777777" w:rsidR="006E5767" w:rsidRDefault="00000000">
      <w:pPr>
        <w:spacing w:line="360" w:lineRule="auto"/>
        <w:jc w:val="both"/>
      </w:pPr>
      <w:r>
        <w:rPr>
          <w:b/>
        </w:rPr>
        <w:t>Metode:</w:t>
      </w:r>
      <w:r>
        <w:t xml:space="preserve"> Penelitian eksperimental acak dilakukan menggunakan 33 tikus jantan Sprague-Dawley yang dibagi ke dalam kelompok kontrol negatif, kontrol positif, dan perlakuan HBOT (n=11 per kelompok). Periodontitis diinduksi menggunakan suspensi P. gingivalis. Kelompok perlakuan menerima HBOT pada tekanan 2,0 atmospheres absolute menggunakan oksigen 100%. Memori kerja spasial dinilai menggunakan uji alternasi spontan Y-maze, sedangkan kadar Aβ dan MAPTau saliva diukur menggunakan enzyme-linked immunosorbent assay.</w:t>
      </w:r>
    </w:p>
    <w:p w14:paraId="22D2653D" w14:textId="77777777" w:rsidR="006E5767" w:rsidRDefault="00000000">
      <w:pPr>
        <w:spacing w:line="360" w:lineRule="auto"/>
        <w:jc w:val="both"/>
      </w:pPr>
      <w:r>
        <w:rPr>
          <w:b/>
        </w:rPr>
        <w:t>Hasil:</w:t>
      </w:r>
      <w:r>
        <w:t xml:space="preserve"> Kelompok kontrol positif menunjukkan kadar Aβ dan MAPTau saliva yang lebih tinggi serta performa memori kerja spasial yang lebih rendah dibandingkan kelompok kontrol negatif. Kelompok HBOT menunjukkan kadar Aβ dan MAPTau saliva yang lebih rendah serta performa memori kerja spasial yang lebih tinggi dibandingkan kelompok kontrol positif. Perbedaan keseluruhan antarkelompok bermakna secara statistik untuk seluruh variabel yang diukur (p &lt; 0,001).</w:t>
      </w:r>
    </w:p>
    <w:p w14:paraId="7C829D9D" w14:textId="77777777" w:rsidR="006E5767" w:rsidRDefault="00000000">
      <w:pPr>
        <w:spacing w:line="360" w:lineRule="auto"/>
        <w:jc w:val="both"/>
      </w:pPr>
      <w:r>
        <w:rPr>
          <w:b/>
        </w:rPr>
        <w:t>Kesimpulan:</w:t>
      </w:r>
      <w:r>
        <w:t xml:space="preserve"> HBOT berkaitan dengan kadar Aβ dan MAPTau saliva yang lebih rendah serta peningkatan memori kerja spasial pada model tikus periodontitis yang diinduksi P. gingivalis. Temuan ini mendukung potensi penggunaan biomarker saliva untuk pemantauan berbasis laboratorium dalam studi eksperimental, meskipun analisis </w:t>
      </w:r>
      <w:r>
        <w:lastRenderedPageBreak/>
        <w:t>langsung berbasis jaringan otak diperlukan untuk mengonfirmasi patologi neurodegeneratif.</w:t>
      </w:r>
    </w:p>
    <w:p w14:paraId="39E582AD" w14:textId="77777777" w:rsidR="006E5767" w:rsidRDefault="00000000">
      <w:pPr>
        <w:spacing w:line="360" w:lineRule="auto"/>
        <w:jc w:val="both"/>
      </w:pPr>
      <w:r>
        <w:rPr>
          <w:b/>
        </w:rPr>
        <w:t>Kata kunci:</w:t>
      </w:r>
      <w:r>
        <w:t xml:space="preserve"> Saliva; Amiloid-beta; Protein tau; Terapi oksigen hiperbarik; Porphyromonas gingivalis</w:t>
      </w:r>
    </w:p>
    <w:p w14:paraId="34D2FD64" w14:textId="77777777" w:rsidR="006E5767" w:rsidRDefault="006E5767">
      <w:pPr>
        <w:spacing w:line="360" w:lineRule="auto"/>
        <w:jc w:val="both"/>
      </w:pPr>
    </w:p>
    <w:p w14:paraId="1D4FB74D" w14:textId="77777777" w:rsidR="006E5767" w:rsidRDefault="00000000">
      <w:pPr>
        <w:pStyle w:val="Heading1"/>
        <w:spacing w:line="360" w:lineRule="auto"/>
        <w:ind w:left="0"/>
      </w:pPr>
      <w:r>
        <w:t>INTRODUCTION</w:t>
      </w:r>
    </w:p>
    <w:p w14:paraId="1637D3E0" w14:textId="77777777" w:rsidR="006E5767" w:rsidRDefault="00000000">
      <w:pPr>
        <w:spacing w:line="360" w:lineRule="auto"/>
        <w:jc w:val="both"/>
      </w:pPr>
      <w:r>
        <w:t>Clinical pathology and medical laboratory research increasingly uses saliva as a non-invasive biological specimen for evaluating systemic conditions and disease-related biomarkers. Saliva collection is less invasive than blood or cerebrospinal fluid sampling and may provide useful information on inflammatory, metabolic, and protein-related changes. In the context of chronic oral infection, salivary biomarkers are particularly relevant because periodontal pathogens and local inflammation may influence both oral and systemic biological responses ¹²,¹³.</w:t>
      </w:r>
    </w:p>
    <w:p w14:paraId="76C7F61D" w14:textId="77777777" w:rsidR="006E5767" w:rsidRDefault="00000000">
      <w:pPr>
        <w:spacing w:line="360" w:lineRule="auto"/>
        <w:jc w:val="both"/>
      </w:pPr>
      <w:r>
        <w:t>Porphyromonas gingivalis is a keystone pathogen in periodontitis and has been associated with systemic inflammation and disease mechanisms beyond the oral cavity. Experimental evidence suggests that P. gingivalis and its virulence factors, including lipopolysaccharides and gingipains, may be linked to amyloid-β (Aβ), tau-related pathways, and cognitive performance ¹,²,⁶,⁷. However, the detection of salivary Aβ and tau should be interpreted primarily as laboratory biomarker findings rather than direct proof of brain deposition or established neurodegenerative pathology.</w:t>
      </w:r>
    </w:p>
    <w:p w14:paraId="7039AA26" w14:textId="77777777" w:rsidR="006E5767" w:rsidRDefault="00000000">
      <w:pPr>
        <w:spacing w:line="360" w:lineRule="auto"/>
        <w:jc w:val="both"/>
      </w:pPr>
      <w:r>
        <w:t>Aβ and tau are commonly discussed in relation to Alzheimer’s disease and other neurodegenerative processes. Aβ is produced from amyloid precursor protein through amyloidogenic processing, while tau dysregulation is associated with microtubule instability and neuronal dysfunction ³⁻⁵. Salivary Aβ and tau have been explored as potential non-invasive biomarkers, but their diagnostic and mechanistic interpretation remains developing and requires careful validation against direct tissue or cerebrospinal fluid evidence ¹²,¹³.</w:t>
      </w:r>
    </w:p>
    <w:p w14:paraId="6F415822" w14:textId="77777777" w:rsidR="006E5767" w:rsidRDefault="00000000">
      <w:pPr>
        <w:spacing w:line="360" w:lineRule="auto"/>
        <w:jc w:val="both"/>
      </w:pPr>
      <w:r>
        <w:t xml:space="preserve">Hyperbaric oxygen therapy (HBOT) is a non-pharmacological intervention that increases oxygen availability and may influence inflammatory and oxidative pathways. </w:t>
      </w:r>
      <w:r>
        <w:lastRenderedPageBreak/>
        <w:t>Previous studies have reported that HBOT may affect oxidative stress, angiogenesis, protein homeostasis, and cognitive outcomes in experimental settings ⁸⁻¹¹,²⁰⁻²². In laboratory-based animal studies, evaluating salivary Aβ and MAPTau after HBOT may provide preliminary evidence of biomarker modulation following treatment. Therefore, this study aimed to evaluate salivary Aβ and MAPTau levels and spatial working memory after HBOT in a P. gingivalis-induced periodontitis rat model.</w:t>
      </w:r>
    </w:p>
    <w:p w14:paraId="38DEF295" w14:textId="77777777" w:rsidR="006E5767" w:rsidRDefault="006E5767">
      <w:pPr>
        <w:spacing w:line="360" w:lineRule="auto"/>
        <w:jc w:val="both"/>
      </w:pPr>
    </w:p>
    <w:p w14:paraId="5C0D1D10" w14:textId="77777777" w:rsidR="006E5767" w:rsidRDefault="00000000">
      <w:pPr>
        <w:pStyle w:val="Heading1"/>
        <w:spacing w:line="360" w:lineRule="auto"/>
        <w:ind w:left="0"/>
      </w:pPr>
      <w:r>
        <w:t>METHODS</w:t>
      </w:r>
    </w:p>
    <w:p w14:paraId="7E20CDF8" w14:textId="77777777" w:rsidR="006E5767" w:rsidRDefault="00000000">
      <w:pPr>
        <w:spacing w:line="360" w:lineRule="auto"/>
      </w:pPr>
      <w:r>
        <w:rPr>
          <w:b/>
        </w:rPr>
        <w:t>Animal and Experimental Design</w:t>
      </w:r>
    </w:p>
    <w:p w14:paraId="4B8A9728" w14:textId="77777777" w:rsidR="006E5767" w:rsidRDefault="00000000">
      <w:pPr>
        <w:spacing w:line="360" w:lineRule="auto"/>
        <w:jc w:val="both"/>
      </w:pPr>
      <w:r>
        <w:t>This randomized experimental study used 33 male Sprague-Dawley rats aged 10 weeks with an initial body weight of 150-180 g. The animals were randomly assigned into three groups (n=11 per group): negative control (C-, no induction), positive control (C+, P. gingivalis induction only), and treatment group (T, P. gingivalis induction followed by HBOT). Before experimentation, all animals underwent a one-week acclimatization period under controlled environmental conditions (18-26°C, 30-70% humidity, 12:12-hour light-dark cycle), with ad libitum access to standard pellet feed and drinking water. Ethical approval for all animal procedures was obtained from the institutional animal research ethics committee under approval number EC/101/KEPK-FKGUHT/X/2024.</w:t>
      </w:r>
    </w:p>
    <w:p w14:paraId="1ED5C14F" w14:textId="77777777" w:rsidR="006E5767" w:rsidRDefault="00000000">
      <w:pPr>
        <w:spacing w:line="360" w:lineRule="auto"/>
      </w:pPr>
      <w:r>
        <w:rPr>
          <w:b/>
        </w:rPr>
        <w:t>Induction of Periodontitis with Porphyromonas gingivalis Suspension</w:t>
      </w:r>
    </w:p>
    <w:p w14:paraId="0965BD22" w14:textId="77777777" w:rsidR="006E5767" w:rsidRDefault="00000000">
      <w:pPr>
        <w:spacing w:line="360" w:lineRule="auto"/>
        <w:jc w:val="both"/>
      </w:pPr>
      <w:r>
        <w:t xml:space="preserve">Following the acclimatization period, rats in the C+ and T groups were subjected to experimental periodontitis induction. Induction was performed using a suspension of whole Porphyromonas gingivalis (ATCC 33277 PK/5). The infection dose was 3 mL (1 x 10^9 colony-forming units/mL), applied to the subgingival sulcus of the posterior molar region of the lower jaw on both right and left sides using a 5 mL microsyringe (Hamilton, Switzerland). This procedure was repeated every two days for five consecutive weeks. Because quantitative periodontal destruction or micro-computed tomography data were not included in the present analysis, the model was interpreted as an experimentally induced periodontitis protocol rather than as a fully validated </w:t>
      </w:r>
      <w:r>
        <w:lastRenderedPageBreak/>
        <w:t>neurodegeneration model.</w:t>
      </w:r>
    </w:p>
    <w:p w14:paraId="1F157521" w14:textId="77777777" w:rsidR="006E5767" w:rsidRDefault="00000000">
      <w:pPr>
        <w:spacing w:line="360" w:lineRule="auto"/>
      </w:pPr>
      <w:r>
        <w:rPr>
          <w:b/>
        </w:rPr>
        <w:t>Hyperbaric Oxygen Therapy and Handling Control Protocols</w:t>
      </w:r>
    </w:p>
    <w:p w14:paraId="153B3A2C" w14:textId="77777777" w:rsidR="006E5767" w:rsidRDefault="00000000">
      <w:pPr>
        <w:spacing w:line="360" w:lineRule="auto"/>
        <w:jc w:val="both"/>
      </w:pPr>
      <w:r>
        <w:t>The four-week interventional period commenced after the five-week induction phase. Only the treatment group received HBOT in a chamber pressurized to 2.0 atmospheres absolute (ATA) with 100% medical oxygen. The protocol consisted of gradual compression at 0.1 ATA/min, a 60-minute core therapy session divided into two 30-minute exposures with a 5-minute interval at 2.0 ATA, and slow decompression at 0.1 ATA/min. Treatment was administered five times per week for four weeks, for a total of 20 sessions. Animals were fasted for 4-6 hours before each session and were monitored closely. The control groups underwent routine handling to reduce the influence of environmental and handling-related stress.</w:t>
      </w:r>
    </w:p>
    <w:p w14:paraId="1C3372E4" w14:textId="77777777" w:rsidR="006E5767" w:rsidRDefault="00000000">
      <w:pPr>
        <w:spacing w:line="360" w:lineRule="auto"/>
      </w:pPr>
      <w:r>
        <w:rPr>
          <w:b/>
        </w:rPr>
        <w:t>Evaluation of Spatial Working Memory</w:t>
      </w:r>
    </w:p>
    <w:p w14:paraId="7CCB648C" w14:textId="77777777" w:rsidR="006E5767" w:rsidRDefault="00000000">
      <w:pPr>
        <w:spacing w:line="360" w:lineRule="auto"/>
        <w:jc w:val="both"/>
      </w:pPr>
      <w:r>
        <w:t>Spatial working memory was evaluated using the spontaneous alternation test in a Y-maze apparatus. The sequence and number of arm entries were recorded using a video camera. The percentage of spontaneous alternations was calculated as: (number of spontaneous alternations / [total number of entries - 2]) x 100%. Testing was conducted at three time points: pre-test (week 0), post-induction (week 5), and post-HBOT (week 9).</w:t>
      </w:r>
    </w:p>
    <w:p w14:paraId="21DD5941" w14:textId="77777777" w:rsidR="006E5767" w:rsidRDefault="00000000">
      <w:pPr>
        <w:spacing w:line="360" w:lineRule="auto"/>
      </w:pPr>
      <w:r>
        <w:rPr>
          <w:b/>
        </w:rPr>
        <w:t>Saliva Sample Collection and Biomarker Measurement</w:t>
      </w:r>
    </w:p>
    <w:p w14:paraId="43B5D8F9" w14:textId="77777777" w:rsidR="006E5767" w:rsidRDefault="00000000">
      <w:pPr>
        <w:spacing w:line="360" w:lineRule="auto"/>
        <w:jc w:val="both"/>
      </w:pPr>
      <w:r>
        <w:t>Saliva sampling was performed after P. gingivalis induction for the C+ group and after four weeks of HBOT for the treatment group. Rats were anesthetized using ketamine (80 mg/kg body weight) and xylazine (10 mg/kg body weight), administered intraperitoneally before saliva collection. Saliva secretion was stimulated using pilocarpine nitrate (Sigma, 5 mg/kg body weight, intraperitoneal). Samples were placed in containers precoated with 2% sodium azide, immediately stored on ice, and centrifuged at 600 x g for 10 minutes at 4°C. Aliquoted samples were stored at -80°C after treatment with a protease inhibitor cocktail (Roche). Salivary Aβ and MAPTau levels were measured using Rat Aβ 1-42 ELISA Kit, 96T and Rat MAPt (Microtubule Associated Protein Tau) ELISA Kit, 96T from Reed Biotech, respectively.</w:t>
      </w:r>
    </w:p>
    <w:p w14:paraId="32519170" w14:textId="77777777" w:rsidR="006E5767" w:rsidRDefault="00000000">
      <w:pPr>
        <w:spacing w:line="360" w:lineRule="auto"/>
      </w:pPr>
      <w:r>
        <w:rPr>
          <w:b/>
        </w:rPr>
        <w:lastRenderedPageBreak/>
        <w:t>Statistical Analysis</w:t>
      </w:r>
    </w:p>
    <w:p w14:paraId="7E454C60" w14:textId="77777777" w:rsidR="006E5767" w:rsidRDefault="00000000">
      <w:pPr>
        <w:spacing w:line="360" w:lineRule="auto"/>
        <w:jc w:val="both"/>
      </w:pPr>
      <w:r>
        <w:t>Data are presented as mean ± standard deviation. Normality and homogeneity were assessed using the Shapiro-Wilk and Levene tests, respectively. Differences among groups were analyzed using one-way analysis of variance followed by post hoc testing when appropriate. A p-value &lt; 0.05 was considered statistically significant. Statistical analysis was performed using SPSS Statistics for Windows, version 17.0 (SPSS Inc., Chicago, IL, USA).</w:t>
      </w:r>
    </w:p>
    <w:p w14:paraId="43900526" w14:textId="77777777" w:rsidR="006E5767" w:rsidRDefault="006E5767">
      <w:pPr>
        <w:spacing w:line="360" w:lineRule="auto"/>
        <w:jc w:val="both"/>
      </w:pPr>
    </w:p>
    <w:p w14:paraId="07224977" w14:textId="77777777" w:rsidR="006E5767" w:rsidRDefault="00000000">
      <w:pPr>
        <w:pStyle w:val="Heading1"/>
        <w:spacing w:line="360" w:lineRule="auto"/>
        <w:ind w:left="0"/>
      </w:pPr>
      <w:r>
        <w:t>RESULTS AND DISCUSSION</w:t>
      </w:r>
    </w:p>
    <w:p w14:paraId="496918B8" w14:textId="77777777" w:rsidR="006E5767" w:rsidRDefault="00000000">
      <w:pPr>
        <w:spacing w:line="360" w:lineRule="auto"/>
      </w:pPr>
      <w:r>
        <w:rPr>
          <w:b/>
        </w:rPr>
        <w:t>Salivary Amyloid-β, MAPTau, and Spatial Working Memory</w:t>
      </w:r>
    </w:p>
    <w:p w14:paraId="5FE6376A" w14:textId="77777777" w:rsidR="006E5767" w:rsidRDefault="00000000">
      <w:pPr>
        <w:spacing w:line="360" w:lineRule="auto"/>
        <w:jc w:val="both"/>
      </w:pPr>
      <w:r>
        <w:t>The differences in salivary Aβ levels, salivary MAPTau levels, and spatial working memory among the three groups at week 9 are presented in Table 1. The positive control group showed higher salivary Aβ and MAPTau levels than the negative control group, accompanied by lower spatial working memory performance. The treatment group showed lower salivary Aβ and MAPTau levels and higher spatial working memory performance than the positive control group.</w:t>
      </w:r>
    </w:p>
    <w:p w14:paraId="1DE8BEEB" w14:textId="77777777" w:rsidR="006E5767" w:rsidRDefault="00000000">
      <w:pPr>
        <w:spacing w:line="360" w:lineRule="auto"/>
        <w:jc w:val="both"/>
      </w:pPr>
      <w:r>
        <w:t>At week 9, the mean salivary Aβ level was 46.13 ± 5.21 pg/mL in the negative control group, 188.41 ± 36.11 pg/mL in the positive control group, and 63.21 ± 8.19 pg/mL in the treatment group. MAPTau levels were 0.15 ± 0.06 in the negative control group, 0.52 ± 0.23 in the positive control group, and 0.26 ± 0.08 in the treatment group. Spatial working memory performance was 68.00 ± 5.08% in the negative control group, 31.14 ± 18.87% in the positive control group, and 52.09 ± 14.03% in the treatment group. The overall between-group differences were statistically significant for all measured variables (p &lt; 0.001). The graphical comparison of Aβ, MAPTau, and spatial working memory among groups is shown in Fig. 1.</w:t>
      </w:r>
    </w:p>
    <w:p w14:paraId="1DE8E3B3" w14:textId="77777777" w:rsidR="00F14A83" w:rsidRDefault="00F14A83">
      <w:pPr>
        <w:spacing w:line="360" w:lineRule="auto"/>
        <w:rPr>
          <w:b/>
          <w:sz w:val="22"/>
        </w:rPr>
      </w:pPr>
    </w:p>
    <w:p w14:paraId="1E2A570A" w14:textId="77777777" w:rsidR="00F14A83" w:rsidRDefault="00F14A83">
      <w:pPr>
        <w:spacing w:line="360" w:lineRule="auto"/>
        <w:rPr>
          <w:b/>
          <w:sz w:val="22"/>
        </w:rPr>
      </w:pPr>
    </w:p>
    <w:p w14:paraId="6686CB5B" w14:textId="77777777" w:rsidR="00F14A83" w:rsidRDefault="00F14A83">
      <w:pPr>
        <w:spacing w:line="360" w:lineRule="auto"/>
        <w:rPr>
          <w:b/>
          <w:sz w:val="22"/>
        </w:rPr>
      </w:pPr>
    </w:p>
    <w:p w14:paraId="606B38DB" w14:textId="77777777" w:rsidR="00F14A83" w:rsidRDefault="00F14A83">
      <w:pPr>
        <w:spacing w:line="360" w:lineRule="auto"/>
        <w:rPr>
          <w:b/>
          <w:sz w:val="22"/>
        </w:rPr>
      </w:pPr>
    </w:p>
    <w:p w14:paraId="04F0F5F2" w14:textId="5C34609C" w:rsidR="006E5767" w:rsidRDefault="00000000">
      <w:pPr>
        <w:spacing w:line="360" w:lineRule="auto"/>
      </w:pPr>
      <w:r>
        <w:rPr>
          <w:b/>
          <w:sz w:val="22"/>
        </w:rPr>
        <w:lastRenderedPageBreak/>
        <w:t xml:space="preserve">Table 1. </w:t>
      </w:r>
      <w:r>
        <w:rPr>
          <w:sz w:val="22"/>
        </w:rPr>
        <w:t>Salivary Aβ, MAPTau, and spatial working memory among groups at week 9</w:t>
      </w:r>
    </w:p>
    <w:tbl>
      <w:tblPr>
        <w:tblStyle w:val="TableGrid"/>
        <w:tblW w:w="0" w:type="auto"/>
        <w:jc w:val="center"/>
        <w:tblLook w:val="04A0" w:firstRow="1" w:lastRow="0" w:firstColumn="1" w:lastColumn="0" w:noHBand="0" w:noVBand="1"/>
      </w:tblPr>
      <w:tblGrid>
        <w:gridCol w:w="1804"/>
        <w:gridCol w:w="1803"/>
        <w:gridCol w:w="1803"/>
        <w:gridCol w:w="1803"/>
        <w:gridCol w:w="1803"/>
      </w:tblGrid>
      <w:tr w:rsidR="006E5767" w14:paraId="294AE7F1" w14:textId="77777777">
        <w:trPr>
          <w:jc w:val="center"/>
        </w:trPr>
        <w:tc>
          <w:tcPr>
            <w:tcW w:w="1805" w:type="dxa"/>
            <w:tcBorders>
              <w:top w:val="single" w:sz="4" w:space="0" w:color="000000"/>
              <w:left w:val="single" w:sz="4" w:space="0" w:color="000000"/>
              <w:bottom w:val="single" w:sz="4" w:space="0" w:color="000000"/>
              <w:right w:val="single" w:sz="4" w:space="0" w:color="000000"/>
            </w:tcBorders>
            <w:vAlign w:val="center"/>
          </w:tcPr>
          <w:p w14:paraId="2B17FDB6" w14:textId="77777777" w:rsidR="006E5767" w:rsidRDefault="00000000">
            <w:pPr>
              <w:jc w:val="center"/>
            </w:pPr>
            <w:r>
              <w:rPr>
                <w:b/>
                <w:sz w:val="20"/>
              </w:rPr>
              <w:t>Variable</w:t>
            </w:r>
          </w:p>
        </w:tc>
        <w:tc>
          <w:tcPr>
            <w:tcW w:w="1805" w:type="dxa"/>
            <w:tcBorders>
              <w:top w:val="single" w:sz="4" w:space="0" w:color="000000"/>
              <w:left w:val="single" w:sz="4" w:space="0" w:color="000000"/>
              <w:bottom w:val="single" w:sz="4" w:space="0" w:color="000000"/>
              <w:right w:val="single" w:sz="4" w:space="0" w:color="000000"/>
            </w:tcBorders>
            <w:vAlign w:val="center"/>
          </w:tcPr>
          <w:p w14:paraId="526CFCD1" w14:textId="77777777" w:rsidR="006E5767" w:rsidRDefault="00000000">
            <w:pPr>
              <w:jc w:val="center"/>
            </w:pPr>
            <w:r>
              <w:rPr>
                <w:b/>
                <w:sz w:val="20"/>
              </w:rPr>
              <w:t>Group</w:t>
            </w:r>
          </w:p>
        </w:tc>
        <w:tc>
          <w:tcPr>
            <w:tcW w:w="1805" w:type="dxa"/>
            <w:tcBorders>
              <w:top w:val="single" w:sz="4" w:space="0" w:color="000000"/>
              <w:left w:val="single" w:sz="4" w:space="0" w:color="000000"/>
              <w:bottom w:val="single" w:sz="4" w:space="0" w:color="000000"/>
              <w:right w:val="single" w:sz="4" w:space="0" w:color="000000"/>
            </w:tcBorders>
            <w:vAlign w:val="center"/>
          </w:tcPr>
          <w:p w14:paraId="3A2BC5A1" w14:textId="77777777" w:rsidR="006E5767" w:rsidRDefault="00000000">
            <w:pPr>
              <w:jc w:val="center"/>
            </w:pPr>
            <w:r>
              <w:rPr>
                <w:b/>
                <w:sz w:val="20"/>
              </w:rPr>
              <w:t>n</w:t>
            </w:r>
          </w:p>
        </w:tc>
        <w:tc>
          <w:tcPr>
            <w:tcW w:w="1805" w:type="dxa"/>
            <w:tcBorders>
              <w:top w:val="single" w:sz="4" w:space="0" w:color="000000"/>
              <w:left w:val="single" w:sz="4" w:space="0" w:color="000000"/>
              <w:bottom w:val="single" w:sz="4" w:space="0" w:color="000000"/>
              <w:right w:val="single" w:sz="4" w:space="0" w:color="000000"/>
            </w:tcBorders>
            <w:vAlign w:val="center"/>
          </w:tcPr>
          <w:p w14:paraId="3C4973F3" w14:textId="77777777" w:rsidR="006E5767" w:rsidRDefault="00000000">
            <w:pPr>
              <w:jc w:val="center"/>
            </w:pPr>
            <w:r>
              <w:rPr>
                <w:b/>
                <w:sz w:val="20"/>
              </w:rPr>
              <w:t>Mean ± SD</w:t>
            </w:r>
          </w:p>
        </w:tc>
        <w:tc>
          <w:tcPr>
            <w:tcW w:w="1805" w:type="dxa"/>
            <w:tcBorders>
              <w:top w:val="single" w:sz="4" w:space="0" w:color="000000"/>
              <w:left w:val="single" w:sz="4" w:space="0" w:color="000000"/>
              <w:bottom w:val="single" w:sz="4" w:space="0" w:color="000000"/>
              <w:right w:val="single" w:sz="4" w:space="0" w:color="000000"/>
            </w:tcBorders>
            <w:vAlign w:val="center"/>
          </w:tcPr>
          <w:p w14:paraId="68F20F89" w14:textId="77777777" w:rsidR="006E5767" w:rsidRDefault="00000000">
            <w:pPr>
              <w:jc w:val="center"/>
            </w:pPr>
            <w:r>
              <w:rPr>
                <w:b/>
                <w:sz w:val="20"/>
              </w:rPr>
              <w:t>p-value</w:t>
            </w:r>
          </w:p>
        </w:tc>
      </w:tr>
      <w:tr w:rsidR="006E5767" w14:paraId="50D91333" w14:textId="77777777">
        <w:trPr>
          <w:jc w:val="center"/>
        </w:trPr>
        <w:tc>
          <w:tcPr>
            <w:tcW w:w="1805" w:type="dxa"/>
            <w:tcBorders>
              <w:top w:val="single" w:sz="4" w:space="0" w:color="000000"/>
              <w:left w:val="single" w:sz="4" w:space="0" w:color="000000"/>
              <w:bottom w:val="single" w:sz="4" w:space="0" w:color="000000"/>
              <w:right w:val="single" w:sz="4" w:space="0" w:color="000000"/>
            </w:tcBorders>
            <w:vAlign w:val="center"/>
          </w:tcPr>
          <w:p w14:paraId="39B0D4FA" w14:textId="77777777" w:rsidR="006E5767" w:rsidRDefault="00000000">
            <w:r>
              <w:rPr>
                <w:sz w:val="20"/>
              </w:rPr>
              <w:t>Aβ (pg/mL)</w:t>
            </w:r>
          </w:p>
        </w:tc>
        <w:tc>
          <w:tcPr>
            <w:tcW w:w="1805" w:type="dxa"/>
            <w:tcBorders>
              <w:top w:val="single" w:sz="4" w:space="0" w:color="000000"/>
              <w:left w:val="single" w:sz="4" w:space="0" w:color="000000"/>
              <w:bottom w:val="single" w:sz="4" w:space="0" w:color="000000"/>
              <w:right w:val="single" w:sz="4" w:space="0" w:color="000000"/>
            </w:tcBorders>
            <w:vAlign w:val="center"/>
          </w:tcPr>
          <w:p w14:paraId="4FE75F26" w14:textId="77777777" w:rsidR="006E5767" w:rsidRDefault="00000000">
            <w:r>
              <w:rPr>
                <w:sz w:val="20"/>
              </w:rPr>
              <w:t>C-</w:t>
            </w:r>
          </w:p>
        </w:tc>
        <w:tc>
          <w:tcPr>
            <w:tcW w:w="1805" w:type="dxa"/>
            <w:tcBorders>
              <w:top w:val="single" w:sz="4" w:space="0" w:color="000000"/>
              <w:left w:val="single" w:sz="4" w:space="0" w:color="000000"/>
              <w:bottom w:val="single" w:sz="4" w:space="0" w:color="000000"/>
              <w:right w:val="single" w:sz="4" w:space="0" w:color="000000"/>
            </w:tcBorders>
            <w:vAlign w:val="center"/>
          </w:tcPr>
          <w:p w14:paraId="7A3A16F5" w14:textId="77777777" w:rsidR="006E5767" w:rsidRDefault="00000000">
            <w:pPr>
              <w:jc w:val="center"/>
            </w:pPr>
            <w:r>
              <w:rPr>
                <w:sz w:val="20"/>
              </w:rPr>
              <w:t>11</w:t>
            </w:r>
          </w:p>
        </w:tc>
        <w:tc>
          <w:tcPr>
            <w:tcW w:w="1805" w:type="dxa"/>
            <w:tcBorders>
              <w:top w:val="single" w:sz="4" w:space="0" w:color="000000"/>
              <w:left w:val="single" w:sz="4" w:space="0" w:color="000000"/>
              <w:bottom w:val="single" w:sz="4" w:space="0" w:color="000000"/>
              <w:right w:val="single" w:sz="4" w:space="0" w:color="000000"/>
            </w:tcBorders>
            <w:vAlign w:val="center"/>
          </w:tcPr>
          <w:p w14:paraId="218FB343" w14:textId="77777777" w:rsidR="006E5767" w:rsidRDefault="00000000">
            <w:pPr>
              <w:jc w:val="center"/>
            </w:pPr>
            <w:r>
              <w:rPr>
                <w:sz w:val="20"/>
              </w:rPr>
              <w:t>46.13 ± 5.21</w:t>
            </w:r>
          </w:p>
        </w:tc>
        <w:tc>
          <w:tcPr>
            <w:tcW w:w="1805" w:type="dxa"/>
            <w:tcBorders>
              <w:top w:val="single" w:sz="4" w:space="0" w:color="000000"/>
              <w:left w:val="single" w:sz="4" w:space="0" w:color="000000"/>
              <w:bottom w:val="single" w:sz="4" w:space="0" w:color="000000"/>
              <w:right w:val="single" w:sz="4" w:space="0" w:color="000000"/>
            </w:tcBorders>
            <w:vAlign w:val="center"/>
          </w:tcPr>
          <w:p w14:paraId="20DCC75E" w14:textId="77777777" w:rsidR="006E5767" w:rsidRDefault="00000000">
            <w:pPr>
              <w:jc w:val="center"/>
            </w:pPr>
            <w:r>
              <w:rPr>
                <w:sz w:val="20"/>
              </w:rPr>
              <w:t>&lt;0.001</w:t>
            </w:r>
          </w:p>
        </w:tc>
      </w:tr>
      <w:tr w:rsidR="006E5767" w14:paraId="065DC8F1" w14:textId="77777777">
        <w:trPr>
          <w:jc w:val="center"/>
        </w:trPr>
        <w:tc>
          <w:tcPr>
            <w:tcW w:w="1805" w:type="dxa"/>
            <w:tcBorders>
              <w:top w:val="single" w:sz="4" w:space="0" w:color="000000"/>
              <w:left w:val="single" w:sz="4" w:space="0" w:color="000000"/>
              <w:bottom w:val="single" w:sz="4" w:space="0" w:color="000000"/>
              <w:right w:val="single" w:sz="4" w:space="0" w:color="000000"/>
            </w:tcBorders>
            <w:vAlign w:val="center"/>
          </w:tcPr>
          <w:p w14:paraId="32C27241" w14:textId="77777777" w:rsidR="006E5767" w:rsidRDefault="006E5767"/>
        </w:tc>
        <w:tc>
          <w:tcPr>
            <w:tcW w:w="1805" w:type="dxa"/>
            <w:tcBorders>
              <w:top w:val="single" w:sz="4" w:space="0" w:color="000000"/>
              <w:left w:val="single" w:sz="4" w:space="0" w:color="000000"/>
              <w:bottom w:val="single" w:sz="4" w:space="0" w:color="000000"/>
              <w:right w:val="single" w:sz="4" w:space="0" w:color="000000"/>
            </w:tcBorders>
            <w:vAlign w:val="center"/>
          </w:tcPr>
          <w:p w14:paraId="68A60293" w14:textId="77777777" w:rsidR="006E5767" w:rsidRDefault="00000000">
            <w:r>
              <w:rPr>
                <w:sz w:val="20"/>
              </w:rPr>
              <w:t>C+</w:t>
            </w:r>
          </w:p>
        </w:tc>
        <w:tc>
          <w:tcPr>
            <w:tcW w:w="1805" w:type="dxa"/>
            <w:tcBorders>
              <w:top w:val="single" w:sz="4" w:space="0" w:color="000000"/>
              <w:left w:val="single" w:sz="4" w:space="0" w:color="000000"/>
              <w:bottom w:val="single" w:sz="4" w:space="0" w:color="000000"/>
              <w:right w:val="single" w:sz="4" w:space="0" w:color="000000"/>
            </w:tcBorders>
            <w:vAlign w:val="center"/>
          </w:tcPr>
          <w:p w14:paraId="43BDAEDF" w14:textId="77777777" w:rsidR="006E5767" w:rsidRDefault="00000000">
            <w:pPr>
              <w:jc w:val="center"/>
            </w:pPr>
            <w:r>
              <w:rPr>
                <w:sz w:val="20"/>
              </w:rPr>
              <w:t>11</w:t>
            </w:r>
          </w:p>
        </w:tc>
        <w:tc>
          <w:tcPr>
            <w:tcW w:w="1805" w:type="dxa"/>
            <w:tcBorders>
              <w:top w:val="single" w:sz="4" w:space="0" w:color="000000"/>
              <w:left w:val="single" w:sz="4" w:space="0" w:color="000000"/>
              <w:bottom w:val="single" w:sz="4" w:space="0" w:color="000000"/>
              <w:right w:val="single" w:sz="4" w:space="0" w:color="000000"/>
            </w:tcBorders>
            <w:vAlign w:val="center"/>
          </w:tcPr>
          <w:p w14:paraId="5EEA894F" w14:textId="77777777" w:rsidR="006E5767" w:rsidRDefault="00000000">
            <w:pPr>
              <w:jc w:val="center"/>
            </w:pPr>
            <w:r>
              <w:rPr>
                <w:sz w:val="20"/>
              </w:rPr>
              <w:t>188.41 ± 36.11</w:t>
            </w:r>
          </w:p>
        </w:tc>
        <w:tc>
          <w:tcPr>
            <w:tcW w:w="1805" w:type="dxa"/>
            <w:tcBorders>
              <w:top w:val="single" w:sz="4" w:space="0" w:color="000000"/>
              <w:left w:val="single" w:sz="4" w:space="0" w:color="000000"/>
              <w:bottom w:val="single" w:sz="4" w:space="0" w:color="000000"/>
              <w:right w:val="single" w:sz="4" w:space="0" w:color="000000"/>
            </w:tcBorders>
            <w:vAlign w:val="center"/>
          </w:tcPr>
          <w:p w14:paraId="66A295E8" w14:textId="77777777" w:rsidR="006E5767" w:rsidRDefault="006E5767">
            <w:pPr>
              <w:jc w:val="center"/>
            </w:pPr>
          </w:p>
        </w:tc>
      </w:tr>
      <w:tr w:rsidR="006E5767" w14:paraId="70FD3681" w14:textId="77777777">
        <w:trPr>
          <w:jc w:val="center"/>
        </w:trPr>
        <w:tc>
          <w:tcPr>
            <w:tcW w:w="1805" w:type="dxa"/>
            <w:tcBorders>
              <w:top w:val="single" w:sz="4" w:space="0" w:color="000000"/>
              <w:left w:val="single" w:sz="4" w:space="0" w:color="000000"/>
              <w:bottom w:val="single" w:sz="4" w:space="0" w:color="000000"/>
              <w:right w:val="single" w:sz="4" w:space="0" w:color="000000"/>
            </w:tcBorders>
            <w:vAlign w:val="center"/>
          </w:tcPr>
          <w:p w14:paraId="56F268FE" w14:textId="77777777" w:rsidR="006E5767" w:rsidRDefault="006E5767"/>
        </w:tc>
        <w:tc>
          <w:tcPr>
            <w:tcW w:w="1805" w:type="dxa"/>
            <w:tcBorders>
              <w:top w:val="single" w:sz="4" w:space="0" w:color="000000"/>
              <w:left w:val="single" w:sz="4" w:space="0" w:color="000000"/>
              <w:bottom w:val="single" w:sz="4" w:space="0" w:color="000000"/>
              <w:right w:val="single" w:sz="4" w:space="0" w:color="000000"/>
            </w:tcBorders>
            <w:vAlign w:val="center"/>
          </w:tcPr>
          <w:p w14:paraId="2CB2AEE4" w14:textId="77777777" w:rsidR="006E5767" w:rsidRDefault="00000000">
            <w:r>
              <w:rPr>
                <w:sz w:val="20"/>
              </w:rPr>
              <w:t>T</w:t>
            </w:r>
          </w:p>
        </w:tc>
        <w:tc>
          <w:tcPr>
            <w:tcW w:w="1805" w:type="dxa"/>
            <w:tcBorders>
              <w:top w:val="single" w:sz="4" w:space="0" w:color="000000"/>
              <w:left w:val="single" w:sz="4" w:space="0" w:color="000000"/>
              <w:bottom w:val="single" w:sz="4" w:space="0" w:color="000000"/>
              <w:right w:val="single" w:sz="4" w:space="0" w:color="000000"/>
            </w:tcBorders>
            <w:vAlign w:val="center"/>
          </w:tcPr>
          <w:p w14:paraId="5DEC39C4" w14:textId="77777777" w:rsidR="006E5767" w:rsidRDefault="00000000">
            <w:pPr>
              <w:jc w:val="center"/>
            </w:pPr>
            <w:r>
              <w:rPr>
                <w:sz w:val="20"/>
              </w:rPr>
              <w:t>11</w:t>
            </w:r>
          </w:p>
        </w:tc>
        <w:tc>
          <w:tcPr>
            <w:tcW w:w="1805" w:type="dxa"/>
            <w:tcBorders>
              <w:top w:val="single" w:sz="4" w:space="0" w:color="000000"/>
              <w:left w:val="single" w:sz="4" w:space="0" w:color="000000"/>
              <w:bottom w:val="single" w:sz="4" w:space="0" w:color="000000"/>
              <w:right w:val="single" w:sz="4" w:space="0" w:color="000000"/>
            </w:tcBorders>
            <w:vAlign w:val="center"/>
          </w:tcPr>
          <w:p w14:paraId="4A710558" w14:textId="77777777" w:rsidR="006E5767" w:rsidRDefault="00000000">
            <w:pPr>
              <w:jc w:val="center"/>
            </w:pPr>
            <w:r>
              <w:rPr>
                <w:sz w:val="20"/>
              </w:rPr>
              <w:t>63.21 ± 8.19</w:t>
            </w:r>
          </w:p>
        </w:tc>
        <w:tc>
          <w:tcPr>
            <w:tcW w:w="1805" w:type="dxa"/>
            <w:tcBorders>
              <w:top w:val="single" w:sz="4" w:space="0" w:color="000000"/>
              <w:left w:val="single" w:sz="4" w:space="0" w:color="000000"/>
              <w:bottom w:val="single" w:sz="4" w:space="0" w:color="000000"/>
              <w:right w:val="single" w:sz="4" w:space="0" w:color="000000"/>
            </w:tcBorders>
            <w:vAlign w:val="center"/>
          </w:tcPr>
          <w:p w14:paraId="6CE6E572" w14:textId="77777777" w:rsidR="006E5767" w:rsidRDefault="006E5767">
            <w:pPr>
              <w:jc w:val="center"/>
            </w:pPr>
          </w:p>
        </w:tc>
      </w:tr>
      <w:tr w:rsidR="006E5767" w14:paraId="3E38C3D6" w14:textId="77777777">
        <w:trPr>
          <w:jc w:val="center"/>
        </w:trPr>
        <w:tc>
          <w:tcPr>
            <w:tcW w:w="1805" w:type="dxa"/>
            <w:tcBorders>
              <w:top w:val="single" w:sz="4" w:space="0" w:color="000000"/>
              <w:left w:val="single" w:sz="4" w:space="0" w:color="000000"/>
              <w:bottom w:val="single" w:sz="4" w:space="0" w:color="000000"/>
              <w:right w:val="single" w:sz="4" w:space="0" w:color="000000"/>
            </w:tcBorders>
            <w:vAlign w:val="center"/>
          </w:tcPr>
          <w:p w14:paraId="3D20E8E0" w14:textId="77777777" w:rsidR="006E5767" w:rsidRDefault="00000000">
            <w:r>
              <w:rPr>
                <w:sz w:val="20"/>
              </w:rPr>
              <w:t>MAPTau</w:t>
            </w:r>
          </w:p>
        </w:tc>
        <w:tc>
          <w:tcPr>
            <w:tcW w:w="1805" w:type="dxa"/>
            <w:tcBorders>
              <w:top w:val="single" w:sz="4" w:space="0" w:color="000000"/>
              <w:left w:val="single" w:sz="4" w:space="0" w:color="000000"/>
              <w:bottom w:val="single" w:sz="4" w:space="0" w:color="000000"/>
              <w:right w:val="single" w:sz="4" w:space="0" w:color="000000"/>
            </w:tcBorders>
            <w:vAlign w:val="center"/>
          </w:tcPr>
          <w:p w14:paraId="3292B683" w14:textId="77777777" w:rsidR="006E5767" w:rsidRDefault="00000000">
            <w:r>
              <w:rPr>
                <w:sz w:val="20"/>
              </w:rPr>
              <w:t>C-</w:t>
            </w:r>
          </w:p>
        </w:tc>
        <w:tc>
          <w:tcPr>
            <w:tcW w:w="1805" w:type="dxa"/>
            <w:tcBorders>
              <w:top w:val="single" w:sz="4" w:space="0" w:color="000000"/>
              <w:left w:val="single" w:sz="4" w:space="0" w:color="000000"/>
              <w:bottom w:val="single" w:sz="4" w:space="0" w:color="000000"/>
              <w:right w:val="single" w:sz="4" w:space="0" w:color="000000"/>
            </w:tcBorders>
            <w:vAlign w:val="center"/>
          </w:tcPr>
          <w:p w14:paraId="417090F6" w14:textId="77777777" w:rsidR="006E5767" w:rsidRDefault="00000000">
            <w:pPr>
              <w:jc w:val="center"/>
            </w:pPr>
            <w:r>
              <w:rPr>
                <w:sz w:val="20"/>
              </w:rPr>
              <w:t>11</w:t>
            </w:r>
          </w:p>
        </w:tc>
        <w:tc>
          <w:tcPr>
            <w:tcW w:w="1805" w:type="dxa"/>
            <w:tcBorders>
              <w:top w:val="single" w:sz="4" w:space="0" w:color="000000"/>
              <w:left w:val="single" w:sz="4" w:space="0" w:color="000000"/>
              <w:bottom w:val="single" w:sz="4" w:space="0" w:color="000000"/>
              <w:right w:val="single" w:sz="4" w:space="0" w:color="000000"/>
            </w:tcBorders>
            <w:vAlign w:val="center"/>
          </w:tcPr>
          <w:p w14:paraId="16761140" w14:textId="77777777" w:rsidR="006E5767" w:rsidRDefault="00000000">
            <w:pPr>
              <w:jc w:val="center"/>
            </w:pPr>
            <w:r>
              <w:rPr>
                <w:sz w:val="20"/>
              </w:rPr>
              <w:t>0.15 ± 0.06</w:t>
            </w:r>
          </w:p>
        </w:tc>
        <w:tc>
          <w:tcPr>
            <w:tcW w:w="1805" w:type="dxa"/>
            <w:tcBorders>
              <w:top w:val="single" w:sz="4" w:space="0" w:color="000000"/>
              <w:left w:val="single" w:sz="4" w:space="0" w:color="000000"/>
              <w:bottom w:val="single" w:sz="4" w:space="0" w:color="000000"/>
              <w:right w:val="single" w:sz="4" w:space="0" w:color="000000"/>
            </w:tcBorders>
            <w:vAlign w:val="center"/>
          </w:tcPr>
          <w:p w14:paraId="4A807C99" w14:textId="77777777" w:rsidR="006E5767" w:rsidRDefault="00000000">
            <w:pPr>
              <w:jc w:val="center"/>
            </w:pPr>
            <w:r>
              <w:rPr>
                <w:sz w:val="20"/>
              </w:rPr>
              <w:t>&lt;0.001</w:t>
            </w:r>
          </w:p>
        </w:tc>
      </w:tr>
      <w:tr w:rsidR="006E5767" w14:paraId="51674DAA" w14:textId="77777777">
        <w:trPr>
          <w:jc w:val="center"/>
        </w:trPr>
        <w:tc>
          <w:tcPr>
            <w:tcW w:w="1805" w:type="dxa"/>
            <w:tcBorders>
              <w:top w:val="single" w:sz="4" w:space="0" w:color="000000"/>
              <w:left w:val="single" w:sz="4" w:space="0" w:color="000000"/>
              <w:bottom w:val="single" w:sz="4" w:space="0" w:color="000000"/>
              <w:right w:val="single" w:sz="4" w:space="0" w:color="000000"/>
            </w:tcBorders>
            <w:vAlign w:val="center"/>
          </w:tcPr>
          <w:p w14:paraId="22BDC2CF" w14:textId="77777777" w:rsidR="006E5767" w:rsidRDefault="006E5767"/>
        </w:tc>
        <w:tc>
          <w:tcPr>
            <w:tcW w:w="1805" w:type="dxa"/>
            <w:tcBorders>
              <w:top w:val="single" w:sz="4" w:space="0" w:color="000000"/>
              <w:left w:val="single" w:sz="4" w:space="0" w:color="000000"/>
              <w:bottom w:val="single" w:sz="4" w:space="0" w:color="000000"/>
              <w:right w:val="single" w:sz="4" w:space="0" w:color="000000"/>
            </w:tcBorders>
            <w:vAlign w:val="center"/>
          </w:tcPr>
          <w:p w14:paraId="64E73F69" w14:textId="77777777" w:rsidR="006E5767" w:rsidRDefault="00000000">
            <w:r>
              <w:rPr>
                <w:sz w:val="20"/>
              </w:rPr>
              <w:t>C+</w:t>
            </w:r>
          </w:p>
        </w:tc>
        <w:tc>
          <w:tcPr>
            <w:tcW w:w="1805" w:type="dxa"/>
            <w:tcBorders>
              <w:top w:val="single" w:sz="4" w:space="0" w:color="000000"/>
              <w:left w:val="single" w:sz="4" w:space="0" w:color="000000"/>
              <w:bottom w:val="single" w:sz="4" w:space="0" w:color="000000"/>
              <w:right w:val="single" w:sz="4" w:space="0" w:color="000000"/>
            </w:tcBorders>
            <w:vAlign w:val="center"/>
          </w:tcPr>
          <w:p w14:paraId="16789289" w14:textId="77777777" w:rsidR="006E5767" w:rsidRDefault="00000000">
            <w:pPr>
              <w:jc w:val="center"/>
            </w:pPr>
            <w:r>
              <w:rPr>
                <w:sz w:val="20"/>
              </w:rPr>
              <w:t>11</w:t>
            </w:r>
          </w:p>
        </w:tc>
        <w:tc>
          <w:tcPr>
            <w:tcW w:w="1805" w:type="dxa"/>
            <w:tcBorders>
              <w:top w:val="single" w:sz="4" w:space="0" w:color="000000"/>
              <w:left w:val="single" w:sz="4" w:space="0" w:color="000000"/>
              <w:bottom w:val="single" w:sz="4" w:space="0" w:color="000000"/>
              <w:right w:val="single" w:sz="4" w:space="0" w:color="000000"/>
            </w:tcBorders>
            <w:vAlign w:val="center"/>
          </w:tcPr>
          <w:p w14:paraId="2A9A611F" w14:textId="77777777" w:rsidR="006E5767" w:rsidRDefault="00000000">
            <w:pPr>
              <w:jc w:val="center"/>
            </w:pPr>
            <w:r>
              <w:rPr>
                <w:sz w:val="20"/>
              </w:rPr>
              <w:t>0.52 ± 0.23</w:t>
            </w:r>
          </w:p>
        </w:tc>
        <w:tc>
          <w:tcPr>
            <w:tcW w:w="1805" w:type="dxa"/>
            <w:tcBorders>
              <w:top w:val="single" w:sz="4" w:space="0" w:color="000000"/>
              <w:left w:val="single" w:sz="4" w:space="0" w:color="000000"/>
              <w:bottom w:val="single" w:sz="4" w:space="0" w:color="000000"/>
              <w:right w:val="single" w:sz="4" w:space="0" w:color="000000"/>
            </w:tcBorders>
            <w:vAlign w:val="center"/>
          </w:tcPr>
          <w:p w14:paraId="7F8CA372" w14:textId="77777777" w:rsidR="006E5767" w:rsidRDefault="006E5767">
            <w:pPr>
              <w:jc w:val="center"/>
            </w:pPr>
          </w:p>
        </w:tc>
      </w:tr>
      <w:tr w:rsidR="006E5767" w14:paraId="0539A52E" w14:textId="77777777">
        <w:trPr>
          <w:jc w:val="center"/>
        </w:trPr>
        <w:tc>
          <w:tcPr>
            <w:tcW w:w="1805" w:type="dxa"/>
            <w:tcBorders>
              <w:top w:val="single" w:sz="4" w:space="0" w:color="000000"/>
              <w:left w:val="single" w:sz="4" w:space="0" w:color="000000"/>
              <w:bottom w:val="single" w:sz="4" w:space="0" w:color="000000"/>
              <w:right w:val="single" w:sz="4" w:space="0" w:color="000000"/>
            </w:tcBorders>
            <w:vAlign w:val="center"/>
          </w:tcPr>
          <w:p w14:paraId="031B5957" w14:textId="77777777" w:rsidR="006E5767" w:rsidRDefault="006E5767"/>
        </w:tc>
        <w:tc>
          <w:tcPr>
            <w:tcW w:w="1805" w:type="dxa"/>
            <w:tcBorders>
              <w:top w:val="single" w:sz="4" w:space="0" w:color="000000"/>
              <w:left w:val="single" w:sz="4" w:space="0" w:color="000000"/>
              <w:bottom w:val="single" w:sz="4" w:space="0" w:color="000000"/>
              <w:right w:val="single" w:sz="4" w:space="0" w:color="000000"/>
            </w:tcBorders>
            <w:vAlign w:val="center"/>
          </w:tcPr>
          <w:p w14:paraId="4B3F0545" w14:textId="77777777" w:rsidR="006E5767" w:rsidRDefault="00000000">
            <w:r>
              <w:rPr>
                <w:sz w:val="20"/>
              </w:rPr>
              <w:t>T</w:t>
            </w:r>
          </w:p>
        </w:tc>
        <w:tc>
          <w:tcPr>
            <w:tcW w:w="1805" w:type="dxa"/>
            <w:tcBorders>
              <w:top w:val="single" w:sz="4" w:space="0" w:color="000000"/>
              <w:left w:val="single" w:sz="4" w:space="0" w:color="000000"/>
              <w:bottom w:val="single" w:sz="4" w:space="0" w:color="000000"/>
              <w:right w:val="single" w:sz="4" w:space="0" w:color="000000"/>
            </w:tcBorders>
            <w:vAlign w:val="center"/>
          </w:tcPr>
          <w:p w14:paraId="4BB9F76B" w14:textId="77777777" w:rsidR="006E5767" w:rsidRDefault="00000000">
            <w:pPr>
              <w:jc w:val="center"/>
            </w:pPr>
            <w:r>
              <w:rPr>
                <w:sz w:val="20"/>
              </w:rPr>
              <w:t>11</w:t>
            </w:r>
          </w:p>
        </w:tc>
        <w:tc>
          <w:tcPr>
            <w:tcW w:w="1805" w:type="dxa"/>
            <w:tcBorders>
              <w:top w:val="single" w:sz="4" w:space="0" w:color="000000"/>
              <w:left w:val="single" w:sz="4" w:space="0" w:color="000000"/>
              <w:bottom w:val="single" w:sz="4" w:space="0" w:color="000000"/>
              <w:right w:val="single" w:sz="4" w:space="0" w:color="000000"/>
            </w:tcBorders>
            <w:vAlign w:val="center"/>
          </w:tcPr>
          <w:p w14:paraId="38559C10" w14:textId="77777777" w:rsidR="006E5767" w:rsidRDefault="00000000">
            <w:pPr>
              <w:jc w:val="center"/>
            </w:pPr>
            <w:r>
              <w:rPr>
                <w:sz w:val="20"/>
              </w:rPr>
              <w:t>0.26 ± 0.08</w:t>
            </w:r>
          </w:p>
        </w:tc>
        <w:tc>
          <w:tcPr>
            <w:tcW w:w="1805" w:type="dxa"/>
            <w:tcBorders>
              <w:top w:val="single" w:sz="4" w:space="0" w:color="000000"/>
              <w:left w:val="single" w:sz="4" w:space="0" w:color="000000"/>
              <w:bottom w:val="single" w:sz="4" w:space="0" w:color="000000"/>
              <w:right w:val="single" w:sz="4" w:space="0" w:color="000000"/>
            </w:tcBorders>
            <w:vAlign w:val="center"/>
          </w:tcPr>
          <w:p w14:paraId="4750E3A2" w14:textId="77777777" w:rsidR="006E5767" w:rsidRDefault="006E5767">
            <w:pPr>
              <w:jc w:val="center"/>
            </w:pPr>
          </w:p>
        </w:tc>
      </w:tr>
      <w:tr w:rsidR="006E5767" w14:paraId="5F3EC455" w14:textId="77777777">
        <w:trPr>
          <w:jc w:val="center"/>
        </w:trPr>
        <w:tc>
          <w:tcPr>
            <w:tcW w:w="1805" w:type="dxa"/>
            <w:tcBorders>
              <w:top w:val="single" w:sz="4" w:space="0" w:color="000000"/>
              <w:left w:val="single" w:sz="4" w:space="0" w:color="000000"/>
              <w:bottom w:val="single" w:sz="4" w:space="0" w:color="000000"/>
              <w:right w:val="single" w:sz="4" w:space="0" w:color="000000"/>
            </w:tcBorders>
            <w:vAlign w:val="center"/>
          </w:tcPr>
          <w:p w14:paraId="0F829BB2" w14:textId="77777777" w:rsidR="006E5767" w:rsidRDefault="00000000">
            <w:r>
              <w:rPr>
                <w:sz w:val="20"/>
              </w:rPr>
              <w:t>Spatial working memory (%)</w:t>
            </w:r>
          </w:p>
        </w:tc>
        <w:tc>
          <w:tcPr>
            <w:tcW w:w="1805" w:type="dxa"/>
            <w:tcBorders>
              <w:top w:val="single" w:sz="4" w:space="0" w:color="000000"/>
              <w:left w:val="single" w:sz="4" w:space="0" w:color="000000"/>
              <w:bottom w:val="single" w:sz="4" w:space="0" w:color="000000"/>
              <w:right w:val="single" w:sz="4" w:space="0" w:color="000000"/>
            </w:tcBorders>
            <w:vAlign w:val="center"/>
          </w:tcPr>
          <w:p w14:paraId="209BC82B" w14:textId="77777777" w:rsidR="006E5767" w:rsidRDefault="00000000">
            <w:r>
              <w:rPr>
                <w:sz w:val="20"/>
              </w:rPr>
              <w:t>C-</w:t>
            </w:r>
          </w:p>
        </w:tc>
        <w:tc>
          <w:tcPr>
            <w:tcW w:w="1805" w:type="dxa"/>
            <w:tcBorders>
              <w:top w:val="single" w:sz="4" w:space="0" w:color="000000"/>
              <w:left w:val="single" w:sz="4" w:space="0" w:color="000000"/>
              <w:bottom w:val="single" w:sz="4" w:space="0" w:color="000000"/>
              <w:right w:val="single" w:sz="4" w:space="0" w:color="000000"/>
            </w:tcBorders>
            <w:vAlign w:val="center"/>
          </w:tcPr>
          <w:p w14:paraId="135ADE8F" w14:textId="77777777" w:rsidR="006E5767" w:rsidRDefault="00000000">
            <w:pPr>
              <w:jc w:val="center"/>
            </w:pPr>
            <w:r>
              <w:rPr>
                <w:sz w:val="20"/>
              </w:rPr>
              <w:t>11</w:t>
            </w:r>
          </w:p>
        </w:tc>
        <w:tc>
          <w:tcPr>
            <w:tcW w:w="1805" w:type="dxa"/>
            <w:tcBorders>
              <w:top w:val="single" w:sz="4" w:space="0" w:color="000000"/>
              <w:left w:val="single" w:sz="4" w:space="0" w:color="000000"/>
              <w:bottom w:val="single" w:sz="4" w:space="0" w:color="000000"/>
              <w:right w:val="single" w:sz="4" w:space="0" w:color="000000"/>
            </w:tcBorders>
            <w:vAlign w:val="center"/>
          </w:tcPr>
          <w:p w14:paraId="2018CBA0" w14:textId="77777777" w:rsidR="006E5767" w:rsidRDefault="00000000">
            <w:pPr>
              <w:jc w:val="center"/>
            </w:pPr>
            <w:r>
              <w:rPr>
                <w:sz w:val="20"/>
              </w:rPr>
              <w:t>68.00 ± 5.08</w:t>
            </w:r>
          </w:p>
        </w:tc>
        <w:tc>
          <w:tcPr>
            <w:tcW w:w="1805" w:type="dxa"/>
            <w:tcBorders>
              <w:top w:val="single" w:sz="4" w:space="0" w:color="000000"/>
              <w:left w:val="single" w:sz="4" w:space="0" w:color="000000"/>
              <w:bottom w:val="single" w:sz="4" w:space="0" w:color="000000"/>
              <w:right w:val="single" w:sz="4" w:space="0" w:color="000000"/>
            </w:tcBorders>
            <w:vAlign w:val="center"/>
          </w:tcPr>
          <w:p w14:paraId="72486B06" w14:textId="77777777" w:rsidR="006E5767" w:rsidRDefault="00000000">
            <w:pPr>
              <w:jc w:val="center"/>
            </w:pPr>
            <w:r>
              <w:rPr>
                <w:sz w:val="20"/>
              </w:rPr>
              <w:t>&lt;0.001</w:t>
            </w:r>
          </w:p>
        </w:tc>
      </w:tr>
      <w:tr w:rsidR="006E5767" w14:paraId="2A81AF90" w14:textId="77777777">
        <w:trPr>
          <w:jc w:val="center"/>
        </w:trPr>
        <w:tc>
          <w:tcPr>
            <w:tcW w:w="1805" w:type="dxa"/>
            <w:tcBorders>
              <w:top w:val="single" w:sz="4" w:space="0" w:color="000000"/>
              <w:left w:val="single" w:sz="4" w:space="0" w:color="000000"/>
              <w:bottom w:val="single" w:sz="4" w:space="0" w:color="000000"/>
              <w:right w:val="single" w:sz="4" w:space="0" w:color="000000"/>
            </w:tcBorders>
            <w:vAlign w:val="center"/>
          </w:tcPr>
          <w:p w14:paraId="05FED42A" w14:textId="77777777" w:rsidR="006E5767" w:rsidRDefault="006E5767"/>
        </w:tc>
        <w:tc>
          <w:tcPr>
            <w:tcW w:w="1805" w:type="dxa"/>
            <w:tcBorders>
              <w:top w:val="single" w:sz="4" w:space="0" w:color="000000"/>
              <w:left w:val="single" w:sz="4" w:space="0" w:color="000000"/>
              <w:bottom w:val="single" w:sz="4" w:space="0" w:color="000000"/>
              <w:right w:val="single" w:sz="4" w:space="0" w:color="000000"/>
            </w:tcBorders>
            <w:vAlign w:val="center"/>
          </w:tcPr>
          <w:p w14:paraId="1C1DF639" w14:textId="77777777" w:rsidR="006E5767" w:rsidRDefault="00000000">
            <w:r>
              <w:rPr>
                <w:sz w:val="20"/>
              </w:rPr>
              <w:t>C+</w:t>
            </w:r>
          </w:p>
        </w:tc>
        <w:tc>
          <w:tcPr>
            <w:tcW w:w="1805" w:type="dxa"/>
            <w:tcBorders>
              <w:top w:val="single" w:sz="4" w:space="0" w:color="000000"/>
              <w:left w:val="single" w:sz="4" w:space="0" w:color="000000"/>
              <w:bottom w:val="single" w:sz="4" w:space="0" w:color="000000"/>
              <w:right w:val="single" w:sz="4" w:space="0" w:color="000000"/>
            </w:tcBorders>
            <w:vAlign w:val="center"/>
          </w:tcPr>
          <w:p w14:paraId="447BAD91" w14:textId="77777777" w:rsidR="006E5767" w:rsidRDefault="00000000">
            <w:pPr>
              <w:jc w:val="center"/>
            </w:pPr>
            <w:r>
              <w:rPr>
                <w:sz w:val="20"/>
              </w:rPr>
              <w:t>11</w:t>
            </w:r>
          </w:p>
        </w:tc>
        <w:tc>
          <w:tcPr>
            <w:tcW w:w="1805" w:type="dxa"/>
            <w:tcBorders>
              <w:top w:val="single" w:sz="4" w:space="0" w:color="000000"/>
              <w:left w:val="single" w:sz="4" w:space="0" w:color="000000"/>
              <w:bottom w:val="single" w:sz="4" w:space="0" w:color="000000"/>
              <w:right w:val="single" w:sz="4" w:space="0" w:color="000000"/>
            </w:tcBorders>
            <w:vAlign w:val="center"/>
          </w:tcPr>
          <w:p w14:paraId="57BE6ABE" w14:textId="77777777" w:rsidR="006E5767" w:rsidRDefault="00000000">
            <w:pPr>
              <w:jc w:val="center"/>
            </w:pPr>
            <w:r>
              <w:rPr>
                <w:sz w:val="20"/>
              </w:rPr>
              <w:t>31.14 ± 18.87</w:t>
            </w:r>
          </w:p>
        </w:tc>
        <w:tc>
          <w:tcPr>
            <w:tcW w:w="1805" w:type="dxa"/>
            <w:tcBorders>
              <w:top w:val="single" w:sz="4" w:space="0" w:color="000000"/>
              <w:left w:val="single" w:sz="4" w:space="0" w:color="000000"/>
              <w:bottom w:val="single" w:sz="4" w:space="0" w:color="000000"/>
              <w:right w:val="single" w:sz="4" w:space="0" w:color="000000"/>
            </w:tcBorders>
            <w:vAlign w:val="center"/>
          </w:tcPr>
          <w:p w14:paraId="3F11D769" w14:textId="77777777" w:rsidR="006E5767" w:rsidRDefault="006E5767">
            <w:pPr>
              <w:jc w:val="center"/>
            </w:pPr>
          </w:p>
        </w:tc>
      </w:tr>
      <w:tr w:rsidR="006E5767" w14:paraId="52ABCDEB" w14:textId="77777777">
        <w:trPr>
          <w:jc w:val="center"/>
        </w:trPr>
        <w:tc>
          <w:tcPr>
            <w:tcW w:w="1805" w:type="dxa"/>
            <w:tcBorders>
              <w:top w:val="single" w:sz="4" w:space="0" w:color="000000"/>
              <w:left w:val="single" w:sz="4" w:space="0" w:color="000000"/>
              <w:bottom w:val="single" w:sz="4" w:space="0" w:color="000000"/>
              <w:right w:val="single" w:sz="4" w:space="0" w:color="000000"/>
            </w:tcBorders>
            <w:vAlign w:val="center"/>
          </w:tcPr>
          <w:p w14:paraId="4C38E7AD" w14:textId="77777777" w:rsidR="006E5767" w:rsidRDefault="006E5767"/>
        </w:tc>
        <w:tc>
          <w:tcPr>
            <w:tcW w:w="1805" w:type="dxa"/>
            <w:tcBorders>
              <w:top w:val="single" w:sz="4" w:space="0" w:color="000000"/>
              <w:left w:val="single" w:sz="4" w:space="0" w:color="000000"/>
              <w:bottom w:val="single" w:sz="4" w:space="0" w:color="000000"/>
              <w:right w:val="single" w:sz="4" w:space="0" w:color="000000"/>
            </w:tcBorders>
            <w:vAlign w:val="center"/>
          </w:tcPr>
          <w:p w14:paraId="3E1CB2D0" w14:textId="77777777" w:rsidR="006E5767" w:rsidRDefault="00000000">
            <w:r>
              <w:rPr>
                <w:sz w:val="20"/>
              </w:rPr>
              <w:t>T</w:t>
            </w:r>
          </w:p>
        </w:tc>
        <w:tc>
          <w:tcPr>
            <w:tcW w:w="1805" w:type="dxa"/>
            <w:tcBorders>
              <w:top w:val="single" w:sz="4" w:space="0" w:color="000000"/>
              <w:left w:val="single" w:sz="4" w:space="0" w:color="000000"/>
              <w:bottom w:val="single" w:sz="4" w:space="0" w:color="000000"/>
              <w:right w:val="single" w:sz="4" w:space="0" w:color="000000"/>
            </w:tcBorders>
            <w:vAlign w:val="center"/>
          </w:tcPr>
          <w:p w14:paraId="6E049CAB" w14:textId="77777777" w:rsidR="006E5767" w:rsidRDefault="00000000">
            <w:pPr>
              <w:jc w:val="center"/>
            </w:pPr>
            <w:r>
              <w:rPr>
                <w:sz w:val="20"/>
              </w:rPr>
              <w:t>11</w:t>
            </w:r>
          </w:p>
        </w:tc>
        <w:tc>
          <w:tcPr>
            <w:tcW w:w="1805" w:type="dxa"/>
            <w:tcBorders>
              <w:top w:val="single" w:sz="4" w:space="0" w:color="000000"/>
              <w:left w:val="single" w:sz="4" w:space="0" w:color="000000"/>
              <w:bottom w:val="single" w:sz="4" w:space="0" w:color="000000"/>
              <w:right w:val="single" w:sz="4" w:space="0" w:color="000000"/>
            </w:tcBorders>
            <w:vAlign w:val="center"/>
          </w:tcPr>
          <w:p w14:paraId="41FB346C" w14:textId="77777777" w:rsidR="006E5767" w:rsidRDefault="00000000">
            <w:pPr>
              <w:jc w:val="center"/>
            </w:pPr>
            <w:r>
              <w:rPr>
                <w:sz w:val="20"/>
              </w:rPr>
              <w:t>52.09 ± 14.03</w:t>
            </w:r>
          </w:p>
        </w:tc>
        <w:tc>
          <w:tcPr>
            <w:tcW w:w="1805" w:type="dxa"/>
            <w:tcBorders>
              <w:top w:val="single" w:sz="4" w:space="0" w:color="000000"/>
              <w:left w:val="single" w:sz="4" w:space="0" w:color="000000"/>
              <w:bottom w:val="single" w:sz="4" w:space="0" w:color="000000"/>
              <w:right w:val="single" w:sz="4" w:space="0" w:color="000000"/>
            </w:tcBorders>
            <w:vAlign w:val="center"/>
          </w:tcPr>
          <w:p w14:paraId="5D16E714" w14:textId="77777777" w:rsidR="006E5767" w:rsidRDefault="006E5767">
            <w:pPr>
              <w:jc w:val="center"/>
            </w:pPr>
          </w:p>
        </w:tc>
      </w:tr>
    </w:tbl>
    <w:p w14:paraId="2407A08A" w14:textId="77777777" w:rsidR="006E5767" w:rsidRDefault="00000000">
      <w:pPr>
        <w:spacing w:line="360" w:lineRule="auto"/>
        <w:jc w:val="both"/>
      </w:pPr>
      <w:r>
        <w:rPr>
          <w:sz w:val="20"/>
        </w:rPr>
        <w:t>Note: C- = negative control; C+ = positive control with P. gingivalis induction; T = P. gingivalis induction followed by hyperbaric oxygen therapy; Aβ = amyloid-β.</w:t>
      </w:r>
    </w:p>
    <w:p w14:paraId="53A6A4C0" w14:textId="77777777" w:rsidR="006E5767" w:rsidRDefault="00000000">
      <w:pPr>
        <w:jc w:val="center"/>
      </w:pPr>
      <w:r>
        <w:rPr>
          <w:noProof/>
        </w:rPr>
        <w:drawing>
          <wp:inline distT="0" distB="0" distL="0" distR="0" wp14:anchorId="0503D03F" wp14:editId="7E58B9FB">
            <wp:extent cx="4754880" cy="4754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JCPML_Figure_1_for_docx.png"/>
                    <pic:cNvPicPr/>
                  </pic:nvPicPr>
                  <pic:blipFill>
                    <a:blip r:embed="rId8"/>
                    <a:stretch>
                      <a:fillRect/>
                    </a:stretch>
                  </pic:blipFill>
                  <pic:spPr>
                    <a:xfrm>
                      <a:off x="0" y="0"/>
                      <a:ext cx="4754880" cy="4754880"/>
                    </a:xfrm>
                    <a:prstGeom prst="rect">
                      <a:avLst/>
                    </a:prstGeom>
                  </pic:spPr>
                </pic:pic>
              </a:graphicData>
            </a:graphic>
          </wp:inline>
        </w:drawing>
      </w:r>
    </w:p>
    <w:p w14:paraId="3B0B32B1" w14:textId="77777777" w:rsidR="006E5767" w:rsidRDefault="00000000">
      <w:pPr>
        <w:spacing w:line="360" w:lineRule="auto"/>
        <w:rPr>
          <w:sz w:val="22"/>
        </w:rPr>
      </w:pPr>
      <w:r>
        <w:rPr>
          <w:b/>
          <w:sz w:val="22"/>
        </w:rPr>
        <w:t xml:space="preserve">Figure 1. </w:t>
      </w:r>
      <w:r>
        <w:rPr>
          <w:sz w:val="22"/>
        </w:rPr>
        <w:t xml:space="preserve">Differences in salivary amyloid-β, MAPTau, and spatial working memory among the negative control group, positive control group, and hyperbaric oxygen therapy treatment group at week 9. Porphyromonas gingivalis induction was associated with higher salivary </w:t>
      </w:r>
      <w:r>
        <w:rPr>
          <w:sz w:val="22"/>
        </w:rPr>
        <w:lastRenderedPageBreak/>
        <w:t>amyloid-β and MAPTau levels and lower spatial working memory performance, whereas hyperbaric oxygen therapy was associated with lower salivary amyloid-β and MAPTau levels and better spatial working memory performance.</w:t>
      </w:r>
    </w:p>
    <w:p w14:paraId="68A19A72" w14:textId="77777777" w:rsidR="00F14A83" w:rsidRDefault="00F14A83">
      <w:pPr>
        <w:spacing w:line="360" w:lineRule="auto"/>
      </w:pPr>
    </w:p>
    <w:p w14:paraId="37A47B14" w14:textId="77777777" w:rsidR="006E5767" w:rsidRDefault="00000000">
      <w:pPr>
        <w:spacing w:line="360" w:lineRule="auto"/>
        <w:jc w:val="both"/>
      </w:pPr>
      <w:r>
        <w:t>This study showed that HBOT was associated with lower salivary Aβ and MAPTau levels and better spatial working memory performance in rats subjected to P. gingivalis-induced periodontitis. From a clinical pathology and medical laboratory perspective, the main contribution of this study is the use of saliva-based laboratory biomarkers to describe biological changes after an experimental intervention. The findings suggest that salivary Aβ and MAPTau may reflect measurable biomarker differences across experimental groups, although they should not be interpreted as direct evidence of brain deposition or confirmed neurodegenerative reversal.</w:t>
      </w:r>
    </w:p>
    <w:p w14:paraId="3C1292BF" w14:textId="77777777" w:rsidR="006E5767" w:rsidRDefault="00000000">
      <w:pPr>
        <w:spacing w:line="360" w:lineRule="auto"/>
        <w:jc w:val="both"/>
      </w:pPr>
      <w:r>
        <w:t>The higher salivary Aβ and MAPTau levels in the positive control group may reflect biomarker changes associated with chronic oral infection and inflammation. P. gingivalis has been linked to systemic inflammatory pathways and to mechanisms that may influence Aβ and tau-related biology ¹,²,⁶,⁷,¹⁴⁻¹⁷. Nevertheless, saliva is a peripheral specimen, and its relationship with central nervous system pathology remains indirect. Therefore, the present results are best interpreted as evidence of salivary biomarker alteration in a periodontitis model rather than definitive confirmation of neurodegeneration.</w:t>
      </w:r>
    </w:p>
    <w:p w14:paraId="2F94731E" w14:textId="77777777" w:rsidR="006E5767" w:rsidRDefault="00000000">
      <w:pPr>
        <w:spacing w:line="360" w:lineRule="auto"/>
        <w:jc w:val="both"/>
      </w:pPr>
      <w:r>
        <w:t>The lower salivary Aβ and MAPTau levels in the HBOT group indicate a potential modulation of laboratory biomarkers after oxygen-based intervention. Previous studies have reported that HBOT may influence oxidative stress, inflammatory signaling, mitochondrial function, and protein homeostasis ⁸⁻¹¹,²⁰⁻²². These mechanisms may help explain the observed biomarker differences; however, the present study did not directly measure brain Aβ or tau deposition, kinase activity, inflammatory cytokines, oxidative stress markers, microglial activation, or blood-brain barrier integrity. Therefore, mechanistic interpretation must remain cautious.</w:t>
      </w:r>
    </w:p>
    <w:p w14:paraId="6D11158B" w14:textId="77777777" w:rsidR="006E5767" w:rsidRDefault="00000000">
      <w:pPr>
        <w:spacing w:line="360" w:lineRule="auto"/>
        <w:jc w:val="both"/>
      </w:pPr>
      <w:r>
        <w:t xml:space="preserve">Spatial working memory was lower in the positive control group and higher in the </w:t>
      </w:r>
      <w:r>
        <w:lastRenderedPageBreak/>
        <w:t>HBOT group. This finding is consistent with experimental evidence linking P. gingivalis-induced periodontitis with cognitive impairment in animal models ²⁹,³⁰. However, behavioral testing alone cannot identify the underlying neuropathological mechanism. The combined use of salivary biomarkers and Y-maze performance provides preliminary functional and laboratory evidence, but stronger validation would require direct brain-based analyses.</w:t>
      </w:r>
    </w:p>
    <w:p w14:paraId="437478EC" w14:textId="77777777" w:rsidR="006E5767" w:rsidRDefault="00000000">
      <w:pPr>
        <w:spacing w:line="360" w:lineRule="auto"/>
        <w:jc w:val="both"/>
      </w:pPr>
      <w:r>
        <w:t>This study has several limitations. First, salivary Aβ and MAPTau levels cannot substitute for direct assessment of brain Aβ/tau deposition, hippocampal histology, neuronal injury, neuroinflammation, oxidative stress, or blood-brain barrier integrity. Second, the study did not include sham HBOT/hyperbaric air or HBOT-only control groups, which limits separation of oxygen-specific effects from pressure, handling, or environmental effects. Third, although periodontitis induction was performed experimentally, quantitative periodontal destruction or micro-computed tomography findings were not presented in the current manuscript. Fourth, the statistical reporting is primarily based on overall group differences; more detailed post hoc comparisons, effect sizes, and confidence intervals would strengthen interpretation. These limitations should be addressed in future studies before stronger claims regarding neurodegeneration or therapeutic reversal are made.</w:t>
      </w:r>
    </w:p>
    <w:p w14:paraId="664FC049" w14:textId="77777777" w:rsidR="006E5767" w:rsidRDefault="006E5767">
      <w:pPr>
        <w:spacing w:line="360" w:lineRule="auto"/>
        <w:jc w:val="both"/>
      </w:pPr>
    </w:p>
    <w:p w14:paraId="1C90A676" w14:textId="77777777" w:rsidR="006E5767" w:rsidRDefault="00000000">
      <w:pPr>
        <w:pStyle w:val="Heading1"/>
        <w:spacing w:line="360" w:lineRule="auto"/>
        <w:ind w:left="0"/>
      </w:pPr>
      <w:r>
        <w:t>CONCLUSIONS AND SUGGESTIONS</w:t>
      </w:r>
    </w:p>
    <w:p w14:paraId="744EAC98" w14:textId="77777777" w:rsidR="006E5767" w:rsidRDefault="00000000">
      <w:pPr>
        <w:spacing w:line="360" w:lineRule="auto"/>
        <w:jc w:val="both"/>
      </w:pPr>
      <w:r>
        <w:t>HBOT was associated with lower salivary Aβ and MAPTau levels and improved spatial working memory in a P. gingivalis-induced periodontitis rat model. These findings support the potential role of salivary biomarkers as laboratory indicators in experimental studies involving oral infection and treatment response. However, direct brain-based evidence and stronger control-group designs are needed to confirm whether these salivary and behavioral changes reflect neurodegenerative pathology or therapeutic reversal.</w:t>
      </w:r>
    </w:p>
    <w:p w14:paraId="0940381C" w14:textId="77777777" w:rsidR="006E5767" w:rsidRDefault="006E5767">
      <w:pPr>
        <w:spacing w:line="360" w:lineRule="auto"/>
        <w:jc w:val="both"/>
      </w:pPr>
    </w:p>
    <w:p w14:paraId="45C46117" w14:textId="77777777" w:rsidR="00F14A83" w:rsidRDefault="00F14A83">
      <w:pPr>
        <w:spacing w:line="360" w:lineRule="auto"/>
        <w:jc w:val="both"/>
      </w:pPr>
    </w:p>
    <w:p w14:paraId="7FB54B6E" w14:textId="77777777" w:rsidR="006E5767" w:rsidRDefault="00000000">
      <w:pPr>
        <w:pStyle w:val="Heading1"/>
        <w:spacing w:line="360" w:lineRule="auto"/>
        <w:ind w:left="0"/>
      </w:pPr>
      <w:r>
        <w:lastRenderedPageBreak/>
        <w:t>ACKNOWLEDGEMENT</w:t>
      </w:r>
    </w:p>
    <w:p w14:paraId="691BC32E" w14:textId="77777777" w:rsidR="006E5767" w:rsidRDefault="00000000">
      <w:pPr>
        <w:spacing w:line="360" w:lineRule="auto"/>
        <w:jc w:val="both"/>
      </w:pPr>
      <w:r>
        <w:t>The authors gratefully acknowledge the technical assistance and support provided by the laboratory staff involved in animal handling, hyperbaric oxygen therapy procedures, saliva sample preparation, and biomarker analysis.</w:t>
      </w:r>
    </w:p>
    <w:p w14:paraId="691B9E3D" w14:textId="77777777" w:rsidR="006E5767" w:rsidRDefault="006E5767">
      <w:pPr>
        <w:spacing w:line="360" w:lineRule="auto"/>
        <w:jc w:val="both"/>
      </w:pPr>
    </w:p>
    <w:p w14:paraId="639284E4" w14:textId="77777777" w:rsidR="006E5767" w:rsidRDefault="00000000">
      <w:pPr>
        <w:pStyle w:val="Heading1"/>
        <w:spacing w:line="360" w:lineRule="auto"/>
        <w:ind w:left="0"/>
      </w:pPr>
      <w:r>
        <w:t>REFERENCES</w:t>
      </w:r>
    </w:p>
    <w:p w14:paraId="233CB893"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28"/>
          <w:szCs w:val="24"/>
        </w:rPr>
      </w:pPr>
      <w:r w:rsidRPr="00F14A83">
        <w:rPr>
          <w:rFonts w:ascii="Microsoft Tai Le" w:eastAsia="Microsoft Tai Le" w:hAnsi="Microsoft Tai Le" w:cs="Microsoft Tai Le"/>
          <w:szCs w:val="24"/>
        </w:rPr>
        <w:t>Gui S, Zeng F, Wu Z, Nonaka S, Sano T, Ni J, et al. Lipopolysaccharides from Porphyromonas gingivalis indirectly induce neuronal GSK3</w:t>
      </w:r>
      <w:r w:rsidRPr="00F14A83">
        <w:rPr>
          <w:rFonts w:ascii="Calibri" w:eastAsia="Microsoft Tai Le" w:hAnsi="Calibri" w:cs="Calibri"/>
          <w:szCs w:val="24"/>
        </w:rPr>
        <w:t>β</w:t>
      </w:r>
      <w:r w:rsidRPr="00F14A83">
        <w:rPr>
          <w:rFonts w:ascii="Microsoft Tai Le" w:eastAsia="Microsoft Tai Le" w:hAnsi="Microsoft Tai Le" w:cs="Microsoft Tai Le"/>
          <w:szCs w:val="24"/>
        </w:rPr>
        <w:t>-dependent synaptic defects and cause cognitive decline in a low-amyloid-</w:t>
      </w:r>
      <w:r w:rsidRPr="00F14A83">
        <w:rPr>
          <w:rFonts w:ascii="Calibri" w:eastAsia="Microsoft Tai Le" w:hAnsi="Calibri" w:cs="Calibri"/>
          <w:szCs w:val="24"/>
        </w:rPr>
        <w:t>β</w:t>
      </w:r>
      <w:r w:rsidRPr="00F14A83">
        <w:rPr>
          <w:rFonts w:ascii="Microsoft Tai Le" w:eastAsia="Microsoft Tai Le" w:hAnsi="Microsoft Tai Le" w:cs="Microsoft Tai Le"/>
          <w:szCs w:val="24"/>
        </w:rPr>
        <w:t xml:space="preserve">-concentration environment in Alzheimer's disease. J Alzheimers Dis. 2025;105(1):302-16.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10.1177/13872877251326879.</w:t>
      </w:r>
    </w:p>
    <w:p w14:paraId="686BB70D"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2"/>
          <w:szCs w:val="28"/>
        </w:rPr>
      </w:pPr>
      <w:proofErr w:type="spellStart"/>
      <w:r w:rsidRPr="00F14A83">
        <w:rPr>
          <w:rFonts w:ascii="Microsoft Tai Le" w:eastAsia="Microsoft Tai Le" w:hAnsi="Microsoft Tai Le" w:cs="Microsoft Tai Le"/>
          <w:szCs w:val="24"/>
        </w:rPr>
        <w:t>Aravindraja</w:t>
      </w:r>
      <w:proofErr w:type="spellEnd"/>
      <w:r w:rsidRPr="00F14A83">
        <w:rPr>
          <w:rFonts w:ascii="Microsoft Tai Le" w:eastAsia="Microsoft Tai Le" w:hAnsi="Microsoft Tai Le" w:cs="Microsoft Tai Le"/>
          <w:szCs w:val="24"/>
        </w:rPr>
        <w:t xml:space="preserve"> C, Sakthivel R, Liu X, Goodwin M, Veena P, Godovikova V, et al. Intracerebral but not peripheral infection of live Porphyromonas gingivalis exacerbates Alzheimer's disease-like amyloid pathology in APP-TgCRND8 mice. Int J Mol Sci. 2022;23(6):3328.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10.3390/ijms23063328.</w:t>
      </w:r>
    </w:p>
    <w:p w14:paraId="43F878E2"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r w:rsidRPr="00F14A83">
        <w:rPr>
          <w:rFonts w:ascii="Microsoft Tai Le" w:eastAsia="Microsoft Tai Le" w:hAnsi="Microsoft Tai Le" w:cs="Microsoft Tai Le"/>
          <w:szCs w:val="24"/>
        </w:rPr>
        <w:t xml:space="preserve">Hampel H, Hardy J, </w:t>
      </w:r>
      <w:proofErr w:type="spellStart"/>
      <w:r w:rsidRPr="00F14A83">
        <w:rPr>
          <w:rFonts w:ascii="Microsoft Tai Le" w:eastAsia="Microsoft Tai Le" w:hAnsi="Microsoft Tai Le" w:cs="Microsoft Tai Le"/>
          <w:szCs w:val="24"/>
        </w:rPr>
        <w:t>Blennow</w:t>
      </w:r>
      <w:proofErr w:type="spellEnd"/>
      <w:r w:rsidRPr="00F14A83">
        <w:rPr>
          <w:rFonts w:ascii="Microsoft Tai Le" w:eastAsia="Microsoft Tai Le" w:hAnsi="Microsoft Tai Le" w:cs="Microsoft Tai Le"/>
          <w:szCs w:val="24"/>
        </w:rPr>
        <w:t xml:space="preserve"> K, Chen C, Perry G, Kim SH, et al. The amyloid-</w:t>
      </w:r>
      <w:r w:rsidRPr="00F14A83">
        <w:rPr>
          <w:rFonts w:ascii="Calibri" w:eastAsia="Microsoft Tai Le" w:hAnsi="Calibri" w:cs="Calibri"/>
          <w:szCs w:val="24"/>
        </w:rPr>
        <w:t>β</w:t>
      </w:r>
      <w:r w:rsidRPr="00F14A83">
        <w:rPr>
          <w:rFonts w:ascii="Microsoft Tai Le" w:eastAsia="Microsoft Tai Le" w:hAnsi="Microsoft Tai Le" w:cs="Microsoft Tai Le"/>
          <w:szCs w:val="24"/>
        </w:rPr>
        <w:t xml:space="preserve"> pathway in Alzheimer's disease. Mol Psychiatry. 2021;26(10):5481-503.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10.1038/s41380-021-01249-0.</w:t>
      </w:r>
    </w:p>
    <w:p w14:paraId="118139BE"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r w:rsidRPr="00F14A83">
        <w:rPr>
          <w:rFonts w:ascii="Microsoft Tai Le" w:eastAsia="Microsoft Tai Le" w:hAnsi="Microsoft Tai Le" w:cs="Microsoft Tai Le"/>
          <w:szCs w:val="24"/>
        </w:rPr>
        <w:t>Kent SA, Spires-Jones TL, Durrant CS. The physiological roles of tau and A</w:t>
      </w:r>
      <w:r w:rsidRPr="00F14A83">
        <w:rPr>
          <w:rFonts w:ascii="Calibri" w:eastAsia="Microsoft Tai Le" w:hAnsi="Calibri" w:cs="Calibri"/>
          <w:szCs w:val="24"/>
        </w:rPr>
        <w:t>β</w:t>
      </w:r>
      <w:r w:rsidRPr="00F14A83">
        <w:rPr>
          <w:rFonts w:ascii="Microsoft Tai Le" w:eastAsia="Microsoft Tai Le" w:hAnsi="Microsoft Tai Le" w:cs="Microsoft Tai Le"/>
          <w:szCs w:val="24"/>
        </w:rPr>
        <w:t xml:space="preserve">: implications for Alzheimer's disease pathology and therapeutics. Acta Neuropathol. 2020;140(4):417-47.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10.1007/s00401-020-02196-w.</w:t>
      </w:r>
    </w:p>
    <w:p w14:paraId="6DF66B75"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r w:rsidRPr="00F14A83">
        <w:rPr>
          <w:rFonts w:ascii="Microsoft Tai Le" w:eastAsia="Microsoft Tai Le" w:hAnsi="Microsoft Tai Le" w:cs="Microsoft Tai Le"/>
          <w:szCs w:val="24"/>
        </w:rPr>
        <w:t xml:space="preserve">Nam Y, Shin SJ, Kumar V, Won J, Kim S, Moon M. Dual modulation of amyloid beta and tau aggregation and dissociation in Alzheimer's disease: a comprehensive review of the characteristics and therapeutic strategies. Transl Neurodegener. 2025;14(1):15.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10.1186/s40035-025-00479-4.</w:t>
      </w:r>
    </w:p>
    <w:p w14:paraId="364D38F9"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proofErr w:type="spellStart"/>
      <w:r w:rsidRPr="00F14A83">
        <w:rPr>
          <w:rFonts w:ascii="Microsoft Tai Le" w:eastAsia="Microsoft Tai Le" w:hAnsi="Microsoft Tai Le" w:cs="Microsoft Tai Le"/>
          <w:szCs w:val="24"/>
        </w:rPr>
        <w:t>Haditsch</w:t>
      </w:r>
      <w:proofErr w:type="spellEnd"/>
      <w:r w:rsidRPr="00F14A83">
        <w:rPr>
          <w:rFonts w:ascii="Microsoft Tai Le" w:eastAsia="Microsoft Tai Le" w:hAnsi="Microsoft Tai Le" w:cs="Microsoft Tai Le"/>
          <w:szCs w:val="24"/>
        </w:rPr>
        <w:t xml:space="preserve"> U, Roth T, Rodriguez L, Hancock S, Cecere T, Nguyen M, et al. Alzheimer's disease-like neurodegeneration in Porphyromonas gingivalis infected neurons with persistent expression of active gingipains. J Alzheimers Dis. 2020;75(4):1361-76.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10.3233/JAD-200393.</w:t>
      </w:r>
    </w:p>
    <w:p w14:paraId="32AF51AA"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r w:rsidRPr="00F14A83">
        <w:rPr>
          <w:rFonts w:ascii="Microsoft Tai Le" w:eastAsia="Microsoft Tai Le" w:hAnsi="Microsoft Tai Le" w:cs="Microsoft Tai Le"/>
          <w:szCs w:val="24"/>
        </w:rPr>
        <w:lastRenderedPageBreak/>
        <w:t>Kong L, Li J, Gao L, Zhao Y, Chen W, Wang X, et al. Periodontitis-induced neuroinflammation triggers IFITM3-A</w:t>
      </w:r>
      <w:r w:rsidRPr="00F14A83">
        <w:rPr>
          <w:rFonts w:ascii="Calibri" w:eastAsia="Microsoft Tai Le" w:hAnsi="Calibri" w:cs="Calibri"/>
          <w:szCs w:val="24"/>
        </w:rPr>
        <w:t>β</w:t>
      </w:r>
      <w:r w:rsidRPr="00F14A83">
        <w:rPr>
          <w:rFonts w:ascii="Microsoft Tai Le" w:eastAsia="Microsoft Tai Le" w:hAnsi="Microsoft Tai Le" w:cs="Microsoft Tai Le"/>
          <w:szCs w:val="24"/>
        </w:rPr>
        <w:t xml:space="preserve"> axis to cause Alzheimer's disease-like pathology and cognitive decline. Alzheimers Res Ther. 2025;17(1):166.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10.1186/s13195-025-01818-3.</w:t>
      </w:r>
    </w:p>
    <w:p w14:paraId="0F47CA38"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r w:rsidRPr="00F14A83">
        <w:rPr>
          <w:rFonts w:ascii="Microsoft Tai Le" w:eastAsia="Microsoft Tai Le" w:hAnsi="Microsoft Tai Le" w:cs="Microsoft Tai Le"/>
          <w:szCs w:val="24"/>
        </w:rPr>
        <w:t xml:space="preserve">Shapira R, </w:t>
      </w:r>
      <w:proofErr w:type="spellStart"/>
      <w:r w:rsidRPr="00F14A83">
        <w:rPr>
          <w:rFonts w:ascii="Microsoft Tai Le" w:eastAsia="Microsoft Tai Le" w:hAnsi="Microsoft Tai Le" w:cs="Microsoft Tai Le"/>
          <w:szCs w:val="24"/>
        </w:rPr>
        <w:t>Gdalyahu</w:t>
      </w:r>
      <w:proofErr w:type="spellEnd"/>
      <w:r w:rsidRPr="00F14A83">
        <w:rPr>
          <w:rFonts w:ascii="Microsoft Tai Le" w:eastAsia="Microsoft Tai Le" w:hAnsi="Microsoft Tai Le" w:cs="Microsoft Tai Le"/>
          <w:szCs w:val="24"/>
        </w:rPr>
        <w:t xml:space="preserve"> A, Gottfried I, Sasson E, Hadanny A, Efrati S, et al. Hyperbaric oxygen therapy alleviates vascular dysfunction and amyloid burden in an Alzheimer's disease mouse model and in elderly patients. Aging (Albany NY). 2021;13(17):20935-61.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10.18632/aging.203485.</w:t>
      </w:r>
    </w:p>
    <w:p w14:paraId="4089B6BC"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r w:rsidRPr="00F14A83">
        <w:rPr>
          <w:rFonts w:ascii="Microsoft Tai Le" w:eastAsia="Microsoft Tai Le" w:hAnsi="Microsoft Tai Le" w:cs="Microsoft Tai Le"/>
          <w:szCs w:val="24"/>
        </w:rPr>
        <w:t xml:space="preserve">De Wolde SD, </w:t>
      </w:r>
      <w:proofErr w:type="spellStart"/>
      <w:r w:rsidRPr="00F14A83">
        <w:rPr>
          <w:rFonts w:ascii="Microsoft Tai Le" w:eastAsia="Microsoft Tai Le" w:hAnsi="Microsoft Tai Le" w:cs="Microsoft Tai Le"/>
          <w:szCs w:val="24"/>
        </w:rPr>
        <w:t>Hulskes</w:t>
      </w:r>
      <w:proofErr w:type="spellEnd"/>
      <w:r w:rsidRPr="00F14A83">
        <w:rPr>
          <w:rFonts w:ascii="Microsoft Tai Le" w:eastAsia="Microsoft Tai Le" w:hAnsi="Microsoft Tai Le" w:cs="Microsoft Tai Le"/>
          <w:szCs w:val="24"/>
        </w:rPr>
        <w:t xml:space="preserve"> RH, </w:t>
      </w:r>
      <w:proofErr w:type="spellStart"/>
      <w:r w:rsidRPr="00F14A83">
        <w:rPr>
          <w:rFonts w:ascii="Microsoft Tai Le" w:eastAsia="Microsoft Tai Le" w:hAnsi="Microsoft Tai Le" w:cs="Microsoft Tai Le"/>
          <w:szCs w:val="24"/>
        </w:rPr>
        <w:t>Weenink</w:t>
      </w:r>
      <w:proofErr w:type="spellEnd"/>
      <w:r w:rsidRPr="00F14A83">
        <w:rPr>
          <w:rFonts w:ascii="Microsoft Tai Le" w:eastAsia="Microsoft Tai Le" w:hAnsi="Microsoft Tai Le" w:cs="Microsoft Tai Le"/>
          <w:szCs w:val="24"/>
        </w:rPr>
        <w:t xml:space="preserve"> RP, Hollmann MW, Van Hulst RA. The effects of hyperbaric oxygenation on oxidative stress, inflammation and angiogenesis. Biomolecules. 2021;11(8):1210.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10.3390/biom11081210.</w:t>
      </w:r>
    </w:p>
    <w:p w14:paraId="28665034"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r w:rsidRPr="00F14A83">
        <w:rPr>
          <w:rFonts w:ascii="Microsoft Tai Le" w:eastAsia="Microsoft Tai Le" w:hAnsi="Microsoft Tai Le" w:cs="Microsoft Tai Le"/>
          <w:szCs w:val="24"/>
        </w:rPr>
        <w:t xml:space="preserve">Ortega MA, Fraile-Martinez O, Garcia-Montero C, Callejon-Pelaez E, Saez MA, Alvarez-Mon MA, et al. A general overview on the hyperbaric oxygen therapy: applications, mechanisms and translational opportunities. Medicina (Kaunas). 2021;57(9):864.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10.3390/medicina57090864.</w:t>
      </w:r>
    </w:p>
    <w:p w14:paraId="49048906"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r w:rsidRPr="00F14A83">
        <w:rPr>
          <w:rFonts w:ascii="Microsoft Tai Le" w:eastAsia="Microsoft Tai Le" w:hAnsi="Microsoft Tai Le" w:cs="Microsoft Tai Le"/>
          <w:szCs w:val="24"/>
        </w:rPr>
        <w:t xml:space="preserve">Rawat P, Sehar U, Bisht J, Selman A, Culberson J, Reddy PH. Phosphorylated tau in Alzheimer's disease and other tauopathies. Int J Mol Sci. 2022;23(21):12841.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10.3390/ijms232112841.</w:t>
      </w:r>
    </w:p>
    <w:p w14:paraId="24A790CF"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r w:rsidRPr="00F14A83">
        <w:rPr>
          <w:rFonts w:ascii="Microsoft Tai Le" w:eastAsia="Microsoft Tai Le" w:hAnsi="Microsoft Tai Le" w:cs="Microsoft Tai Le"/>
          <w:szCs w:val="24"/>
        </w:rPr>
        <w:t xml:space="preserve">Ashraf M, Sheikh I, Ashraf M. Salivary biomarkers in Alzheimer's. Br Dent J. 2025;239(4):231-2.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10.1038/s41415-025-9130-4.</w:t>
      </w:r>
    </w:p>
    <w:p w14:paraId="40E0543A"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r w:rsidRPr="00F14A83">
        <w:rPr>
          <w:rFonts w:ascii="Microsoft Tai Le" w:eastAsia="Microsoft Tai Le" w:hAnsi="Microsoft Tai Le" w:cs="Microsoft Tai Le"/>
          <w:szCs w:val="24"/>
        </w:rPr>
        <w:t xml:space="preserve">Pawlik P, </w:t>
      </w:r>
      <w:proofErr w:type="spellStart"/>
      <w:r w:rsidRPr="00F14A83">
        <w:rPr>
          <w:rFonts w:ascii="Microsoft Tai Le" w:eastAsia="Microsoft Tai Le" w:hAnsi="Microsoft Tai Le" w:cs="Microsoft Tai Le"/>
          <w:szCs w:val="24"/>
        </w:rPr>
        <w:t>Blochowiak</w:t>
      </w:r>
      <w:proofErr w:type="spellEnd"/>
      <w:r w:rsidRPr="00F14A83">
        <w:rPr>
          <w:rFonts w:ascii="Microsoft Tai Le" w:eastAsia="Microsoft Tai Le" w:hAnsi="Microsoft Tai Le" w:cs="Microsoft Tai Le"/>
          <w:szCs w:val="24"/>
        </w:rPr>
        <w:t xml:space="preserve"> K. The role of salivary biomarkers in the early diagnosis of Alzheimer's disease and Parkinson's disease. Diagnostics (Basel). 2021;11(2):371.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10.3390/diagnostics11020371.</w:t>
      </w:r>
    </w:p>
    <w:p w14:paraId="107EC577"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r w:rsidRPr="00F14A83">
        <w:rPr>
          <w:rFonts w:ascii="Microsoft Tai Le" w:eastAsia="Microsoft Tai Le" w:hAnsi="Microsoft Tai Le" w:cs="Microsoft Tai Le"/>
          <w:szCs w:val="24"/>
        </w:rPr>
        <w:t xml:space="preserve">Huang Z, Hao M, Shi N, Wang X, Yuan L, Yuan H, et al. Porphyromonas gingivalis: a potential trigger of neurodegenerative disease. Front Immunol. 2025;16:1482033.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10.3389/fimmu.2025.1482033.</w:t>
      </w:r>
    </w:p>
    <w:p w14:paraId="25D35382"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r w:rsidRPr="00F14A83">
        <w:rPr>
          <w:rFonts w:ascii="Microsoft Tai Le" w:eastAsia="Microsoft Tai Le" w:hAnsi="Microsoft Tai Le" w:cs="Microsoft Tai Le"/>
          <w:szCs w:val="24"/>
        </w:rPr>
        <w:t xml:space="preserve">Jiang Y, Xu L, Zhao X, Shen H, Qiu C, He Z, et al. Porphyromonas gingivalis-induced periodontitis promotes neuroinflammation and neuronal loss associated with </w:t>
      </w:r>
      <w:r w:rsidRPr="00F14A83">
        <w:rPr>
          <w:rFonts w:ascii="Microsoft Tai Le" w:eastAsia="Microsoft Tai Le" w:hAnsi="Microsoft Tai Le" w:cs="Microsoft Tai Le"/>
          <w:szCs w:val="24"/>
        </w:rPr>
        <w:lastRenderedPageBreak/>
        <w:t xml:space="preserve">dysfunction of the brain barrier. Front Cell Infect Microbiol. 2025;15:1559182.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10.3389/fcimb.2025.1559182.</w:t>
      </w:r>
    </w:p>
    <w:p w14:paraId="5F572D63"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r w:rsidRPr="00F14A83">
        <w:rPr>
          <w:rFonts w:ascii="Microsoft Tai Le" w:eastAsia="Microsoft Tai Le" w:hAnsi="Microsoft Tai Le" w:cs="Microsoft Tai Le"/>
          <w:szCs w:val="24"/>
        </w:rPr>
        <w:t xml:space="preserve">Liu S, Butler CA, Ayton S, Reynolds EC, </w:t>
      </w:r>
      <w:proofErr w:type="spellStart"/>
      <w:r w:rsidRPr="00F14A83">
        <w:rPr>
          <w:rFonts w:ascii="Microsoft Tai Le" w:eastAsia="Microsoft Tai Le" w:hAnsi="Microsoft Tai Le" w:cs="Microsoft Tai Le"/>
          <w:szCs w:val="24"/>
        </w:rPr>
        <w:t>Dashper</w:t>
      </w:r>
      <w:proofErr w:type="spellEnd"/>
      <w:r w:rsidRPr="00F14A83">
        <w:rPr>
          <w:rFonts w:ascii="Microsoft Tai Le" w:eastAsia="Microsoft Tai Le" w:hAnsi="Microsoft Tai Le" w:cs="Microsoft Tai Le"/>
          <w:szCs w:val="24"/>
        </w:rPr>
        <w:t xml:space="preserve"> SG. Porphyromonas gingivalis and the pathogenesis of Alzheimer's disease. Crit Rev Microbiol. 2024;50(2):127-37.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10.1080/1040841X.2022.2163613.</w:t>
      </w:r>
    </w:p>
    <w:p w14:paraId="1E1385F0"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r w:rsidRPr="00F14A83">
        <w:rPr>
          <w:rFonts w:ascii="Microsoft Tai Le" w:eastAsia="Microsoft Tai Le" w:hAnsi="Microsoft Tai Le" w:cs="Microsoft Tai Le"/>
          <w:szCs w:val="24"/>
        </w:rPr>
        <w:t xml:space="preserve">Jung S, Park H. Pathological implications of Porphyromonas gingivalis in Alzheimer's disease and therapeutic potential of gingipain inhibitors. Oral Biol Res. 2025;49(1):2.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10.21851/obr.25.002.</w:t>
      </w:r>
    </w:p>
    <w:p w14:paraId="296B52EE"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r w:rsidRPr="00F14A83">
        <w:rPr>
          <w:rFonts w:ascii="Microsoft Tai Le" w:eastAsia="Microsoft Tai Le" w:hAnsi="Microsoft Tai Le" w:cs="Microsoft Tai Le"/>
          <w:szCs w:val="24"/>
        </w:rPr>
        <w:t>Picon-Pages P, Gutierrez DA, Barranco-</w:t>
      </w:r>
      <w:proofErr w:type="spellStart"/>
      <w:r w:rsidRPr="00F14A83">
        <w:rPr>
          <w:rFonts w:ascii="Microsoft Tai Le" w:eastAsia="Microsoft Tai Le" w:hAnsi="Microsoft Tai Le" w:cs="Microsoft Tai Le"/>
          <w:szCs w:val="24"/>
        </w:rPr>
        <w:t>Almohalla</w:t>
      </w:r>
      <w:proofErr w:type="spellEnd"/>
      <w:r w:rsidRPr="00F14A83">
        <w:rPr>
          <w:rFonts w:ascii="Microsoft Tai Le" w:eastAsia="Microsoft Tai Le" w:hAnsi="Microsoft Tai Le" w:cs="Microsoft Tai Le"/>
          <w:szCs w:val="24"/>
        </w:rPr>
        <w:t xml:space="preserve"> A, Crepin G, Tajes M, Ill-Raga G, et al. Amyloid beta-peptide increases BACE1 translation through the phosphorylation of the eukaryotic initiation factor-2 alpha. Oxid Med Cell Longev. 2020;2020:2739459.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10.1155/2020/2739459.</w:t>
      </w:r>
    </w:p>
    <w:p w14:paraId="68D17BE9"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r w:rsidRPr="00F14A83">
        <w:rPr>
          <w:rFonts w:ascii="Microsoft Tai Le" w:eastAsia="Microsoft Tai Le" w:hAnsi="Microsoft Tai Le" w:cs="Microsoft Tai Le"/>
          <w:szCs w:val="24"/>
        </w:rPr>
        <w:t xml:space="preserve">Sayad A, Najafi S, Hussen BM, Abdullah ST, Movahedpour A, Taheri M, et al. The emerging roles of the beta-secretase BACE1 and the long non-coding RNA BACE1-AS in human diseases: a focus on neurodegenerative diseases and cancer. Front Aging Neurosci. 2022;14:853180.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10.3389/fnagi.2022.853180.</w:t>
      </w:r>
    </w:p>
    <w:p w14:paraId="602333D4"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r w:rsidRPr="00F14A83">
        <w:rPr>
          <w:rFonts w:ascii="Microsoft Tai Le" w:eastAsia="Microsoft Tai Le" w:hAnsi="Microsoft Tai Le" w:cs="Microsoft Tai Le"/>
          <w:szCs w:val="24"/>
        </w:rPr>
        <w:t xml:space="preserve">Liu G, Yang C, Wang X, Chen X, Wang Y, Le W. Oxygen metabolism abnormality and Alzheimer's disease: an update. Redox Biol. 2023;68:102955.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10.1016/j.redox.2023.102955.</w:t>
      </w:r>
    </w:p>
    <w:p w14:paraId="22CE160D"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r w:rsidRPr="00F14A83">
        <w:rPr>
          <w:rFonts w:ascii="Microsoft Tai Le" w:eastAsia="Microsoft Tai Le" w:hAnsi="Microsoft Tai Le" w:cs="Microsoft Tai Le"/>
          <w:szCs w:val="24"/>
        </w:rPr>
        <w:t>Mukaetova-</w:t>
      </w:r>
      <w:proofErr w:type="spellStart"/>
      <w:r w:rsidRPr="00F14A83">
        <w:rPr>
          <w:rFonts w:ascii="Microsoft Tai Le" w:eastAsia="Microsoft Tai Le" w:hAnsi="Microsoft Tai Le" w:cs="Microsoft Tai Le"/>
          <w:szCs w:val="24"/>
        </w:rPr>
        <w:t>Ladinska</w:t>
      </w:r>
      <w:proofErr w:type="spellEnd"/>
      <w:r w:rsidRPr="00F14A83">
        <w:rPr>
          <w:rFonts w:ascii="Microsoft Tai Le" w:eastAsia="Microsoft Tai Le" w:hAnsi="Microsoft Tai Le" w:cs="Microsoft Tai Le"/>
          <w:szCs w:val="24"/>
        </w:rPr>
        <w:t xml:space="preserve"> EB, Steptoe J, Critchfield M, Yoon HJ, Sharif M, Arshad Q. Hyperbaric oxygen therapy-a new hope for Alzheimer's patients: a case report and literature review. Explor Neuroprot Ther. 2023;3:457-69.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10.37349/ent.2023.00062.</w:t>
      </w:r>
    </w:p>
    <w:p w14:paraId="17DD2596"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r w:rsidRPr="00F14A83">
        <w:rPr>
          <w:rFonts w:ascii="Microsoft Tai Le" w:eastAsia="Microsoft Tai Le" w:hAnsi="Microsoft Tai Le" w:cs="Microsoft Tai Le"/>
          <w:szCs w:val="24"/>
        </w:rPr>
        <w:t xml:space="preserve">Shapira R, </w:t>
      </w:r>
      <w:proofErr w:type="spellStart"/>
      <w:r w:rsidRPr="00F14A83">
        <w:rPr>
          <w:rFonts w:ascii="Microsoft Tai Le" w:eastAsia="Microsoft Tai Le" w:hAnsi="Microsoft Tai Le" w:cs="Microsoft Tai Le"/>
          <w:szCs w:val="24"/>
        </w:rPr>
        <w:t>Gdalyahu</w:t>
      </w:r>
      <w:proofErr w:type="spellEnd"/>
      <w:r w:rsidRPr="00F14A83">
        <w:rPr>
          <w:rFonts w:ascii="Microsoft Tai Le" w:eastAsia="Microsoft Tai Le" w:hAnsi="Microsoft Tai Le" w:cs="Microsoft Tai Le"/>
          <w:szCs w:val="24"/>
        </w:rPr>
        <w:t xml:space="preserve"> A, Gottfried I, Sasson E, Hadanny A, Efrati S, et al. Hyperbaric oxygen therapy alleviates vascular dysfunction and amyloid burden in an Alzheimer's disease mouse model and in elderly patients. Aging (Albany NY). 2021;13(17):20935-61.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10.18632/aging.203485.</w:t>
      </w:r>
    </w:p>
    <w:p w14:paraId="1141D932"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r w:rsidRPr="00F14A83">
        <w:rPr>
          <w:rFonts w:ascii="Microsoft Tai Le" w:eastAsia="Microsoft Tai Le" w:hAnsi="Microsoft Tai Le" w:cs="Microsoft Tai Le"/>
          <w:szCs w:val="24"/>
        </w:rPr>
        <w:lastRenderedPageBreak/>
        <w:t xml:space="preserve">Chen Y, Yu Y. Tau and neuroinflammation in Alzheimer's disease: interplay mechanisms and clinical translation. J Neuroinflammation. 2023;20(1):165.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10.1186/s12974-023-02853-3.</w:t>
      </w:r>
    </w:p>
    <w:p w14:paraId="46BCC717"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r w:rsidRPr="00F14A83">
        <w:rPr>
          <w:rFonts w:ascii="Microsoft Tai Le" w:eastAsia="Microsoft Tai Le" w:hAnsi="Microsoft Tai Le" w:cs="Microsoft Tai Le"/>
          <w:szCs w:val="24"/>
        </w:rPr>
        <w:t xml:space="preserve">Zhang X, Wang J, Zhang Z, Ye K. Tau in neurodegenerative diseases: molecular mechanisms, biomarkers, and therapeutic strategies. Transl Neurodegener. 2024;13(1):42.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10.1186/s40035-024-00429-6.</w:t>
      </w:r>
    </w:p>
    <w:p w14:paraId="4DCD97F4"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r w:rsidRPr="00F14A83">
        <w:rPr>
          <w:rFonts w:ascii="Microsoft Tai Le" w:eastAsia="Microsoft Tai Le" w:hAnsi="Microsoft Tai Le" w:cs="Microsoft Tai Le"/>
          <w:szCs w:val="24"/>
        </w:rPr>
        <w:t xml:space="preserve">Tao B, Gong W, Xu C, Ma Z, Mei J, Chen M. The relationship between hypoxia and Alzheimer's disease: an updated review. Front Aging Neurosci. 2024;16:1402774.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10.3389/fnagi.2024.1402774.</w:t>
      </w:r>
    </w:p>
    <w:p w14:paraId="2BA4D718"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r w:rsidRPr="00F14A83">
        <w:rPr>
          <w:rFonts w:ascii="Microsoft Tai Le" w:eastAsia="Microsoft Tai Le" w:hAnsi="Microsoft Tai Le" w:cs="Microsoft Tai Le"/>
          <w:szCs w:val="24"/>
        </w:rPr>
        <w:t xml:space="preserve">Yang C, Liu G, Zeng X, Xiang Y, Chen X, Le W. Therapeutic effects of long-term HBOT on Alzheimer's disease neuropathologies and cognitive impairment in APPswe/PS1dE9 mice. Redox Biol. 2024;70:103006.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10.1016/j.redox.2023.103006.</w:t>
      </w:r>
    </w:p>
    <w:p w14:paraId="52039559"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r w:rsidRPr="00F14A83">
        <w:rPr>
          <w:rFonts w:ascii="Microsoft Tai Le" w:eastAsia="Microsoft Tai Le" w:hAnsi="Microsoft Tai Le" w:cs="Microsoft Tai Le"/>
          <w:szCs w:val="24"/>
        </w:rPr>
        <w:t>Wang Y, Ni P, Zhuang D, Zhou P, Zhu F, Yin D, et al. Early hyperbaric oxygen therapy through regulating the HIF-1</w:t>
      </w:r>
      <w:r w:rsidRPr="00F14A83">
        <w:rPr>
          <w:rFonts w:ascii="Calibri" w:eastAsia="Microsoft Tai Le" w:hAnsi="Calibri" w:cs="Calibri"/>
          <w:szCs w:val="24"/>
        </w:rPr>
        <w:t>α</w:t>
      </w:r>
      <w:r w:rsidRPr="00F14A83">
        <w:rPr>
          <w:rFonts w:ascii="Microsoft Tai Le" w:eastAsia="Microsoft Tai Le" w:hAnsi="Microsoft Tai Le" w:cs="Microsoft Tai Le"/>
          <w:szCs w:val="24"/>
        </w:rPr>
        <w:t xml:space="preserve"> signaling pathway attenuates neuroinflammation and behavioral deficits in a mouse model of sepsis-associated encephalopathy. J Neuroimmunol. 2024;391:578367.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10.1016/j.jneuroim.2024.578367</w:t>
      </w:r>
      <w:r w:rsidR="00F14A83" w:rsidRPr="00F14A83">
        <w:rPr>
          <w:rFonts w:ascii="Microsoft Tai Le" w:eastAsia="Microsoft Tai Le" w:hAnsi="Microsoft Tai Le" w:cs="Microsoft Tai Le"/>
          <w:szCs w:val="24"/>
        </w:rPr>
        <w:t>.</w:t>
      </w:r>
    </w:p>
    <w:p w14:paraId="181AD52A"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proofErr w:type="spellStart"/>
      <w:r w:rsidRPr="00F14A83">
        <w:rPr>
          <w:rFonts w:ascii="Microsoft Tai Le" w:eastAsia="Microsoft Tai Le" w:hAnsi="Microsoft Tai Le" w:cs="Microsoft Tai Le"/>
          <w:szCs w:val="24"/>
        </w:rPr>
        <w:t>Tenchov</w:t>
      </w:r>
      <w:proofErr w:type="spellEnd"/>
      <w:r w:rsidRPr="00F14A83">
        <w:rPr>
          <w:rFonts w:ascii="Microsoft Tai Le" w:eastAsia="Microsoft Tai Le" w:hAnsi="Microsoft Tai Le" w:cs="Microsoft Tai Le"/>
          <w:szCs w:val="24"/>
        </w:rPr>
        <w:t xml:space="preserve"> R, Sasso JM, Zhou QA. Alzheimer's disease: exploring the landscape of cognitive decline. ACS Chem Neurosci. 2024;15(21):3800-27.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10.1021/acschemneuro.4c00339.</w:t>
      </w:r>
    </w:p>
    <w:p w14:paraId="0F4F8535"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r w:rsidRPr="00F14A83">
        <w:rPr>
          <w:rFonts w:ascii="Microsoft Tai Le" w:eastAsia="Microsoft Tai Le" w:hAnsi="Microsoft Tai Le" w:cs="Microsoft Tai Le"/>
          <w:szCs w:val="24"/>
        </w:rPr>
        <w:t xml:space="preserve">Jin R, Ning X, Liu X, Zhao Y, Ye G. Porphyromonas gingivalis-induced periodontitis could contribute to cognitive impairment in Sprague-Dawley rats via the P38 MAPK signaling pathway. Front Cell Neurosci. 2023;17:1141339.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10.3389/fncel.2023.1141339.</w:t>
      </w:r>
    </w:p>
    <w:p w14:paraId="25031792"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r w:rsidRPr="00F14A83">
        <w:rPr>
          <w:rFonts w:ascii="Microsoft Tai Le" w:eastAsia="Microsoft Tai Le" w:hAnsi="Microsoft Tai Le" w:cs="Microsoft Tai Le"/>
          <w:szCs w:val="24"/>
        </w:rPr>
        <w:t xml:space="preserve">Chuang WC, Yang CN, Wang HW, Lin SK, Yu CC, Syu JH, et al. The mechanisms of Porphyromonas gingivalis-derived outer membrane vesicles-induced neurotoxicity and microglia activation. J Dent Sci. 2024;19(3):1434-42.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10.1016/j.jds.2024.04.002</w:t>
      </w:r>
      <w:r w:rsidR="00F14A83" w:rsidRPr="00F14A83">
        <w:rPr>
          <w:rFonts w:ascii="Microsoft Tai Le" w:eastAsia="Microsoft Tai Le" w:hAnsi="Microsoft Tai Le" w:cs="Microsoft Tai Le"/>
          <w:szCs w:val="24"/>
        </w:rPr>
        <w:t>.</w:t>
      </w:r>
    </w:p>
    <w:p w14:paraId="5A0A287C"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r w:rsidRPr="00F14A83">
        <w:rPr>
          <w:rFonts w:ascii="Microsoft Tai Le" w:eastAsia="Microsoft Tai Le" w:hAnsi="Microsoft Tai Le" w:cs="Microsoft Tai Le"/>
          <w:szCs w:val="24"/>
        </w:rPr>
        <w:lastRenderedPageBreak/>
        <w:t xml:space="preserve">Fan QQ, Chen YM, Fu YS, Li XS, Zeng J, Bian SZ, et al. Enhancement of cognitive function in mice with Alzheimer's disease through hyperbaric oxygen-induced activation of cellular autophagy. Front Aging Neurosci. 2024;16:1418081.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10.3389/fnagi.2024.1418081.</w:t>
      </w:r>
    </w:p>
    <w:p w14:paraId="60E83F12" w14:textId="77777777" w:rsidR="00F14A83"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r w:rsidRPr="00F14A83">
        <w:rPr>
          <w:rFonts w:ascii="Microsoft Tai Le" w:eastAsia="Microsoft Tai Le" w:hAnsi="Microsoft Tai Le" w:cs="Microsoft Tai Le"/>
          <w:szCs w:val="24"/>
        </w:rPr>
        <w:t xml:space="preserve">Harch PG, </w:t>
      </w:r>
      <w:proofErr w:type="spellStart"/>
      <w:r w:rsidRPr="00F14A83">
        <w:rPr>
          <w:rFonts w:ascii="Microsoft Tai Le" w:eastAsia="Microsoft Tai Le" w:hAnsi="Microsoft Tai Le" w:cs="Microsoft Tai Le"/>
          <w:szCs w:val="24"/>
        </w:rPr>
        <w:t>Kriedt</w:t>
      </w:r>
      <w:proofErr w:type="spellEnd"/>
      <w:r w:rsidRPr="00F14A83">
        <w:rPr>
          <w:rFonts w:ascii="Microsoft Tai Le" w:eastAsia="Microsoft Tai Le" w:hAnsi="Microsoft Tai Le" w:cs="Microsoft Tai Le"/>
          <w:szCs w:val="24"/>
        </w:rPr>
        <w:t xml:space="preserve"> C, Van Meter KW, Sutherland RJ. Hyperbaric oxygen therapy improves spatial learning and memory in a rat model of chronic traumatic brain injury. Brain Res. 2007;1174:120-9. </w:t>
      </w:r>
      <w:proofErr w:type="spellStart"/>
      <w:r w:rsidRPr="00F14A83">
        <w:rPr>
          <w:rFonts w:ascii="Microsoft Tai Le" w:eastAsia="Microsoft Tai Le" w:hAnsi="Microsoft Tai Le" w:cs="Microsoft Tai Le"/>
          <w:szCs w:val="24"/>
        </w:rPr>
        <w:t>doi</w:t>
      </w:r>
      <w:proofErr w:type="spellEnd"/>
      <w:r w:rsidRPr="00F14A83">
        <w:rPr>
          <w:rFonts w:ascii="Microsoft Tai Le" w:eastAsia="Microsoft Tai Le" w:hAnsi="Microsoft Tai Le" w:cs="Microsoft Tai Le"/>
          <w:szCs w:val="24"/>
        </w:rPr>
        <w:t>: 10.1016/j.brainres.2007.06.105.</w:t>
      </w:r>
    </w:p>
    <w:p w14:paraId="57BCE757" w14:textId="33871974" w:rsidR="006E5767" w:rsidRPr="00F14A83" w:rsidRDefault="00000000" w:rsidP="00F14A83">
      <w:pPr>
        <w:pStyle w:val="ListParagraph"/>
        <w:numPr>
          <w:ilvl w:val="0"/>
          <w:numId w:val="4"/>
        </w:numPr>
        <w:spacing w:line="360" w:lineRule="auto"/>
        <w:ind w:left="426" w:hanging="426"/>
        <w:jc w:val="both"/>
        <w:rPr>
          <w:rFonts w:ascii="Microsoft Tai Le" w:hAnsi="Microsoft Tai Le" w:cs="Microsoft Tai Le"/>
          <w:sz w:val="36"/>
          <w:szCs w:val="32"/>
        </w:rPr>
      </w:pPr>
      <w:r w:rsidRPr="00F14A83">
        <w:rPr>
          <w:rFonts w:ascii="Microsoft Tai Le" w:eastAsia="Microsoft Tai Le" w:hAnsi="Microsoft Tai Le" w:cs="Microsoft Tai Le"/>
          <w:szCs w:val="24"/>
        </w:rPr>
        <w:t xml:space="preserve">Mensah-Kane P, </w:t>
      </w:r>
      <w:proofErr w:type="spellStart"/>
      <w:r w:rsidRPr="00F14A83">
        <w:rPr>
          <w:rFonts w:ascii="Microsoft Tai Le" w:eastAsia="Microsoft Tai Le" w:hAnsi="Microsoft Tai Le" w:cs="Microsoft Tai Le"/>
          <w:szCs w:val="24"/>
        </w:rPr>
        <w:t>Sumien</w:t>
      </w:r>
      <w:proofErr w:type="spellEnd"/>
      <w:r w:rsidRPr="00F14A83">
        <w:rPr>
          <w:rFonts w:ascii="Microsoft Tai Le" w:eastAsia="Microsoft Tai Le" w:hAnsi="Microsoft Tai Le" w:cs="Microsoft Tai Le"/>
          <w:szCs w:val="24"/>
        </w:rPr>
        <w:t xml:space="preserve"> N. The potential of hyperbaric oxygen as a therapy for neurodegenerative diseases. Geroscience. 2023;45(2):747-56. doi: 10.1007/s11357-022-00707-z.</w:t>
      </w:r>
    </w:p>
    <w:sectPr w:rsidR="006E5767" w:rsidRPr="00F14A83">
      <w:headerReference w:type="default" r:id="rId9"/>
      <w:footerReference w:type="defaul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6A899" w14:textId="77777777" w:rsidR="00A459D1" w:rsidRDefault="00A459D1">
      <w:r>
        <w:separator/>
      </w:r>
    </w:p>
  </w:endnote>
  <w:endnote w:type="continuationSeparator" w:id="0">
    <w:p w14:paraId="60360213" w14:textId="77777777" w:rsidR="00A459D1" w:rsidRDefault="00A45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Tai Le">
    <w:panose1 w:val="020B0502040204020203"/>
    <w:charset w:val="00"/>
    <w:family w:val="swiss"/>
    <w:pitch w:val="variable"/>
    <w:sig w:usb0="00000003" w:usb1="00000000" w:usb2="40000000" w:usb3="00000000" w:csb0="00000001" w:csb1="00000000"/>
    <w:embedRegular r:id="rId1" w:fontKey="{8FDCB9E6-5027-4FC9-B700-945F95A08056}"/>
    <w:embedBold r:id="rId2" w:fontKey="{8CBA6A4E-DF1B-41BD-BA47-9190F8022B9E}"/>
  </w:font>
  <w:font w:name="Georgia">
    <w:panose1 w:val="02040502050405020303"/>
    <w:charset w:val="00"/>
    <w:family w:val="roman"/>
    <w:pitch w:val="variable"/>
    <w:sig w:usb0="00000287" w:usb1="00000000" w:usb2="00000000" w:usb3="00000000" w:csb0="0000009F" w:csb1="00000000"/>
    <w:embedRegular r:id="rId3" w:fontKey="{8D0AA3C1-A3A0-4550-B179-B2A4AF200373}"/>
    <w:embedItalic r:id="rId4" w:fontKey="{F113C061-82BA-4C08-A2CD-46A7FF68B2DC}"/>
  </w:font>
  <w:font w:name="Calibri">
    <w:panose1 w:val="020F0502020204030204"/>
    <w:charset w:val="00"/>
    <w:family w:val="swiss"/>
    <w:pitch w:val="variable"/>
    <w:sig w:usb0="E4002EFF" w:usb1="C200247B" w:usb2="00000009" w:usb3="00000000" w:csb0="000001FF" w:csb1="00000000"/>
    <w:embedRegular r:id="rId5" w:fontKey="{46CB4777-1370-470E-93A4-1FD6B7BA872C}"/>
    <w:embedItalic r:id="rId6" w:fontKey="{361C99D5-DBA4-4EE5-A62F-9BE3C85F1D05}"/>
  </w:font>
  <w:font w:name="Corsiva">
    <w:altName w:val="Calibri"/>
    <w:charset w:val="00"/>
    <w:family w:val="auto"/>
    <w:pitch w:val="default"/>
    <w:embedRegular r:id="rId7" w:fontKey="{E2D1DE7E-4199-4E22-800D-F9B87227A2FA}"/>
    <w:embedItalic r:id="rId8" w:fontKey="{2C8F4A26-BC76-48DE-9E7A-767096821F75}"/>
  </w:font>
  <w:font w:name="Calibri Light">
    <w:panose1 w:val="020F0302020204030204"/>
    <w:charset w:val="00"/>
    <w:family w:val="swiss"/>
    <w:pitch w:val="variable"/>
    <w:sig w:usb0="E4002EFF" w:usb1="C200247B" w:usb2="00000009" w:usb3="00000000" w:csb0="000001FF" w:csb1="00000000"/>
    <w:embedRegular r:id="rId9" w:fontKey="{7EAD2260-B757-4C59-AFD1-6C00F4FA81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7CA11" w14:textId="77777777" w:rsidR="009B205D" w:rsidRDefault="00000000">
    <w:pPr>
      <w:pBdr>
        <w:top w:val="nil"/>
        <w:left w:val="nil"/>
        <w:bottom w:val="nil"/>
        <w:right w:val="nil"/>
        <w:between w:val="nil"/>
      </w:pBdr>
      <w:tabs>
        <w:tab w:val="center" w:pos="4513"/>
        <w:tab w:val="right" w:pos="9026"/>
      </w:tabs>
      <w:rPr>
        <w:color w:val="000000"/>
      </w:rPr>
    </w:pPr>
    <w:r>
      <w:rPr>
        <w:noProof/>
        <w:sz w:val="20"/>
      </w:rPr>
      <w:drawing>
        <wp:anchor distT="0" distB="0" distL="114300" distR="114300" simplePos="0" relativeHeight="251658240" behindDoc="0" locked="0" layoutInCell="1" hidden="0" allowOverlap="1" wp14:anchorId="5200F6C3" wp14:editId="0A077554">
          <wp:simplePos x="0" y="0"/>
          <wp:positionH relativeFrom="column">
            <wp:posOffset>3284112</wp:posOffset>
          </wp:positionH>
          <wp:positionV relativeFrom="paragraph">
            <wp:posOffset>-263988</wp:posOffset>
          </wp:positionV>
          <wp:extent cx="3171429" cy="38095"/>
          <wp:effectExtent l="0" t="0" r="0" b="0"/>
          <wp:wrapNone/>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3171429" cy="3809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FDDBF" w14:textId="77777777" w:rsidR="00A459D1" w:rsidRDefault="00A459D1">
      <w:r>
        <w:separator/>
      </w:r>
    </w:p>
  </w:footnote>
  <w:footnote w:type="continuationSeparator" w:id="0">
    <w:p w14:paraId="59CA0725" w14:textId="77777777" w:rsidR="00A459D1" w:rsidRDefault="00A459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1641D" w14:textId="77777777" w:rsidR="00F14A83" w:rsidRDefault="00F14A83" w:rsidP="00F14A83">
    <w:pPr>
      <w:pBdr>
        <w:top w:val="nil"/>
        <w:left w:val="nil"/>
        <w:bottom w:val="nil"/>
        <w:right w:val="nil"/>
        <w:between w:val="nil"/>
      </w:pBdr>
      <w:ind w:right="50"/>
      <w:jc w:val="right"/>
      <w:rPr>
        <w:color w:val="000000"/>
        <w:sz w:val="20"/>
        <w:szCs w:val="20"/>
      </w:rPr>
    </w:pPr>
    <w:r>
      <w:rPr>
        <w:b/>
        <w:color w:val="000000"/>
        <w:sz w:val="20"/>
        <w:szCs w:val="20"/>
      </w:rPr>
      <w:t>*Font Microsoft Tai Le</w:t>
    </w:r>
  </w:p>
  <w:p w14:paraId="0F9AA4CC" w14:textId="77777777" w:rsidR="00F14A83" w:rsidRDefault="00F14A83" w:rsidP="00F14A83">
    <w:pPr>
      <w:pBdr>
        <w:top w:val="nil"/>
        <w:left w:val="nil"/>
        <w:bottom w:val="nil"/>
        <w:right w:val="nil"/>
        <w:between w:val="nil"/>
      </w:pBdr>
      <w:spacing w:before="45"/>
      <w:ind w:right="50"/>
      <w:jc w:val="right"/>
      <w:rPr>
        <w:color w:val="000000"/>
        <w:sz w:val="20"/>
        <w:szCs w:val="20"/>
      </w:rPr>
    </w:pPr>
    <w:r>
      <w:rPr>
        <w:rFonts w:ascii="Corsiva" w:eastAsia="Corsiva" w:hAnsi="Corsiva" w:cs="Corsiva"/>
        <w:i/>
        <w:color w:val="000000"/>
        <w:sz w:val="20"/>
        <w:szCs w:val="20"/>
      </w:rPr>
      <w:t>Indonesian Journal of Clinical Pathology and Medical Laboratory</w:t>
    </w:r>
  </w:p>
  <w:tbl>
    <w:tblPr>
      <w:tblStyle w:val="a1"/>
      <w:tblpPr w:leftFromText="45" w:rightFromText="45" w:vertAnchor="text"/>
      <w:tblW w:w="9026" w:type="dxa"/>
      <w:tblLayout w:type="fixed"/>
      <w:tblLook w:val="0400" w:firstRow="0" w:lastRow="0" w:firstColumn="0" w:lastColumn="0" w:noHBand="0" w:noVBand="1"/>
    </w:tblPr>
    <w:tblGrid>
      <w:gridCol w:w="20"/>
      <w:gridCol w:w="9006"/>
    </w:tblGrid>
    <w:tr w:rsidR="009B205D" w14:paraId="51C5E035" w14:textId="77777777">
      <w:trPr>
        <w:gridAfter w:val="1"/>
        <w:wAfter w:w="9006" w:type="dxa"/>
        <w:trHeight w:val="105"/>
      </w:trPr>
      <w:tc>
        <w:tcPr>
          <w:tcW w:w="6" w:type="dxa"/>
          <w:vAlign w:val="center"/>
        </w:tcPr>
        <w:p w14:paraId="1F887A3B" w14:textId="77777777" w:rsidR="009B205D" w:rsidRDefault="009B205D">
          <w:pPr>
            <w:pBdr>
              <w:top w:val="nil"/>
              <w:left w:val="nil"/>
              <w:bottom w:val="nil"/>
              <w:right w:val="nil"/>
              <w:between w:val="nil"/>
            </w:pBdr>
            <w:tabs>
              <w:tab w:val="center" w:pos="4513"/>
              <w:tab w:val="right" w:pos="9026"/>
            </w:tabs>
            <w:rPr>
              <w:color w:val="000000"/>
            </w:rPr>
          </w:pPr>
        </w:p>
      </w:tc>
    </w:tr>
    <w:tr w:rsidR="009B205D" w14:paraId="14C95D13" w14:textId="77777777">
      <w:tc>
        <w:tcPr>
          <w:tcW w:w="6" w:type="dxa"/>
          <w:vAlign w:val="center"/>
        </w:tcPr>
        <w:p w14:paraId="2F3722A1" w14:textId="77777777" w:rsidR="009B205D" w:rsidRDefault="009B205D">
          <w:pPr>
            <w:widowControl/>
            <w:rPr>
              <w:rFonts w:ascii="Calibri" w:eastAsia="Calibri" w:hAnsi="Calibri" w:cs="Calibri"/>
              <w:sz w:val="20"/>
              <w:szCs w:val="20"/>
            </w:rPr>
          </w:pPr>
        </w:p>
      </w:tc>
      <w:tc>
        <w:tcPr>
          <w:tcW w:w="9020" w:type="dxa"/>
          <w:vAlign w:val="center"/>
        </w:tcPr>
        <w:p w14:paraId="71383800" w14:textId="77777777" w:rsidR="009B205D" w:rsidRDefault="00000000">
          <w:pPr>
            <w:widowControl/>
            <w:rPr>
              <w:rFonts w:ascii="Times New Roman" w:eastAsia="Times New Roman" w:hAnsi="Times New Roman" w:cs="Times New Roman"/>
              <w:szCs w:val="24"/>
            </w:rPr>
          </w:pPr>
          <w:r>
            <w:rPr>
              <w:rFonts w:ascii="Times New Roman" w:eastAsia="Times New Roman" w:hAnsi="Times New Roman" w:cs="Times New Roman"/>
              <w:noProof/>
              <w:szCs w:val="24"/>
            </w:rPr>
            <w:drawing>
              <wp:inline distT="0" distB="0" distL="0" distR="0" wp14:anchorId="050C3985" wp14:editId="4107597D">
                <wp:extent cx="5731510" cy="36830"/>
                <wp:effectExtent l="0" t="0" r="0" b="0"/>
                <wp:docPr id="7"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1"/>
                        <a:srcRect/>
                        <a:stretch>
                          <a:fillRect/>
                        </a:stretch>
                      </pic:blipFill>
                      <pic:spPr>
                        <a:xfrm>
                          <a:off x="0" y="0"/>
                          <a:ext cx="5731510" cy="36830"/>
                        </a:xfrm>
                        <a:prstGeom prst="rect">
                          <a:avLst/>
                        </a:prstGeom>
                        <a:ln/>
                      </pic:spPr>
                    </pic:pic>
                  </a:graphicData>
                </a:graphic>
              </wp:inline>
            </w:drawing>
          </w:r>
        </w:p>
      </w:tc>
    </w:tr>
  </w:tbl>
  <w:p w14:paraId="0C046C29" w14:textId="77777777" w:rsidR="009B205D" w:rsidRDefault="009B205D">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B5A56"/>
    <w:multiLevelType w:val="hybridMultilevel"/>
    <w:tmpl w:val="E07449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33A7861"/>
    <w:multiLevelType w:val="hybridMultilevel"/>
    <w:tmpl w:val="3FCE109E"/>
    <w:lvl w:ilvl="0" w:tplc="38090001">
      <w:start w:val="1"/>
      <w:numFmt w:val="bullet"/>
      <w:lvlText w:val=""/>
      <w:lvlJc w:val="left"/>
      <w:pPr>
        <w:ind w:left="862" w:hanging="360"/>
      </w:pPr>
      <w:rPr>
        <w:rFonts w:ascii="Symbol" w:hAnsi="Symbol" w:hint="default"/>
      </w:rPr>
    </w:lvl>
    <w:lvl w:ilvl="1" w:tplc="38090003" w:tentative="1">
      <w:start w:val="1"/>
      <w:numFmt w:val="bullet"/>
      <w:lvlText w:val="o"/>
      <w:lvlJc w:val="left"/>
      <w:pPr>
        <w:ind w:left="1582" w:hanging="360"/>
      </w:pPr>
      <w:rPr>
        <w:rFonts w:ascii="Courier New" w:hAnsi="Courier New" w:cs="Courier New" w:hint="default"/>
      </w:rPr>
    </w:lvl>
    <w:lvl w:ilvl="2" w:tplc="38090005" w:tentative="1">
      <w:start w:val="1"/>
      <w:numFmt w:val="bullet"/>
      <w:lvlText w:val=""/>
      <w:lvlJc w:val="left"/>
      <w:pPr>
        <w:ind w:left="2302" w:hanging="360"/>
      </w:pPr>
      <w:rPr>
        <w:rFonts w:ascii="Wingdings" w:hAnsi="Wingdings" w:hint="default"/>
      </w:rPr>
    </w:lvl>
    <w:lvl w:ilvl="3" w:tplc="38090001" w:tentative="1">
      <w:start w:val="1"/>
      <w:numFmt w:val="bullet"/>
      <w:lvlText w:val=""/>
      <w:lvlJc w:val="left"/>
      <w:pPr>
        <w:ind w:left="3022" w:hanging="360"/>
      </w:pPr>
      <w:rPr>
        <w:rFonts w:ascii="Symbol" w:hAnsi="Symbol" w:hint="default"/>
      </w:rPr>
    </w:lvl>
    <w:lvl w:ilvl="4" w:tplc="38090003" w:tentative="1">
      <w:start w:val="1"/>
      <w:numFmt w:val="bullet"/>
      <w:lvlText w:val="o"/>
      <w:lvlJc w:val="left"/>
      <w:pPr>
        <w:ind w:left="3742" w:hanging="360"/>
      </w:pPr>
      <w:rPr>
        <w:rFonts w:ascii="Courier New" w:hAnsi="Courier New" w:cs="Courier New" w:hint="default"/>
      </w:rPr>
    </w:lvl>
    <w:lvl w:ilvl="5" w:tplc="38090005" w:tentative="1">
      <w:start w:val="1"/>
      <w:numFmt w:val="bullet"/>
      <w:lvlText w:val=""/>
      <w:lvlJc w:val="left"/>
      <w:pPr>
        <w:ind w:left="4462" w:hanging="360"/>
      </w:pPr>
      <w:rPr>
        <w:rFonts w:ascii="Wingdings" w:hAnsi="Wingdings" w:hint="default"/>
      </w:rPr>
    </w:lvl>
    <w:lvl w:ilvl="6" w:tplc="38090001" w:tentative="1">
      <w:start w:val="1"/>
      <w:numFmt w:val="bullet"/>
      <w:lvlText w:val=""/>
      <w:lvlJc w:val="left"/>
      <w:pPr>
        <w:ind w:left="5182" w:hanging="360"/>
      </w:pPr>
      <w:rPr>
        <w:rFonts w:ascii="Symbol" w:hAnsi="Symbol" w:hint="default"/>
      </w:rPr>
    </w:lvl>
    <w:lvl w:ilvl="7" w:tplc="38090003" w:tentative="1">
      <w:start w:val="1"/>
      <w:numFmt w:val="bullet"/>
      <w:lvlText w:val="o"/>
      <w:lvlJc w:val="left"/>
      <w:pPr>
        <w:ind w:left="5902" w:hanging="360"/>
      </w:pPr>
      <w:rPr>
        <w:rFonts w:ascii="Courier New" w:hAnsi="Courier New" w:cs="Courier New" w:hint="default"/>
      </w:rPr>
    </w:lvl>
    <w:lvl w:ilvl="8" w:tplc="38090005" w:tentative="1">
      <w:start w:val="1"/>
      <w:numFmt w:val="bullet"/>
      <w:lvlText w:val=""/>
      <w:lvlJc w:val="left"/>
      <w:pPr>
        <w:ind w:left="6622" w:hanging="360"/>
      </w:pPr>
      <w:rPr>
        <w:rFonts w:ascii="Wingdings" w:hAnsi="Wingdings" w:hint="default"/>
      </w:rPr>
    </w:lvl>
  </w:abstractNum>
  <w:abstractNum w:abstractNumId="2" w15:restartNumberingAfterBreak="0">
    <w:nsid w:val="6F5F7127"/>
    <w:multiLevelType w:val="hybridMultilevel"/>
    <w:tmpl w:val="7734714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79AD41B4"/>
    <w:multiLevelType w:val="hybridMultilevel"/>
    <w:tmpl w:val="5720DDBE"/>
    <w:lvl w:ilvl="0" w:tplc="5B36A1D2">
      <w:start w:val="1"/>
      <w:numFmt w:val="decimal"/>
      <w:lvlText w:val="%1."/>
      <w:lvlJc w:val="left"/>
      <w:pPr>
        <w:ind w:left="720" w:hanging="360"/>
      </w:pPr>
      <w:rPr>
        <w:sz w:val="24"/>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69149679">
    <w:abstractNumId w:val="1"/>
  </w:num>
  <w:num w:numId="2" w16cid:durableId="267275094">
    <w:abstractNumId w:val="0"/>
  </w:num>
  <w:num w:numId="3" w16cid:durableId="521404982">
    <w:abstractNumId w:val="2"/>
  </w:num>
  <w:num w:numId="4" w16cid:durableId="880412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05D"/>
    <w:rsid w:val="0004359B"/>
    <w:rsid w:val="000508D0"/>
    <w:rsid w:val="000665BA"/>
    <w:rsid w:val="000F5418"/>
    <w:rsid w:val="00110798"/>
    <w:rsid w:val="001143DE"/>
    <w:rsid w:val="001274AB"/>
    <w:rsid w:val="00182E19"/>
    <w:rsid w:val="00184C02"/>
    <w:rsid w:val="001907EF"/>
    <w:rsid w:val="00231567"/>
    <w:rsid w:val="0023462A"/>
    <w:rsid w:val="00237D17"/>
    <w:rsid w:val="00264D0C"/>
    <w:rsid w:val="00275E83"/>
    <w:rsid w:val="002C5156"/>
    <w:rsid w:val="00323637"/>
    <w:rsid w:val="00335EC5"/>
    <w:rsid w:val="00397841"/>
    <w:rsid w:val="003A743D"/>
    <w:rsid w:val="003B7A2B"/>
    <w:rsid w:val="003D3356"/>
    <w:rsid w:val="0045633A"/>
    <w:rsid w:val="00502C5F"/>
    <w:rsid w:val="005350E6"/>
    <w:rsid w:val="005B509E"/>
    <w:rsid w:val="006033D1"/>
    <w:rsid w:val="00617C92"/>
    <w:rsid w:val="006577E3"/>
    <w:rsid w:val="006776C7"/>
    <w:rsid w:val="00686C20"/>
    <w:rsid w:val="006A044C"/>
    <w:rsid w:val="006A4149"/>
    <w:rsid w:val="006E5767"/>
    <w:rsid w:val="00703103"/>
    <w:rsid w:val="007D63A0"/>
    <w:rsid w:val="007E106E"/>
    <w:rsid w:val="00830500"/>
    <w:rsid w:val="00882D6B"/>
    <w:rsid w:val="00916713"/>
    <w:rsid w:val="009356F7"/>
    <w:rsid w:val="00937A27"/>
    <w:rsid w:val="00965351"/>
    <w:rsid w:val="009A3A3A"/>
    <w:rsid w:val="009B205D"/>
    <w:rsid w:val="009F53F5"/>
    <w:rsid w:val="00A459D1"/>
    <w:rsid w:val="00A5722E"/>
    <w:rsid w:val="00A84EB5"/>
    <w:rsid w:val="00A92DA8"/>
    <w:rsid w:val="00A96AEF"/>
    <w:rsid w:val="00B05477"/>
    <w:rsid w:val="00B24A17"/>
    <w:rsid w:val="00B30C59"/>
    <w:rsid w:val="00B3544A"/>
    <w:rsid w:val="00B717F1"/>
    <w:rsid w:val="00B84F21"/>
    <w:rsid w:val="00B93D95"/>
    <w:rsid w:val="00BA2277"/>
    <w:rsid w:val="00BC18AE"/>
    <w:rsid w:val="00BD1C4F"/>
    <w:rsid w:val="00BD56C6"/>
    <w:rsid w:val="00BE31E2"/>
    <w:rsid w:val="00C11B97"/>
    <w:rsid w:val="00C35361"/>
    <w:rsid w:val="00C62D7B"/>
    <w:rsid w:val="00CA2E62"/>
    <w:rsid w:val="00CC1E04"/>
    <w:rsid w:val="00CC5A3F"/>
    <w:rsid w:val="00CC6455"/>
    <w:rsid w:val="00D06F14"/>
    <w:rsid w:val="00D26AA8"/>
    <w:rsid w:val="00D7302A"/>
    <w:rsid w:val="00DA2744"/>
    <w:rsid w:val="00DA61A2"/>
    <w:rsid w:val="00DE573D"/>
    <w:rsid w:val="00E828BF"/>
    <w:rsid w:val="00F14A83"/>
    <w:rsid w:val="00FD791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1D263"/>
  <w15:docId w15:val="{530C11D3-4158-4611-AC1D-149C9FD7E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Tai Le" w:eastAsia="Microsoft Tai Le" w:hAnsi="Microsoft Tai Le" w:cs="Microsoft Tai Le"/>
        <w:sz w:val="22"/>
        <w:szCs w:val="22"/>
        <w:lang w:val="en"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uiPriority w:val="9"/>
    <w:qFormat/>
    <w:pPr>
      <w:ind w:left="49"/>
      <w:outlineLvl w:val="0"/>
    </w:pPr>
    <w:rPr>
      <w:b/>
      <w:szCs w:val="2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092E59"/>
    <w:rPr>
      <w:rFonts w:ascii="Microsoft Tai Le" w:eastAsia="Microsoft Tai Le" w:hAnsi="Microsoft Tai Le" w:cs="Microsoft Tai Le"/>
      <w:b/>
      <w:bCs/>
      <w:sz w:val="20"/>
      <w:szCs w:val="20"/>
      <w:lang w:val="en-US"/>
    </w:rPr>
  </w:style>
  <w:style w:type="paragraph" w:styleId="BodyText">
    <w:name w:val="Body Text"/>
    <w:basedOn w:val="Normal"/>
    <w:link w:val="BodyTextChar"/>
    <w:uiPriority w:val="1"/>
    <w:unhideWhenUsed/>
    <w:qFormat/>
    <w:rsid w:val="00092E59"/>
    <w:rPr>
      <w:sz w:val="20"/>
      <w:szCs w:val="20"/>
    </w:rPr>
  </w:style>
  <w:style w:type="character" w:customStyle="1" w:styleId="BodyTextChar">
    <w:name w:val="Body Text Char"/>
    <w:basedOn w:val="DefaultParagraphFont"/>
    <w:link w:val="BodyText"/>
    <w:uiPriority w:val="1"/>
    <w:rsid w:val="00092E59"/>
    <w:rPr>
      <w:rFonts w:ascii="Microsoft Tai Le" w:eastAsia="Microsoft Tai Le" w:hAnsi="Microsoft Tai Le" w:cs="Microsoft Tai Le"/>
      <w:sz w:val="20"/>
      <w:szCs w:val="20"/>
      <w:lang w:val="en-US"/>
    </w:rPr>
  </w:style>
  <w:style w:type="paragraph" w:customStyle="1" w:styleId="TableParagraph">
    <w:name w:val="Table Paragraph"/>
    <w:basedOn w:val="Normal"/>
    <w:uiPriority w:val="1"/>
    <w:qFormat/>
    <w:rsid w:val="00092E59"/>
  </w:style>
  <w:style w:type="character" w:customStyle="1" w:styleId="fontstyle01">
    <w:name w:val="fontstyle01"/>
    <w:rsid w:val="00092E59"/>
    <w:rPr>
      <w:rFonts w:ascii="Times New Roman" w:hAnsi="Times New Roman" w:cs="Times New Roman" w:hint="default"/>
      <w:b w:val="0"/>
      <w:bCs w:val="0"/>
      <w:i w:val="0"/>
      <w:iCs w:val="0"/>
      <w:color w:val="000000"/>
      <w:sz w:val="24"/>
      <w:szCs w:val="24"/>
    </w:rPr>
  </w:style>
  <w:style w:type="paragraph" w:styleId="Header">
    <w:name w:val="header"/>
    <w:basedOn w:val="Normal"/>
    <w:link w:val="HeaderChar"/>
    <w:uiPriority w:val="99"/>
    <w:unhideWhenUsed/>
    <w:rsid w:val="00092E59"/>
    <w:pPr>
      <w:tabs>
        <w:tab w:val="center" w:pos="4513"/>
        <w:tab w:val="right" w:pos="9026"/>
      </w:tabs>
    </w:pPr>
  </w:style>
  <w:style w:type="character" w:customStyle="1" w:styleId="HeaderChar">
    <w:name w:val="Header Char"/>
    <w:basedOn w:val="DefaultParagraphFont"/>
    <w:link w:val="Header"/>
    <w:uiPriority w:val="99"/>
    <w:rsid w:val="00092E59"/>
    <w:rPr>
      <w:rFonts w:ascii="Microsoft Tai Le" w:eastAsia="Microsoft Tai Le" w:hAnsi="Microsoft Tai Le" w:cs="Microsoft Tai Le"/>
      <w:lang w:val="en-US"/>
    </w:rPr>
  </w:style>
  <w:style w:type="paragraph" w:styleId="Footer">
    <w:name w:val="footer"/>
    <w:basedOn w:val="Normal"/>
    <w:link w:val="FooterChar"/>
    <w:uiPriority w:val="99"/>
    <w:unhideWhenUsed/>
    <w:rsid w:val="00092E59"/>
    <w:pPr>
      <w:tabs>
        <w:tab w:val="center" w:pos="4513"/>
        <w:tab w:val="right" w:pos="9026"/>
      </w:tabs>
    </w:pPr>
  </w:style>
  <w:style w:type="character" w:customStyle="1" w:styleId="FooterChar">
    <w:name w:val="Footer Char"/>
    <w:basedOn w:val="DefaultParagraphFont"/>
    <w:link w:val="Footer"/>
    <w:uiPriority w:val="99"/>
    <w:rsid w:val="00092E59"/>
    <w:rPr>
      <w:rFonts w:ascii="Microsoft Tai Le" w:eastAsia="Microsoft Tai Le" w:hAnsi="Microsoft Tai Le" w:cs="Microsoft Tai Le"/>
      <w:lang w:val="en-US"/>
    </w:rPr>
  </w:style>
  <w:style w:type="character" w:customStyle="1" w:styleId="agcmg">
    <w:name w:val="a_gcmg"/>
    <w:basedOn w:val="DefaultParagraphFont"/>
    <w:rsid w:val="00092E5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0" w:type="dxa"/>
        <w:right w:w="0" w:type="dxa"/>
      </w:tblCellMar>
    </w:tblPr>
  </w:style>
  <w:style w:type="paragraph" w:customStyle="1" w:styleId="Abstracttext">
    <w:name w:val="Abstract text"/>
    <w:basedOn w:val="Normal"/>
    <w:uiPriority w:val="99"/>
    <w:qFormat/>
    <w:rsid w:val="009356F7"/>
    <w:pPr>
      <w:widowControl/>
      <w:spacing w:line="360" w:lineRule="auto"/>
      <w:ind w:firstLine="720"/>
    </w:pPr>
    <w:rPr>
      <w:rFonts w:ascii="Times New Roman" w:eastAsia="Calibri" w:hAnsi="Times New Roman" w:cs="Times New Roman"/>
      <w:i/>
      <w:szCs w:val="24"/>
      <w:lang w:val="en-US" w:eastAsia="en-US"/>
    </w:rPr>
  </w:style>
  <w:style w:type="table" w:styleId="TableGrid">
    <w:name w:val="Table Grid"/>
    <w:basedOn w:val="TableNormal"/>
    <w:uiPriority w:val="39"/>
    <w:rsid w:val="006033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5633A"/>
    <w:pPr>
      <w:widowControl/>
      <w:spacing w:after="200" w:line="276" w:lineRule="auto"/>
      <w:ind w:left="720"/>
      <w:contextualSpacing/>
    </w:pPr>
    <w:rPr>
      <w:rFonts w:asciiTheme="minorHAnsi" w:eastAsiaTheme="minorEastAsia"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wlKqa/nLbpwYbSekpHMQ09AG0g==">CgMxLjA4AHIhMVlMMUU3N056dWdWOXAyVUFYR0RoV001RXc4cU9tbVho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3688</Words>
  <Characters>21025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PT ANOA MANDIRI SEJAHTERA</dc:creator>
  <cp:lastModifiedBy>PT ANOA MANDIRI SEJAHTERA</cp:lastModifiedBy>
  <cp:revision>2</cp:revision>
  <dcterms:created xsi:type="dcterms:W3CDTF">2026-07-24T07:29:00Z</dcterms:created>
  <dcterms:modified xsi:type="dcterms:W3CDTF">2026-07-24T07:29:00Z</dcterms:modified>
</cp:coreProperties>
</file>