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Table 1</w:t>
      </w:r>
    </w:p>
    <w:p>
      <w:r>
        <w:rPr>
          <w:rFonts w:ascii="Times New Roman" w:hAnsi="Times New Roman" w:eastAsia="Times New Roman"/>
          <w:sz w:val="24"/>
        </w:rPr>
        <w:t>Salivary amyloid-β, MAPTau, and spatial working memory among study groups at Week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r>
              <w:t>Variable</w:t>
            </w:r>
          </w:p>
        </w:tc>
        <w:tc>
          <w:tcPr>
            <w:tcW w:type="dxa" w:w="1872"/>
            <w:vAlign w:val="center"/>
          </w:tcPr>
          <w:p>
            <w:r>
              <w:t>Group</w:t>
            </w:r>
          </w:p>
        </w:tc>
        <w:tc>
          <w:tcPr>
            <w:tcW w:type="dxa" w:w="1872"/>
            <w:vAlign w:val="center"/>
          </w:tcPr>
          <w:p>
            <w:r>
              <w:t>n</w:t>
            </w:r>
          </w:p>
        </w:tc>
        <w:tc>
          <w:tcPr>
            <w:tcW w:type="dxa" w:w="1872"/>
            <w:vAlign w:val="center"/>
          </w:tcPr>
          <w:p>
            <w:r>
              <w:t>Mean ± SD</w:t>
            </w:r>
          </w:p>
        </w:tc>
        <w:tc>
          <w:tcPr>
            <w:tcW w:type="dxa" w:w="1872"/>
            <w:vAlign w:val="center"/>
          </w:tcPr>
          <w:p>
            <w:r>
              <w:t>p-value</w:t>
            </w:r>
          </w:p>
        </w:tc>
      </w:tr>
      <w:tr>
        <w:tc>
          <w:tcPr>
            <w:tcW w:type="dxa" w:w="1872"/>
            <w:vAlign w:val="center"/>
          </w:tcPr>
          <w:p>
            <w:r>
              <w:t>Aβ (pg/mL)</w:t>
            </w:r>
          </w:p>
        </w:tc>
        <w:tc>
          <w:tcPr>
            <w:tcW w:type="dxa" w:w="1872"/>
            <w:vAlign w:val="center"/>
          </w:tcPr>
          <w:p>
            <w:r>
              <w:t>C-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46.13 ± 5.21</w:t>
            </w:r>
          </w:p>
        </w:tc>
        <w:tc>
          <w:tcPr>
            <w:tcW w:type="dxa" w:w="1872"/>
            <w:vAlign w:val="center"/>
          </w:tcPr>
          <w:p>
            <w:r>
              <w:t>&lt;0.001</w:t>
            </w:r>
          </w:p>
        </w:tc>
      </w:tr>
      <w:tr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>
              <w:t>C+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188.41 ± 36.11</w:t>
            </w:r>
          </w:p>
        </w:tc>
        <w:tc>
          <w:tcPr>
            <w:tcW w:type="dxa" w:w="1872"/>
            <w:vAlign w:val="center"/>
          </w:tcPr>
          <w:p>
            <w:r/>
          </w:p>
        </w:tc>
      </w:tr>
      <w:tr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>
              <w:t>T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63.21 ± 8.19</w:t>
            </w:r>
          </w:p>
        </w:tc>
        <w:tc>
          <w:tcPr>
            <w:tcW w:type="dxa" w:w="1872"/>
            <w:vAlign w:val="center"/>
          </w:tcPr>
          <w:p>
            <w:r/>
          </w:p>
        </w:tc>
      </w:tr>
      <w:tr>
        <w:tc>
          <w:tcPr>
            <w:tcW w:type="dxa" w:w="1872"/>
            <w:vAlign w:val="center"/>
          </w:tcPr>
          <w:p>
            <w:r>
              <w:t>MAPTau</w:t>
            </w:r>
          </w:p>
        </w:tc>
        <w:tc>
          <w:tcPr>
            <w:tcW w:type="dxa" w:w="1872"/>
            <w:vAlign w:val="center"/>
          </w:tcPr>
          <w:p>
            <w:r>
              <w:t>C-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0.15 ± 0.06</w:t>
            </w:r>
          </w:p>
        </w:tc>
        <w:tc>
          <w:tcPr>
            <w:tcW w:type="dxa" w:w="1872"/>
            <w:vAlign w:val="center"/>
          </w:tcPr>
          <w:p>
            <w:r>
              <w:t>&lt;0.001</w:t>
            </w:r>
          </w:p>
        </w:tc>
      </w:tr>
      <w:tr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>
              <w:t>C+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0.52 ± 0.23</w:t>
            </w:r>
          </w:p>
        </w:tc>
        <w:tc>
          <w:tcPr>
            <w:tcW w:type="dxa" w:w="1872"/>
            <w:vAlign w:val="center"/>
          </w:tcPr>
          <w:p>
            <w:r/>
          </w:p>
        </w:tc>
      </w:tr>
      <w:tr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>
              <w:t>T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0.26 ± 0.08</w:t>
            </w:r>
          </w:p>
        </w:tc>
        <w:tc>
          <w:tcPr>
            <w:tcW w:type="dxa" w:w="1872"/>
            <w:vAlign w:val="center"/>
          </w:tcPr>
          <w:p>
            <w:r/>
          </w:p>
        </w:tc>
      </w:tr>
      <w:tr>
        <w:tc>
          <w:tcPr>
            <w:tcW w:type="dxa" w:w="1872"/>
            <w:vAlign w:val="center"/>
          </w:tcPr>
          <w:p>
            <w:r>
              <w:t>Spatial working memory (%)</w:t>
            </w:r>
          </w:p>
        </w:tc>
        <w:tc>
          <w:tcPr>
            <w:tcW w:type="dxa" w:w="1872"/>
            <w:vAlign w:val="center"/>
          </w:tcPr>
          <w:p>
            <w:r>
              <w:t>C-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68.00 ± 5.08</w:t>
            </w:r>
          </w:p>
        </w:tc>
        <w:tc>
          <w:tcPr>
            <w:tcW w:type="dxa" w:w="1872"/>
            <w:vAlign w:val="center"/>
          </w:tcPr>
          <w:p>
            <w:r>
              <w:t>&lt;0.001</w:t>
            </w:r>
          </w:p>
        </w:tc>
      </w:tr>
      <w:tr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>
              <w:t>C+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31.14 ± 18.87</w:t>
            </w:r>
          </w:p>
        </w:tc>
        <w:tc>
          <w:tcPr>
            <w:tcW w:type="dxa" w:w="1872"/>
            <w:vAlign w:val="center"/>
          </w:tcPr>
          <w:p>
            <w:r/>
          </w:p>
        </w:tc>
      </w:tr>
      <w:tr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>
              <w:t>T</w:t>
            </w:r>
          </w:p>
        </w:tc>
        <w:tc>
          <w:tcPr>
            <w:tcW w:type="dxa" w:w="1872"/>
            <w:vAlign w:val="center"/>
          </w:tcPr>
          <w:p>
            <w:r>
              <w:t>11</w:t>
            </w:r>
          </w:p>
        </w:tc>
        <w:tc>
          <w:tcPr>
            <w:tcW w:type="dxa" w:w="1872"/>
            <w:vAlign w:val="center"/>
          </w:tcPr>
          <w:p>
            <w:r>
              <w:t>52.09 ± 14.03</w:t>
            </w:r>
          </w:p>
        </w:tc>
        <w:tc>
          <w:tcPr>
            <w:tcW w:type="dxa" w:w="1872"/>
            <w:vAlign w:val="center"/>
          </w:tcPr>
          <w:p>
            <w:r/>
          </w:p>
        </w:tc>
      </w:tr>
    </w:tbl>
    <w:p>
      <w:r>
        <w:rPr>
          <w:rFonts w:ascii="Times New Roman" w:hAnsi="Times New Roman" w:eastAsia="Times New Roman"/>
          <w:sz w:val="24"/>
        </w:rPr>
        <w:t>Abbreviations: Aβ, amyloid-β; MAPTau, microtubule-associated protein tau; C-, negative control; C+, positive control; T, treatment group; SD, standard deviation.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